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43050A" w:rsidRDefault="003129E8" w:rsidP="00DD6B5E">
      <w:pPr>
        <w:jc w:val="right"/>
        <w:rPr>
          <w:rFonts w:cs="Arial"/>
          <w:b/>
          <w:sz w:val="48"/>
          <w:szCs w:val="48"/>
        </w:rPr>
      </w:pPr>
      <w:bookmarkStart w:id="0" w:name="_Toc153189646"/>
      <w:r w:rsidRPr="005A1336">
        <w:rPr>
          <w:rFonts w:cs="Arial"/>
          <w:b/>
          <w:sz w:val="48"/>
          <w:szCs w:val="48"/>
        </w:rPr>
        <w:t xml:space="preserve">Work Paper </w:t>
      </w:r>
      <w:bookmarkEnd w:id="0"/>
      <w:r w:rsidR="00AC6C3F" w:rsidRPr="0043050A">
        <w:rPr>
          <w:rFonts w:cs="Arial"/>
          <w:b/>
          <w:sz w:val="48"/>
          <w:szCs w:val="48"/>
        </w:rPr>
        <w:t>PGE</w:t>
      </w:r>
      <w:r w:rsidR="000D0941" w:rsidRPr="0043050A">
        <w:rPr>
          <w:rFonts w:cs="Arial"/>
          <w:b/>
          <w:sz w:val="48"/>
          <w:szCs w:val="48"/>
        </w:rPr>
        <w:t>COALL</w:t>
      </w:r>
      <w:r w:rsidR="003F0D8A" w:rsidRPr="0043050A">
        <w:rPr>
          <w:rFonts w:cs="Arial"/>
          <w:b/>
          <w:sz w:val="48"/>
          <w:szCs w:val="48"/>
        </w:rPr>
        <w:t>107</w:t>
      </w:r>
    </w:p>
    <w:p w:rsidR="00A167EC" w:rsidRPr="0043050A" w:rsidRDefault="000D0941" w:rsidP="00A167EC">
      <w:pPr>
        <w:jc w:val="right"/>
        <w:rPr>
          <w:rFonts w:cs="Arial"/>
          <w:b/>
          <w:sz w:val="48"/>
          <w:szCs w:val="48"/>
        </w:rPr>
      </w:pPr>
      <w:r w:rsidRPr="0043050A">
        <w:rPr>
          <w:rFonts w:cs="Arial"/>
          <w:b/>
          <w:sz w:val="48"/>
          <w:szCs w:val="48"/>
        </w:rPr>
        <w:t>Home Energy Reports</w:t>
      </w:r>
    </w:p>
    <w:p w:rsidR="003129E8" w:rsidRPr="005A1336" w:rsidRDefault="003129E8" w:rsidP="002E0043">
      <w:pPr>
        <w:jc w:val="right"/>
        <w:rPr>
          <w:rFonts w:cs="Arial"/>
          <w:b/>
          <w:sz w:val="48"/>
          <w:szCs w:val="48"/>
        </w:rPr>
      </w:pPr>
      <w:bookmarkStart w:id="1" w:name="_Toc153189647"/>
      <w:r w:rsidRPr="005A1336">
        <w:rPr>
          <w:rFonts w:cs="Arial"/>
          <w:b/>
          <w:sz w:val="48"/>
          <w:szCs w:val="48"/>
        </w:rPr>
        <w:t>Revision #</w:t>
      </w:r>
      <w:bookmarkEnd w:id="1"/>
      <w:r w:rsidR="00D7047A" w:rsidRPr="005A1336">
        <w:rPr>
          <w:rFonts w:cs="Arial"/>
          <w:b/>
          <w:sz w:val="48"/>
          <w:szCs w:val="48"/>
        </w:rPr>
        <w:t xml:space="preserve"> </w:t>
      </w:r>
      <w:r w:rsidR="006833A1">
        <w:rPr>
          <w:rFonts w:cs="Arial"/>
          <w:b/>
          <w:sz w:val="48"/>
          <w:szCs w:val="48"/>
        </w:rPr>
        <w:t>1</w:t>
      </w:r>
    </w:p>
    <w:p w:rsidR="003129E8" w:rsidRPr="0043050A" w:rsidRDefault="003129E8" w:rsidP="003129E8"/>
    <w:p w:rsidR="00D7047A" w:rsidRPr="0043050A" w:rsidRDefault="00DD6B5E" w:rsidP="00D7047A">
      <w:pPr>
        <w:pBdr>
          <w:bottom w:val="single" w:sz="4" w:space="1" w:color="auto"/>
        </w:pBdr>
        <w:rPr>
          <w:rFonts w:cs="Arial"/>
          <w:b/>
          <w:sz w:val="36"/>
          <w:szCs w:val="36"/>
        </w:rPr>
      </w:pPr>
      <w:r w:rsidRPr="0043050A">
        <w:rPr>
          <w:rFonts w:cs="Arial"/>
          <w:b/>
          <w:sz w:val="36"/>
          <w:szCs w:val="36"/>
        </w:rPr>
        <w:t>Pacific Gas &amp; Electric</w:t>
      </w:r>
      <w:r w:rsidR="00DF21B8" w:rsidRPr="0043050A">
        <w:rPr>
          <w:rFonts w:cs="Arial"/>
          <w:b/>
          <w:sz w:val="36"/>
          <w:szCs w:val="36"/>
        </w:rPr>
        <w:t xml:space="preserve"> Company</w:t>
      </w:r>
    </w:p>
    <w:p w:rsidR="00D7047A" w:rsidRPr="0043050A" w:rsidRDefault="00661864" w:rsidP="00D7047A">
      <w:pPr>
        <w:rPr>
          <w:rFonts w:cs="Arial"/>
          <w:b/>
          <w:sz w:val="32"/>
          <w:szCs w:val="32"/>
        </w:rPr>
      </w:pPr>
      <w:r w:rsidRPr="0043050A">
        <w:rPr>
          <w:rFonts w:cs="Arial"/>
          <w:b/>
          <w:sz w:val="32"/>
          <w:szCs w:val="32"/>
        </w:rPr>
        <w:t xml:space="preserve">Customer Energy Solutions </w:t>
      </w:r>
    </w:p>
    <w:p w:rsidR="00E34E73" w:rsidRPr="0043050A" w:rsidRDefault="00E34E73" w:rsidP="00324D0F">
      <w:pPr>
        <w:rPr>
          <w:rFonts w:cs="Arial"/>
          <w:b/>
          <w:highlight w:val="cyan"/>
        </w:rPr>
      </w:pPr>
    </w:p>
    <w:p w:rsidR="00C274E0" w:rsidRPr="0043050A" w:rsidRDefault="00C274E0" w:rsidP="00324D0F">
      <w:pPr>
        <w:rPr>
          <w:rFonts w:cs="Arial"/>
          <w:b/>
          <w:highlight w:val="cyan"/>
        </w:rPr>
      </w:pPr>
    </w:p>
    <w:p w:rsidR="00C274E0" w:rsidRPr="0043050A" w:rsidRDefault="00C274E0" w:rsidP="00324D0F">
      <w:pPr>
        <w:rPr>
          <w:rFonts w:cs="Arial"/>
          <w:b/>
          <w:highlight w:val="cyan"/>
        </w:rPr>
      </w:pPr>
    </w:p>
    <w:p w:rsidR="00324D0F" w:rsidRPr="005A1336" w:rsidRDefault="000D0941" w:rsidP="00A167EC">
      <w:pPr>
        <w:ind w:right="-720"/>
        <w:rPr>
          <w:rFonts w:cs="Arial"/>
          <w:b/>
          <w:sz w:val="72"/>
          <w:szCs w:val="72"/>
        </w:rPr>
      </w:pPr>
      <w:r w:rsidRPr="0043050A">
        <w:rPr>
          <w:rFonts w:cs="Arial"/>
          <w:b/>
          <w:sz w:val="72"/>
          <w:szCs w:val="72"/>
        </w:rPr>
        <w:t>Home Energy Reports</w:t>
      </w:r>
    </w:p>
    <w:p w:rsidR="00B421F2" w:rsidRPr="0043050A" w:rsidRDefault="00A167EC" w:rsidP="002D4621">
      <w:pPr>
        <w:ind w:right="-720"/>
        <w:rPr>
          <w:rFonts w:cs="Arial"/>
          <w:b/>
        </w:rPr>
      </w:pPr>
      <w:r w:rsidRPr="005A1336">
        <w:rPr>
          <w:rFonts w:cs="Arial"/>
          <w:b/>
        </w:rPr>
        <w:t>Measure Codes</w:t>
      </w:r>
      <w:r w:rsidR="00AC6C60" w:rsidRPr="0043050A">
        <w:rPr>
          <w:rFonts w:cs="Arial"/>
          <w:b/>
        </w:rPr>
        <w:t xml:space="preserve"> – Procedural </w:t>
      </w:r>
      <w:r w:rsidR="009B00D1" w:rsidRPr="0043050A">
        <w:rPr>
          <w:rFonts w:cs="Arial"/>
          <w:b/>
        </w:rPr>
        <w:t>work paper</w:t>
      </w:r>
    </w:p>
    <w:p w:rsidR="00CB3583" w:rsidRPr="00C274E0" w:rsidRDefault="00CB3583" w:rsidP="002E0043">
      <w:pPr>
        <w:rPr>
          <w:rFonts w:cs="Arial"/>
          <w:b/>
          <w:i/>
          <w:highlight w:val="cyan"/>
        </w:rPr>
      </w:pPr>
    </w:p>
    <w:p w:rsidR="003D3F36" w:rsidRPr="00C274E0" w:rsidRDefault="003D3F36" w:rsidP="00844B27">
      <w:pPr>
        <w:rPr>
          <w:rFonts w:cs="Arial"/>
          <w:b/>
          <w:i/>
          <w:highlight w:val="cyan"/>
        </w:rPr>
      </w:pPr>
    </w:p>
    <w:p w:rsidR="00E84DBD" w:rsidRDefault="00E84DBD"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353930">
      <w:pPr>
        <w:rPr>
          <w:rFonts w:cs="Arial"/>
          <w:b/>
          <w:i/>
        </w:rPr>
      </w:pPr>
    </w:p>
    <w:p w:rsidR="00C274E0" w:rsidRDefault="00C274E0" w:rsidP="00353930">
      <w:pPr>
        <w:rPr>
          <w:rFonts w:cs="Arial"/>
          <w:b/>
          <w:i/>
        </w:rPr>
      </w:pPr>
    </w:p>
    <w:p w:rsidR="00C274E0" w:rsidRDefault="00C274E0" w:rsidP="00353930">
      <w:pPr>
        <w:rPr>
          <w:rFonts w:cs="Arial"/>
          <w:b/>
          <w:i/>
        </w:rPr>
      </w:pPr>
    </w:p>
    <w:p w:rsidR="00C274E0" w:rsidRDefault="00C274E0" w:rsidP="00353930">
      <w:pPr>
        <w:rPr>
          <w:rFonts w:cs="Arial"/>
          <w:b/>
          <w:i/>
        </w:rPr>
      </w:pPr>
    </w:p>
    <w:p w:rsidR="00C274E0" w:rsidRDefault="00C274E0" w:rsidP="00353930">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rsidR="00E71EF1" w:rsidRDefault="00E731C6" w:rsidP="00E71EF1">
      <w:pPr>
        <w:pStyle w:val="Heading1"/>
      </w:pPr>
      <w:bookmarkStart w:id="2" w:name="_Toc304800192"/>
      <w:bookmarkStart w:id="3" w:name="_Toc324318330"/>
      <w:bookmarkStart w:id="4" w:name="_Toc324340474"/>
      <w:bookmarkStart w:id="5" w:name="_Toc476228478"/>
      <w:r>
        <w:lastRenderedPageBreak/>
        <w:t>At-</w:t>
      </w:r>
      <w:r w:rsidR="00E71EF1">
        <w:t>a</w:t>
      </w:r>
      <w:r>
        <w:t>-</w:t>
      </w:r>
      <w:r w:rsidR="00E71EF1">
        <w:t>Glance Summary</w:t>
      </w:r>
      <w:bookmarkEnd w:id="2"/>
      <w:bookmarkEnd w:id="3"/>
      <w:bookmarkEnd w:id="4"/>
      <w:bookmarkEnd w:id="5"/>
    </w:p>
    <w:tbl>
      <w:tblPr>
        <w:tblW w:w="8930" w:type="dxa"/>
        <w:tblBorders>
          <w:insideH w:val="single" w:sz="18" w:space="0" w:color="FFFFFF"/>
          <w:insideV w:val="single" w:sz="18" w:space="0" w:color="FFFFFF"/>
        </w:tblBorders>
        <w:tblLayout w:type="fixed"/>
        <w:tblLook w:val="01E0" w:firstRow="1" w:lastRow="1" w:firstColumn="1" w:lastColumn="1" w:noHBand="0" w:noVBand="0"/>
      </w:tblPr>
      <w:tblGrid>
        <w:gridCol w:w="3797"/>
        <w:gridCol w:w="5133"/>
      </w:tblGrid>
      <w:tr w:rsidR="00466CD6" w:rsidRPr="00A55DD1" w:rsidTr="000A06AB">
        <w:trPr>
          <w:trHeight w:val="465"/>
        </w:trPr>
        <w:tc>
          <w:tcPr>
            <w:tcW w:w="3797" w:type="dxa"/>
            <w:shd w:val="pct20" w:color="000000" w:fill="FFFFFF"/>
          </w:tcPr>
          <w:p w:rsidR="00466CD6" w:rsidRPr="00610FC6" w:rsidRDefault="00466CD6" w:rsidP="0028709C">
            <w:pPr>
              <w:rPr>
                <w:rStyle w:val="Strong"/>
              </w:rPr>
            </w:pPr>
            <w:r w:rsidRPr="00610FC6">
              <w:rPr>
                <w:rStyle w:val="Strong"/>
              </w:rPr>
              <w:t>Applicable Measure Codes:</w:t>
            </w:r>
          </w:p>
        </w:tc>
        <w:tc>
          <w:tcPr>
            <w:tcW w:w="5133" w:type="dxa"/>
            <w:shd w:val="pct20" w:color="000000" w:fill="FFFFFF"/>
          </w:tcPr>
          <w:p w:rsidR="00466CD6" w:rsidRPr="00F621AD" w:rsidRDefault="00466CD6" w:rsidP="00466CD6">
            <w:pPr>
              <w:rPr>
                <w:rFonts w:cs="Arial"/>
                <w:b/>
                <w:bCs/>
                <w:sz w:val="20"/>
                <w:szCs w:val="20"/>
                <w:highlight w:val="yellow"/>
              </w:rPr>
            </w:pPr>
          </w:p>
        </w:tc>
      </w:tr>
      <w:tr w:rsidR="000571F6" w:rsidRPr="00A55DD1" w:rsidTr="00F621AD">
        <w:trPr>
          <w:trHeight w:val="465"/>
        </w:trPr>
        <w:tc>
          <w:tcPr>
            <w:tcW w:w="3797" w:type="dxa"/>
            <w:shd w:val="pct5" w:color="000000" w:fill="FFFFFF"/>
          </w:tcPr>
          <w:p w:rsidR="000571F6" w:rsidRPr="00610FC6" w:rsidRDefault="00C63D95" w:rsidP="0028709C">
            <w:pPr>
              <w:rPr>
                <w:rStyle w:val="Strong"/>
              </w:rPr>
            </w:pPr>
            <w:r w:rsidRPr="00610FC6">
              <w:rPr>
                <w:rStyle w:val="Strong"/>
              </w:rPr>
              <w:t>Measure Description</w:t>
            </w:r>
            <w:r w:rsidR="000571F6" w:rsidRPr="00610FC6">
              <w:rPr>
                <w:rStyle w:val="Strong"/>
              </w:rPr>
              <w:t xml:space="preserve">: </w:t>
            </w:r>
          </w:p>
        </w:tc>
        <w:tc>
          <w:tcPr>
            <w:tcW w:w="5133" w:type="dxa"/>
            <w:shd w:val="pct5" w:color="000000" w:fill="FFFFFF"/>
          </w:tcPr>
          <w:p w:rsidR="000571F6" w:rsidRPr="000E22C9" w:rsidRDefault="00EE52ED" w:rsidP="00653EC3">
            <w:pPr>
              <w:rPr>
                <w:rFonts w:cs="Arial"/>
                <w:sz w:val="20"/>
                <w:szCs w:val="20"/>
              </w:rPr>
            </w:pPr>
            <w:r>
              <w:rPr>
                <w:rFonts w:cs="Arial"/>
                <w:sz w:val="20"/>
                <w:szCs w:val="20"/>
              </w:rPr>
              <w:t xml:space="preserve">Home Energy Reports is a </w:t>
            </w:r>
            <w:r w:rsidR="006833A1">
              <w:rPr>
                <w:rFonts w:cs="Arial"/>
                <w:sz w:val="20"/>
                <w:szCs w:val="20"/>
              </w:rPr>
              <w:t xml:space="preserve">residential </w:t>
            </w:r>
            <w:r>
              <w:rPr>
                <w:rFonts w:cs="Arial"/>
                <w:sz w:val="20"/>
                <w:szCs w:val="20"/>
              </w:rPr>
              <w:t>information-based measure that provides usage feedback and comparisons of energy usage to similar residences</w:t>
            </w:r>
            <w:r w:rsidR="00095411">
              <w:rPr>
                <w:rFonts w:cs="Arial"/>
                <w:sz w:val="20"/>
                <w:szCs w:val="20"/>
              </w:rPr>
              <w:t>. Information is provided</w:t>
            </w:r>
            <w:r>
              <w:rPr>
                <w:rFonts w:cs="Arial"/>
                <w:sz w:val="20"/>
                <w:szCs w:val="20"/>
              </w:rPr>
              <w:t xml:space="preserve"> via printed </w:t>
            </w:r>
            <w:r w:rsidR="006833A1">
              <w:rPr>
                <w:rFonts w:cs="Arial"/>
                <w:sz w:val="20"/>
                <w:szCs w:val="20"/>
              </w:rPr>
              <w:t xml:space="preserve">or email </w:t>
            </w:r>
            <w:r>
              <w:rPr>
                <w:rFonts w:cs="Arial"/>
                <w:sz w:val="20"/>
                <w:szCs w:val="20"/>
              </w:rPr>
              <w:t xml:space="preserve">reports </w:t>
            </w:r>
            <w:r w:rsidR="006833A1">
              <w:rPr>
                <w:rFonts w:cs="Arial"/>
                <w:sz w:val="20"/>
                <w:szCs w:val="20"/>
              </w:rPr>
              <w:t xml:space="preserve">sent </w:t>
            </w:r>
            <w:r>
              <w:rPr>
                <w:rFonts w:cs="Arial"/>
                <w:sz w:val="20"/>
                <w:szCs w:val="20"/>
              </w:rPr>
              <w:t xml:space="preserve">to residential </w:t>
            </w:r>
            <w:r w:rsidR="006833A1">
              <w:rPr>
                <w:rFonts w:cs="Arial"/>
                <w:sz w:val="20"/>
                <w:szCs w:val="20"/>
              </w:rPr>
              <w:t>customers</w:t>
            </w:r>
            <w:r>
              <w:rPr>
                <w:rFonts w:cs="Arial"/>
                <w:sz w:val="20"/>
                <w:szCs w:val="20"/>
              </w:rPr>
              <w:t xml:space="preserve">. The measure </w:t>
            </w:r>
            <w:r w:rsidR="00AC4CD7">
              <w:rPr>
                <w:rFonts w:cs="Arial"/>
                <w:sz w:val="20"/>
                <w:szCs w:val="20"/>
              </w:rPr>
              <w:t xml:space="preserve">is implemented through successive experiments (also named waves). These experiments </w:t>
            </w:r>
            <w:r>
              <w:rPr>
                <w:rFonts w:cs="Arial"/>
                <w:sz w:val="20"/>
                <w:szCs w:val="20"/>
              </w:rPr>
              <w:t xml:space="preserve">use </w:t>
            </w:r>
            <w:r w:rsidR="005A1336">
              <w:rPr>
                <w:rFonts w:cs="Arial"/>
                <w:sz w:val="20"/>
                <w:szCs w:val="20"/>
              </w:rPr>
              <w:t>a</w:t>
            </w:r>
            <w:r>
              <w:rPr>
                <w:rFonts w:cs="Arial"/>
                <w:sz w:val="20"/>
                <w:szCs w:val="20"/>
              </w:rPr>
              <w:t xml:space="preserve"> </w:t>
            </w:r>
            <w:r w:rsidR="00095411">
              <w:rPr>
                <w:rFonts w:cs="Arial"/>
                <w:sz w:val="20"/>
                <w:szCs w:val="20"/>
              </w:rPr>
              <w:t>random</w:t>
            </w:r>
            <w:r w:rsidR="00E02429">
              <w:rPr>
                <w:rFonts w:cs="Arial"/>
                <w:sz w:val="20"/>
                <w:szCs w:val="20"/>
              </w:rPr>
              <w:t>ized</w:t>
            </w:r>
            <w:r w:rsidR="00095411">
              <w:rPr>
                <w:rFonts w:cs="Arial"/>
                <w:sz w:val="20"/>
                <w:szCs w:val="20"/>
              </w:rPr>
              <w:t xml:space="preserve"> </w:t>
            </w:r>
            <w:r w:rsidR="00554299">
              <w:rPr>
                <w:rFonts w:cs="Arial"/>
                <w:sz w:val="20"/>
                <w:szCs w:val="20"/>
              </w:rPr>
              <w:t xml:space="preserve">control trial </w:t>
            </w:r>
            <w:r>
              <w:rPr>
                <w:rFonts w:cs="Arial"/>
                <w:sz w:val="20"/>
                <w:szCs w:val="20"/>
              </w:rPr>
              <w:t xml:space="preserve">whereby </w:t>
            </w:r>
            <w:r w:rsidR="00095411">
              <w:rPr>
                <w:rFonts w:cs="Arial"/>
                <w:sz w:val="20"/>
                <w:szCs w:val="20"/>
              </w:rPr>
              <w:t xml:space="preserve">a </w:t>
            </w:r>
            <w:r w:rsidR="00E02429">
              <w:rPr>
                <w:rFonts w:cs="Arial"/>
                <w:sz w:val="20"/>
                <w:szCs w:val="20"/>
              </w:rPr>
              <w:t xml:space="preserve">subset of the whole eligible population </w:t>
            </w:r>
            <w:r w:rsidR="00095411">
              <w:rPr>
                <w:rFonts w:cs="Arial"/>
                <w:sz w:val="20"/>
                <w:szCs w:val="20"/>
              </w:rPr>
              <w:t xml:space="preserve">defined </w:t>
            </w:r>
            <w:r w:rsidR="00E02429">
              <w:rPr>
                <w:rFonts w:cs="Arial"/>
                <w:sz w:val="20"/>
                <w:szCs w:val="20"/>
              </w:rPr>
              <w:t xml:space="preserve">by </w:t>
            </w:r>
            <w:r w:rsidR="00095411">
              <w:rPr>
                <w:rFonts w:cs="Arial"/>
                <w:sz w:val="20"/>
                <w:szCs w:val="20"/>
              </w:rPr>
              <w:t xml:space="preserve">multiple </w:t>
            </w:r>
            <w:r w:rsidR="00E02429">
              <w:rPr>
                <w:rFonts w:cs="Arial"/>
                <w:sz w:val="20"/>
                <w:szCs w:val="20"/>
              </w:rPr>
              <w:t xml:space="preserve">eligibility criteria </w:t>
            </w:r>
            <w:r w:rsidR="00095411">
              <w:rPr>
                <w:rFonts w:cs="Arial"/>
                <w:sz w:val="20"/>
                <w:szCs w:val="20"/>
              </w:rPr>
              <w:t xml:space="preserve">is </w:t>
            </w:r>
            <w:r>
              <w:rPr>
                <w:rFonts w:cs="Arial"/>
                <w:sz w:val="20"/>
                <w:szCs w:val="20"/>
              </w:rPr>
              <w:t>randomly assigned either to receive reports (“treatment condition”) or not (“control condition”).</w:t>
            </w:r>
            <w:r w:rsidR="00095411">
              <w:rPr>
                <w:rFonts w:cs="Arial"/>
                <w:sz w:val="20"/>
                <w:szCs w:val="20"/>
              </w:rPr>
              <w:t xml:space="preserve"> </w:t>
            </w:r>
            <w:r w:rsidR="00E02429">
              <w:rPr>
                <w:rFonts w:cs="Arial"/>
                <w:sz w:val="20"/>
                <w:szCs w:val="20"/>
              </w:rPr>
              <w:t xml:space="preserve">The treatment is defined as receiving </w:t>
            </w:r>
            <w:r w:rsidR="00E04B76">
              <w:rPr>
                <w:rFonts w:cs="Arial"/>
                <w:sz w:val="20"/>
                <w:szCs w:val="20"/>
              </w:rPr>
              <w:t xml:space="preserve">reports containing </w:t>
            </w:r>
            <w:r w:rsidR="00E02429">
              <w:rPr>
                <w:rFonts w:cs="Arial"/>
                <w:sz w:val="20"/>
                <w:szCs w:val="20"/>
              </w:rPr>
              <w:t xml:space="preserve">usage feedback and comparisons. </w:t>
            </w:r>
            <w:r w:rsidR="00095411">
              <w:rPr>
                <w:rFonts w:cs="Arial"/>
                <w:sz w:val="20"/>
                <w:szCs w:val="20"/>
              </w:rPr>
              <w:t>Due to the unique composition</w:t>
            </w:r>
            <w:r w:rsidR="00554299">
              <w:rPr>
                <w:rFonts w:cs="Arial"/>
                <w:sz w:val="20"/>
                <w:szCs w:val="20"/>
              </w:rPr>
              <w:t xml:space="preserve"> of each </w:t>
            </w:r>
            <w:r w:rsidR="00E02429">
              <w:rPr>
                <w:rFonts w:cs="Arial"/>
                <w:sz w:val="20"/>
                <w:szCs w:val="20"/>
              </w:rPr>
              <w:t>experiment</w:t>
            </w:r>
            <w:r w:rsidR="005764C6">
              <w:rPr>
                <w:rFonts w:cs="Arial"/>
                <w:sz w:val="20"/>
                <w:szCs w:val="20"/>
              </w:rPr>
              <w:t xml:space="preserve">, savings for this measure must be </w:t>
            </w:r>
            <w:r w:rsidR="00E02429">
              <w:rPr>
                <w:rFonts w:cs="Arial"/>
                <w:sz w:val="20"/>
                <w:szCs w:val="20"/>
              </w:rPr>
              <w:t xml:space="preserve">estimated </w:t>
            </w:r>
            <w:r w:rsidR="005764C6">
              <w:rPr>
                <w:rFonts w:cs="Arial"/>
                <w:sz w:val="20"/>
                <w:szCs w:val="20"/>
              </w:rPr>
              <w:t>for each experiment separately</w:t>
            </w:r>
            <w:r w:rsidR="00027C7A">
              <w:rPr>
                <w:rFonts w:cs="Arial"/>
                <w:sz w:val="20"/>
                <w:szCs w:val="20"/>
              </w:rPr>
              <w:t xml:space="preserve"> using the associated control group as the Base Case energy consumption (</w:t>
            </w:r>
            <w:r w:rsidR="00624A15">
              <w:rPr>
                <w:rFonts w:cs="Arial"/>
                <w:sz w:val="20"/>
                <w:szCs w:val="20"/>
              </w:rPr>
              <w:t xml:space="preserve">acting as </w:t>
            </w:r>
            <w:r w:rsidR="00027C7A">
              <w:rPr>
                <w:rFonts w:cs="Arial"/>
                <w:sz w:val="20"/>
                <w:szCs w:val="20"/>
              </w:rPr>
              <w:t>counterfactual or baseline)</w:t>
            </w:r>
            <w:r w:rsidR="00653EC3">
              <w:rPr>
                <w:rFonts w:cs="Arial"/>
                <w:sz w:val="20"/>
                <w:szCs w:val="20"/>
              </w:rPr>
              <w:t>,</w:t>
            </w:r>
            <w:r w:rsidR="00E02429">
              <w:rPr>
                <w:rFonts w:cs="Arial"/>
                <w:sz w:val="20"/>
                <w:szCs w:val="20"/>
              </w:rPr>
              <w:t xml:space="preserve"> on an </w:t>
            </w:r>
            <w:r w:rsidR="00E02429">
              <w:rPr>
                <w:rFonts w:cs="Arial"/>
                <w:i/>
                <w:sz w:val="20"/>
                <w:szCs w:val="20"/>
              </w:rPr>
              <w:t>ex-post</w:t>
            </w:r>
            <w:r w:rsidR="00E02429">
              <w:rPr>
                <w:rFonts w:cs="Arial"/>
                <w:sz w:val="20"/>
                <w:szCs w:val="20"/>
              </w:rPr>
              <w:t xml:space="preserve"> basis</w:t>
            </w:r>
            <w:r w:rsidR="005764C6">
              <w:rPr>
                <w:rFonts w:cs="Arial"/>
                <w:sz w:val="20"/>
                <w:szCs w:val="20"/>
              </w:rPr>
              <w:t>.</w:t>
            </w:r>
          </w:p>
        </w:tc>
      </w:tr>
      <w:tr w:rsidR="000571F6" w:rsidRPr="00A55DD1" w:rsidTr="00F621AD">
        <w:trPr>
          <w:trHeight w:val="465"/>
        </w:trPr>
        <w:tc>
          <w:tcPr>
            <w:tcW w:w="3797" w:type="dxa"/>
            <w:shd w:val="pct20" w:color="000000" w:fill="FFFFFF"/>
          </w:tcPr>
          <w:p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133" w:type="dxa"/>
            <w:shd w:val="pct20" w:color="000000" w:fill="FFFFFF"/>
          </w:tcPr>
          <w:p w:rsidR="000571F6" w:rsidRPr="000E22C9" w:rsidRDefault="00E10650" w:rsidP="00AC4CD7">
            <w:pPr>
              <w:rPr>
                <w:rFonts w:cs="Arial"/>
                <w:sz w:val="20"/>
                <w:szCs w:val="20"/>
              </w:rPr>
            </w:pPr>
            <w:r>
              <w:rPr>
                <w:rFonts w:cs="Arial"/>
                <w:sz w:val="20"/>
                <w:szCs w:val="20"/>
              </w:rPr>
              <w:t>kWh</w:t>
            </w:r>
            <w:r w:rsidR="00AC4CD7">
              <w:rPr>
                <w:rFonts w:cs="Arial"/>
                <w:sz w:val="20"/>
                <w:szCs w:val="20"/>
              </w:rPr>
              <w:t xml:space="preserve">, kW, </w:t>
            </w:r>
            <w:proofErr w:type="spellStart"/>
            <w:r w:rsidR="00EE52ED">
              <w:rPr>
                <w:rFonts w:cs="Arial"/>
                <w:sz w:val="20"/>
                <w:szCs w:val="20"/>
              </w:rPr>
              <w:t>T</w:t>
            </w:r>
            <w:r>
              <w:rPr>
                <w:rFonts w:cs="Arial"/>
                <w:sz w:val="20"/>
                <w:szCs w:val="20"/>
              </w:rPr>
              <w:t>herms</w:t>
            </w:r>
            <w:proofErr w:type="spellEnd"/>
            <w:r>
              <w:rPr>
                <w:rFonts w:cs="Arial"/>
                <w:sz w:val="20"/>
                <w:szCs w:val="20"/>
              </w:rPr>
              <w:t xml:space="preserve"> per household</w:t>
            </w:r>
            <w:r w:rsidR="00721C75" w:rsidRPr="000E22C9">
              <w:rPr>
                <w:rFonts w:cs="Arial"/>
                <w:sz w:val="20"/>
                <w:szCs w:val="20"/>
              </w:rPr>
              <w:t xml:space="preserve"> </w:t>
            </w:r>
          </w:p>
        </w:tc>
      </w:tr>
      <w:tr w:rsidR="000571F6" w:rsidRPr="00A55DD1" w:rsidTr="00F621AD">
        <w:trPr>
          <w:trHeight w:val="465"/>
        </w:trPr>
        <w:tc>
          <w:tcPr>
            <w:tcW w:w="3797" w:type="dxa"/>
            <w:shd w:val="pct5" w:color="000000" w:fill="FFFFFF"/>
          </w:tcPr>
          <w:p w:rsidR="000571F6" w:rsidRPr="00610FC6" w:rsidRDefault="00EB367C" w:rsidP="0028709C">
            <w:pPr>
              <w:rPr>
                <w:rStyle w:val="Strong"/>
              </w:rPr>
            </w:pPr>
            <w:r w:rsidRPr="00610FC6">
              <w:rPr>
                <w:rStyle w:val="Strong"/>
              </w:rPr>
              <w:t>Base Case Description:</w:t>
            </w:r>
          </w:p>
        </w:tc>
        <w:tc>
          <w:tcPr>
            <w:tcW w:w="5133" w:type="dxa"/>
            <w:shd w:val="pct5" w:color="000000" w:fill="FFFFFF"/>
          </w:tcPr>
          <w:p w:rsidR="005F57B5" w:rsidRPr="000E22C9" w:rsidRDefault="00E9687D" w:rsidP="00AC4CD7">
            <w:pPr>
              <w:rPr>
                <w:rFonts w:cs="Arial"/>
                <w:sz w:val="20"/>
                <w:szCs w:val="20"/>
              </w:rPr>
            </w:pPr>
            <w:r>
              <w:rPr>
                <w:rFonts w:cs="Arial"/>
                <w:sz w:val="20"/>
                <w:szCs w:val="20"/>
              </w:rPr>
              <w:t>PG&amp;E:</w:t>
            </w:r>
            <w:r w:rsidR="00EE52ED">
              <w:rPr>
                <w:rFonts w:cs="Arial"/>
                <w:sz w:val="20"/>
                <w:szCs w:val="20"/>
              </w:rPr>
              <w:t xml:space="preserve"> Customers that are assigned to the control condition for any given experiment.</w:t>
            </w:r>
          </w:p>
        </w:tc>
      </w:tr>
      <w:tr w:rsidR="000571F6" w:rsidRPr="00A55DD1" w:rsidTr="00F621AD">
        <w:trPr>
          <w:trHeight w:val="465"/>
        </w:trPr>
        <w:tc>
          <w:tcPr>
            <w:tcW w:w="3797" w:type="dxa"/>
            <w:shd w:val="pct20" w:color="000000" w:fill="FFFFFF"/>
          </w:tcPr>
          <w:p w:rsidR="000571F6" w:rsidRPr="00610FC6" w:rsidRDefault="00EE4094" w:rsidP="0028709C">
            <w:pPr>
              <w:rPr>
                <w:rStyle w:val="Strong"/>
              </w:rPr>
            </w:pPr>
            <w:r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133" w:type="dxa"/>
            <w:shd w:val="pct20" w:color="000000" w:fill="FFFFFF"/>
          </w:tcPr>
          <w:p w:rsidR="000571F6" w:rsidRPr="000E22C9" w:rsidRDefault="00E9687D" w:rsidP="00D37A18">
            <w:pPr>
              <w:rPr>
                <w:rFonts w:cs="Arial"/>
                <w:sz w:val="20"/>
                <w:szCs w:val="20"/>
              </w:rPr>
            </w:pPr>
            <w:r>
              <w:rPr>
                <w:rFonts w:cs="Arial"/>
                <w:sz w:val="20"/>
                <w:szCs w:val="20"/>
              </w:rPr>
              <w:t xml:space="preserve">PG&amp;E: The Base Case energy consumption is that of </w:t>
            </w:r>
            <w:r w:rsidR="007106BE">
              <w:rPr>
                <w:rFonts w:cs="Arial"/>
                <w:sz w:val="20"/>
                <w:szCs w:val="20"/>
              </w:rPr>
              <w:t xml:space="preserve">the average of </w:t>
            </w:r>
            <w:r w:rsidR="00EE52ED">
              <w:rPr>
                <w:rFonts w:cs="Arial"/>
                <w:sz w:val="20"/>
                <w:szCs w:val="20"/>
              </w:rPr>
              <w:t xml:space="preserve">residential customers assigned to the control condition for a given </w:t>
            </w:r>
            <w:r w:rsidR="007106BE">
              <w:rPr>
                <w:rFonts w:cs="Arial"/>
                <w:sz w:val="20"/>
                <w:szCs w:val="20"/>
              </w:rPr>
              <w:t>experiment</w:t>
            </w:r>
            <w:r w:rsidR="00EE52ED">
              <w:rPr>
                <w:rFonts w:cs="Arial"/>
                <w:sz w:val="20"/>
                <w:szCs w:val="20"/>
              </w:rPr>
              <w:t xml:space="preserve">. </w:t>
            </w:r>
            <w:r>
              <w:rPr>
                <w:rFonts w:cs="Arial"/>
                <w:sz w:val="20"/>
                <w:szCs w:val="20"/>
              </w:rPr>
              <w:t xml:space="preserve">Since savings are </w:t>
            </w:r>
            <w:r w:rsidR="008838FB">
              <w:rPr>
                <w:rFonts w:cs="Arial"/>
                <w:sz w:val="20"/>
                <w:szCs w:val="20"/>
              </w:rPr>
              <w:t xml:space="preserve">estimated </w:t>
            </w:r>
            <w:r w:rsidR="00EE52ED">
              <w:rPr>
                <w:rFonts w:cs="Arial"/>
                <w:sz w:val="20"/>
                <w:szCs w:val="20"/>
              </w:rPr>
              <w:t xml:space="preserve">by comparing usage between treatment and control conditions for every </w:t>
            </w:r>
            <w:r w:rsidR="00AC4CD7">
              <w:rPr>
                <w:rFonts w:cs="Arial"/>
                <w:sz w:val="20"/>
                <w:szCs w:val="20"/>
              </w:rPr>
              <w:t xml:space="preserve">experiment </w:t>
            </w:r>
            <w:r w:rsidR="00EE52ED">
              <w:rPr>
                <w:rFonts w:cs="Arial"/>
                <w:sz w:val="20"/>
                <w:szCs w:val="20"/>
              </w:rPr>
              <w:t xml:space="preserve">separately, </w:t>
            </w:r>
            <w:r>
              <w:rPr>
                <w:rFonts w:cs="Arial"/>
                <w:sz w:val="20"/>
                <w:szCs w:val="20"/>
              </w:rPr>
              <w:t>the</w:t>
            </w:r>
            <w:r w:rsidR="00EE52ED">
              <w:rPr>
                <w:rFonts w:cs="Arial"/>
                <w:sz w:val="20"/>
                <w:szCs w:val="20"/>
              </w:rPr>
              <w:t>re</w:t>
            </w:r>
            <w:r>
              <w:rPr>
                <w:rFonts w:cs="Arial"/>
                <w:sz w:val="20"/>
                <w:szCs w:val="20"/>
              </w:rPr>
              <w:t xml:space="preserve"> is not a </w:t>
            </w:r>
            <w:r w:rsidR="00EE52ED">
              <w:rPr>
                <w:rFonts w:cs="Arial"/>
                <w:sz w:val="20"/>
                <w:szCs w:val="20"/>
              </w:rPr>
              <w:t xml:space="preserve">single </w:t>
            </w:r>
            <w:r>
              <w:rPr>
                <w:rFonts w:cs="Arial"/>
                <w:sz w:val="20"/>
                <w:szCs w:val="20"/>
              </w:rPr>
              <w:t xml:space="preserve">numerical </w:t>
            </w:r>
            <w:r w:rsidR="008838FB">
              <w:rPr>
                <w:rFonts w:cs="Arial"/>
                <w:sz w:val="20"/>
                <w:szCs w:val="20"/>
              </w:rPr>
              <w:t>Base Case</w:t>
            </w:r>
            <w:r w:rsidR="00EE52ED">
              <w:rPr>
                <w:rFonts w:cs="Arial"/>
                <w:sz w:val="20"/>
                <w:szCs w:val="20"/>
              </w:rPr>
              <w:t>.</w:t>
            </w:r>
            <w:r w:rsidR="00AC4CD7">
              <w:rPr>
                <w:rFonts w:cs="Arial"/>
                <w:sz w:val="20"/>
                <w:szCs w:val="20"/>
              </w:rPr>
              <w:t xml:space="preserve"> Control groups </w:t>
            </w:r>
            <w:r w:rsidR="008838FB">
              <w:rPr>
                <w:rFonts w:cs="Arial"/>
                <w:sz w:val="20"/>
                <w:szCs w:val="20"/>
              </w:rPr>
              <w:t>show</w:t>
            </w:r>
            <w:r w:rsidR="00AC4CD7">
              <w:rPr>
                <w:rFonts w:cs="Arial"/>
                <w:sz w:val="20"/>
                <w:szCs w:val="20"/>
              </w:rPr>
              <w:t xml:space="preserve"> indeed different </w:t>
            </w:r>
            <w:r w:rsidR="00CF5F10">
              <w:rPr>
                <w:rFonts w:cs="Arial"/>
                <w:sz w:val="20"/>
                <w:szCs w:val="20"/>
              </w:rPr>
              <w:t xml:space="preserve">characteristics </w:t>
            </w:r>
            <w:r w:rsidR="00AC4CD7">
              <w:rPr>
                <w:rFonts w:cs="Arial"/>
                <w:sz w:val="20"/>
                <w:szCs w:val="20"/>
              </w:rPr>
              <w:t xml:space="preserve">from each other because the characteristics of the </w:t>
            </w:r>
            <w:r w:rsidR="00EB038E">
              <w:rPr>
                <w:rFonts w:cs="Arial"/>
                <w:sz w:val="20"/>
                <w:szCs w:val="20"/>
              </w:rPr>
              <w:t xml:space="preserve">sample frame (i.e. </w:t>
            </w:r>
            <w:r w:rsidR="00C17F6F">
              <w:rPr>
                <w:rFonts w:cs="Arial"/>
                <w:sz w:val="20"/>
                <w:szCs w:val="20"/>
              </w:rPr>
              <w:t xml:space="preserve">the </w:t>
            </w:r>
            <w:r w:rsidR="00CF5F10">
              <w:rPr>
                <w:rFonts w:cs="Arial"/>
                <w:sz w:val="20"/>
                <w:szCs w:val="20"/>
              </w:rPr>
              <w:t xml:space="preserve">set of </w:t>
            </w:r>
            <w:r w:rsidR="00EB038E">
              <w:rPr>
                <w:rFonts w:cs="Arial"/>
                <w:sz w:val="20"/>
                <w:szCs w:val="20"/>
              </w:rPr>
              <w:t xml:space="preserve">eligible residential customers to </w:t>
            </w:r>
            <w:r w:rsidR="00C17F6F">
              <w:rPr>
                <w:rFonts w:cs="Arial"/>
                <w:sz w:val="20"/>
                <w:szCs w:val="20"/>
              </w:rPr>
              <w:t>receive the treatment</w:t>
            </w:r>
            <w:r w:rsidR="00EB038E">
              <w:rPr>
                <w:rFonts w:cs="Arial"/>
                <w:sz w:val="20"/>
                <w:szCs w:val="20"/>
              </w:rPr>
              <w:t xml:space="preserve">) </w:t>
            </w:r>
            <w:r w:rsidR="00AC4CD7">
              <w:rPr>
                <w:rFonts w:cs="Arial"/>
                <w:sz w:val="20"/>
                <w:szCs w:val="20"/>
              </w:rPr>
              <w:t>evolve over time</w:t>
            </w:r>
            <w:r w:rsidR="00C17F6F">
              <w:rPr>
                <w:rFonts w:cs="Arial"/>
                <w:sz w:val="20"/>
                <w:szCs w:val="20"/>
              </w:rPr>
              <w:t xml:space="preserve"> and</w:t>
            </w:r>
            <w:r w:rsidR="00CF5F10">
              <w:rPr>
                <w:rFonts w:cs="Arial"/>
                <w:sz w:val="20"/>
                <w:szCs w:val="20"/>
              </w:rPr>
              <w:t xml:space="preserve"> are function of wave-specific exclusions,</w:t>
            </w:r>
            <w:r w:rsidR="00AC4CD7">
              <w:rPr>
                <w:rFonts w:cs="Arial"/>
                <w:sz w:val="20"/>
                <w:szCs w:val="20"/>
              </w:rPr>
              <w:t xml:space="preserve"> and</w:t>
            </w:r>
            <w:r w:rsidR="00C17F6F">
              <w:rPr>
                <w:rFonts w:cs="Arial"/>
                <w:sz w:val="20"/>
                <w:szCs w:val="20"/>
              </w:rPr>
              <w:t xml:space="preserve"> because</w:t>
            </w:r>
            <w:r w:rsidR="00AC4CD7">
              <w:rPr>
                <w:rFonts w:cs="Arial"/>
                <w:sz w:val="20"/>
                <w:szCs w:val="20"/>
              </w:rPr>
              <w:t xml:space="preserve"> random assignments to </w:t>
            </w:r>
            <w:r w:rsidR="001F50BD">
              <w:rPr>
                <w:rFonts w:cs="Arial"/>
                <w:sz w:val="20"/>
                <w:szCs w:val="20"/>
              </w:rPr>
              <w:t>each</w:t>
            </w:r>
            <w:r w:rsidR="00AC4CD7">
              <w:rPr>
                <w:rFonts w:cs="Arial"/>
                <w:sz w:val="20"/>
                <w:szCs w:val="20"/>
              </w:rPr>
              <w:t xml:space="preserve"> control group are done at different time</w:t>
            </w:r>
            <w:r w:rsidR="001F50BD">
              <w:rPr>
                <w:rFonts w:cs="Arial"/>
                <w:sz w:val="20"/>
                <w:szCs w:val="20"/>
              </w:rPr>
              <w:t>s</w:t>
            </w:r>
            <w:r w:rsidR="00F379A3">
              <w:rPr>
                <w:rFonts w:cs="Arial"/>
                <w:sz w:val="20"/>
                <w:szCs w:val="20"/>
              </w:rPr>
              <w:t xml:space="preserve"> (experiments are launched successively, not simultaneously)</w:t>
            </w:r>
            <w:r w:rsidR="00AC4CD7">
              <w:rPr>
                <w:rFonts w:cs="Arial"/>
                <w:sz w:val="20"/>
                <w:szCs w:val="20"/>
              </w:rPr>
              <w:t xml:space="preserve">. </w:t>
            </w:r>
            <w:r w:rsidR="00793C9A">
              <w:rPr>
                <w:rFonts w:cs="Arial"/>
                <w:sz w:val="20"/>
                <w:szCs w:val="20"/>
              </w:rPr>
              <w:t xml:space="preserve">However, </w:t>
            </w:r>
            <w:r w:rsidR="00AC4CD7">
              <w:rPr>
                <w:rFonts w:cs="Arial"/>
                <w:sz w:val="20"/>
                <w:szCs w:val="20"/>
              </w:rPr>
              <w:t xml:space="preserve">each </w:t>
            </w:r>
            <w:r w:rsidR="00793C9A">
              <w:rPr>
                <w:rFonts w:cs="Arial"/>
                <w:sz w:val="20"/>
                <w:szCs w:val="20"/>
              </w:rPr>
              <w:t xml:space="preserve">control group </w:t>
            </w:r>
            <w:r w:rsidR="00AC4CD7">
              <w:rPr>
                <w:rFonts w:cs="Arial"/>
                <w:sz w:val="20"/>
                <w:szCs w:val="20"/>
              </w:rPr>
              <w:t xml:space="preserve">is representative </w:t>
            </w:r>
            <w:r w:rsidR="00793C9A">
              <w:rPr>
                <w:rFonts w:cs="Arial"/>
                <w:sz w:val="20"/>
                <w:szCs w:val="20"/>
              </w:rPr>
              <w:t>o</w:t>
            </w:r>
            <w:r w:rsidR="00380225">
              <w:rPr>
                <w:rFonts w:cs="Arial"/>
                <w:sz w:val="20"/>
                <w:szCs w:val="20"/>
              </w:rPr>
              <w:t>f</w:t>
            </w:r>
            <w:r w:rsidR="00793C9A">
              <w:rPr>
                <w:rFonts w:cs="Arial"/>
                <w:sz w:val="20"/>
                <w:szCs w:val="20"/>
              </w:rPr>
              <w:t xml:space="preserve"> </w:t>
            </w:r>
            <w:r w:rsidR="00AC4CD7">
              <w:rPr>
                <w:rFonts w:cs="Arial"/>
                <w:sz w:val="20"/>
                <w:szCs w:val="20"/>
              </w:rPr>
              <w:t>its corresponding treatment group</w:t>
            </w:r>
            <w:r w:rsidR="00E22B44">
              <w:rPr>
                <w:rFonts w:cs="Arial"/>
                <w:sz w:val="20"/>
                <w:szCs w:val="20"/>
              </w:rPr>
              <w:t xml:space="preserve"> and is assumed to accurately predict what </w:t>
            </w:r>
            <w:r w:rsidR="001F50BD">
              <w:rPr>
                <w:rFonts w:cs="Arial"/>
                <w:sz w:val="20"/>
                <w:szCs w:val="20"/>
              </w:rPr>
              <w:t xml:space="preserve">would have been the </w:t>
            </w:r>
            <w:r w:rsidR="00E22B44">
              <w:rPr>
                <w:rFonts w:cs="Arial"/>
                <w:sz w:val="20"/>
                <w:szCs w:val="20"/>
              </w:rPr>
              <w:t xml:space="preserve">energy usage </w:t>
            </w:r>
            <w:r w:rsidR="00380225">
              <w:rPr>
                <w:rFonts w:cs="Arial"/>
                <w:sz w:val="20"/>
                <w:szCs w:val="20"/>
              </w:rPr>
              <w:t xml:space="preserve">and demand </w:t>
            </w:r>
            <w:r w:rsidR="00E22B44">
              <w:rPr>
                <w:rFonts w:cs="Arial"/>
                <w:sz w:val="20"/>
                <w:szCs w:val="20"/>
              </w:rPr>
              <w:t>for treated customers if they had not experienced the treatment</w:t>
            </w:r>
            <w:r w:rsidR="00AC4CD7">
              <w:rPr>
                <w:rFonts w:cs="Arial"/>
                <w:sz w:val="20"/>
                <w:szCs w:val="20"/>
              </w:rPr>
              <w:t>.</w:t>
            </w:r>
            <w:r w:rsidR="00E22B44">
              <w:rPr>
                <w:rFonts w:cs="Arial"/>
                <w:sz w:val="20"/>
                <w:szCs w:val="20"/>
              </w:rPr>
              <w:t xml:space="preserve"> These control groups serve as counterfactual</w:t>
            </w:r>
            <w:r w:rsidR="001F50BD">
              <w:rPr>
                <w:rFonts w:cs="Arial"/>
                <w:sz w:val="20"/>
                <w:szCs w:val="20"/>
              </w:rPr>
              <w:t>s</w:t>
            </w:r>
            <w:r w:rsidR="00E22B44">
              <w:rPr>
                <w:rFonts w:cs="Arial"/>
                <w:sz w:val="20"/>
                <w:szCs w:val="20"/>
              </w:rPr>
              <w:t xml:space="preserve"> in order to assess </w:t>
            </w:r>
            <w:r w:rsidR="00D37A18">
              <w:rPr>
                <w:rFonts w:cs="Arial"/>
                <w:sz w:val="20"/>
                <w:szCs w:val="20"/>
              </w:rPr>
              <w:t>the treatment effect, defined as savings impact</w:t>
            </w:r>
            <w:r w:rsidR="00E22B44">
              <w:rPr>
                <w:rFonts w:cs="Arial"/>
                <w:sz w:val="20"/>
                <w:szCs w:val="20"/>
              </w:rPr>
              <w:t>.</w:t>
            </w:r>
          </w:p>
        </w:tc>
      </w:tr>
      <w:tr w:rsidR="002C4F1C" w:rsidRPr="00A55DD1" w:rsidTr="00F621AD">
        <w:trPr>
          <w:trHeight w:val="465"/>
        </w:trPr>
        <w:tc>
          <w:tcPr>
            <w:tcW w:w="3797" w:type="dxa"/>
            <w:shd w:val="pct5" w:color="000000" w:fill="FFFFFF"/>
          </w:tcPr>
          <w:p w:rsidR="002C4F1C" w:rsidRPr="00610FC6" w:rsidRDefault="002C4F1C" w:rsidP="0028709C">
            <w:pPr>
              <w:rPr>
                <w:rStyle w:val="Strong"/>
              </w:rPr>
            </w:pPr>
            <w:r w:rsidRPr="00610FC6">
              <w:rPr>
                <w:rStyle w:val="Strong"/>
              </w:rPr>
              <w:t>Measure Energy Consumption:</w:t>
            </w:r>
          </w:p>
          <w:p w:rsidR="00806EE8" w:rsidRPr="000E22C9" w:rsidRDefault="00806EE8" w:rsidP="0028709C">
            <w:pPr>
              <w:rPr>
                <w:rFonts w:cs="Arial"/>
                <w:b/>
                <w:sz w:val="20"/>
                <w:szCs w:val="20"/>
              </w:rPr>
            </w:pPr>
          </w:p>
        </w:tc>
        <w:tc>
          <w:tcPr>
            <w:tcW w:w="5133" w:type="dxa"/>
            <w:shd w:val="pct5" w:color="000000" w:fill="FFFFFF"/>
          </w:tcPr>
          <w:p w:rsidR="002C4F1C" w:rsidRPr="000E22C9" w:rsidRDefault="00E9687D" w:rsidP="00C37AF6">
            <w:pPr>
              <w:rPr>
                <w:rFonts w:cs="Arial"/>
                <w:sz w:val="20"/>
                <w:szCs w:val="20"/>
              </w:rPr>
            </w:pPr>
            <w:r>
              <w:rPr>
                <w:rFonts w:cs="Arial"/>
                <w:sz w:val="20"/>
                <w:szCs w:val="20"/>
              </w:rPr>
              <w:t xml:space="preserve">PG&amp;E: The </w:t>
            </w:r>
            <w:r w:rsidR="00490650">
              <w:rPr>
                <w:rFonts w:cs="Arial"/>
                <w:sz w:val="20"/>
                <w:szCs w:val="20"/>
              </w:rPr>
              <w:t>Measure Case assumes that customer</w:t>
            </w:r>
            <w:r w:rsidR="00F94031">
              <w:rPr>
                <w:rFonts w:cs="Arial"/>
                <w:sz w:val="20"/>
                <w:szCs w:val="20"/>
              </w:rPr>
              <w:t>s</w:t>
            </w:r>
            <w:r w:rsidR="00490650">
              <w:rPr>
                <w:rFonts w:cs="Arial"/>
                <w:sz w:val="20"/>
                <w:szCs w:val="20"/>
              </w:rPr>
              <w:t xml:space="preserve"> receiving </w:t>
            </w:r>
            <w:r w:rsidR="00A67C12">
              <w:rPr>
                <w:rFonts w:cs="Arial"/>
                <w:sz w:val="20"/>
                <w:szCs w:val="20"/>
              </w:rPr>
              <w:t xml:space="preserve">home energy reports would </w:t>
            </w:r>
            <w:r w:rsidR="00490650">
              <w:rPr>
                <w:rFonts w:cs="Arial"/>
                <w:sz w:val="20"/>
                <w:szCs w:val="20"/>
              </w:rPr>
              <w:t xml:space="preserve">act during the time </w:t>
            </w:r>
            <w:r w:rsidR="00F94031">
              <w:rPr>
                <w:rFonts w:cs="Arial"/>
                <w:sz w:val="20"/>
                <w:szCs w:val="20"/>
              </w:rPr>
              <w:t xml:space="preserve">they </w:t>
            </w:r>
            <w:r w:rsidR="00490650">
              <w:rPr>
                <w:rFonts w:cs="Arial"/>
                <w:sz w:val="20"/>
                <w:szCs w:val="20"/>
              </w:rPr>
              <w:t xml:space="preserve">continue to receive them and after. </w:t>
            </w:r>
            <w:r w:rsidR="005A1336">
              <w:rPr>
                <w:rFonts w:cs="Arial"/>
                <w:sz w:val="20"/>
                <w:szCs w:val="20"/>
              </w:rPr>
              <w:t>Energy</w:t>
            </w:r>
            <w:r>
              <w:rPr>
                <w:rFonts w:cs="Arial"/>
                <w:sz w:val="20"/>
                <w:szCs w:val="20"/>
              </w:rPr>
              <w:t xml:space="preserve"> consumption</w:t>
            </w:r>
            <w:r w:rsidR="00027C7A">
              <w:rPr>
                <w:rFonts w:cs="Arial"/>
                <w:sz w:val="20"/>
                <w:szCs w:val="20"/>
              </w:rPr>
              <w:t>s</w:t>
            </w:r>
            <w:r w:rsidR="00490650">
              <w:rPr>
                <w:rFonts w:cs="Arial"/>
                <w:sz w:val="20"/>
                <w:szCs w:val="20"/>
              </w:rPr>
              <w:t xml:space="preserve"> of the treatment </w:t>
            </w:r>
            <w:r w:rsidR="00027C7A">
              <w:rPr>
                <w:rFonts w:cs="Arial"/>
                <w:sz w:val="20"/>
                <w:szCs w:val="20"/>
              </w:rPr>
              <w:t xml:space="preserve">and the control group are </w:t>
            </w:r>
            <w:r w:rsidR="00490650">
              <w:rPr>
                <w:rFonts w:cs="Arial"/>
                <w:sz w:val="20"/>
                <w:szCs w:val="20"/>
              </w:rPr>
              <w:t xml:space="preserve">recorded from billing </w:t>
            </w:r>
            <w:r w:rsidR="00027C7A">
              <w:rPr>
                <w:rFonts w:cs="Arial"/>
                <w:sz w:val="20"/>
                <w:szCs w:val="20"/>
              </w:rPr>
              <w:t xml:space="preserve">data </w:t>
            </w:r>
            <w:r w:rsidR="00490650">
              <w:rPr>
                <w:rFonts w:cs="Arial"/>
                <w:sz w:val="20"/>
                <w:szCs w:val="20"/>
              </w:rPr>
              <w:t xml:space="preserve">and </w:t>
            </w:r>
            <w:r w:rsidR="00027C7A">
              <w:rPr>
                <w:rFonts w:cs="Arial"/>
                <w:sz w:val="20"/>
                <w:szCs w:val="20"/>
              </w:rPr>
              <w:t>compared to each other</w:t>
            </w:r>
            <w:r w:rsidR="00490650">
              <w:rPr>
                <w:rFonts w:cs="Arial"/>
                <w:sz w:val="20"/>
                <w:szCs w:val="20"/>
              </w:rPr>
              <w:t xml:space="preserve">. Savings due to other rebate programs </w:t>
            </w:r>
            <w:r w:rsidR="00A67C12">
              <w:rPr>
                <w:rFonts w:cs="Arial"/>
                <w:sz w:val="20"/>
                <w:szCs w:val="20"/>
              </w:rPr>
              <w:t xml:space="preserve">is </w:t>
            </w:r>
            <w:r w:rsidR="00490650">
              <w:rPr>
                <w:rFonts w:cs="Arial"/>
                <w:sz w:val="20"/>
                <w:szCs w:val="20"/>
              </w:rPr>
              <w:t>subtracted from the Measure Case</w:t>
            </w:r>
            <w:r w:rsidR="00A67C12">
              <w:rPr>
                <w:rFonts w:cs="Arial"/>
                <w:sz w:val="20"/>
                <w:szCs w:val="20"/>
              </w:rPr>
              <w:t xml:space="preserve"> for attribution </w:t>
            </w:r>
            <w:r w:rsidR="00A67C12">
              <w:rPr>
                <w:rFonts w:cs="Arial"/>
                <w:sz w:val="20"/>
                <w:szCs w:val="20"/>
              </w:rPr>
              <w:lastRenderedPageBreak/>
              <w:t>purposes to avoid the risk of double counting</w:t>
            </w:r>
            <w:r w:rsidR="000721F0">
              <w:rPr>
                <w:rFonts w:cs="Arial"/>
                <w:sz w:val="20"/>
                <w:szCs w:val="20"/>
              </w:rPr>
              <w:t xml:space="preserve"> savings</w:t>
            </w:r>
            <w:r w:rsidR="00027C7A">
              <w:rPr>
                <w:rFonts w:cs="Arial"/>
                <w:sz w:val="20"/>
                <w:szCs w:val="20"/>
              </w:rPr>
              <w:t xml:space="preserve">. There may indeed be </w:t>
            </w:r>
            <w:r w:rsidR="00A67C12">
              <w:rPr>
                <w:rFonts w:cs="Arial"/>
                <w:sz w:val="20"/>
                <w:szCs w:val="20"/>
              </w:rPr>
              <w:t>savings overlap</w:t>
            </w:r>
            <w:r w:rsidR="00027C7A">
              <w:rPr>
                <w:rFonts w:cs="Arial"/>
                <w:sz w:val="20"/>
                <w:szCs w:val="20"/>
              </w:rPr>
              <w:t>s</w:t>
            </w:r>
            <w:r w:rsidR="00A67C12">
              <w:rPr>
                <w:rFonts w:cs="Arial"/>
                <w:sz w:val="20"/>
                <w:szCs w:val="20"/>
              </w:rPr>
              <w:t xml:space="preserve"> </w:t>
            </w:r>
            <w:r w:rsidR="00027C7A">
              <w:rPr>
                <w:rFonts w:cs="Arial"/>
                <w:sz w:val="20"/>
                <w:szCs w:val="20"/>
              </w:rPr>
              <w:t xml:space="preserve">between the HER program and </w:t>
            </w:r>
            <w:r w:rsidR="00A67C12">
              <w:rPr>
                <w:rFonts w:cs="Arial"/>
                <w:sz w:val="20"/>
                <w:szCs w:val="20"/>
              </w:rPr>
              <w:t xml:space="preserve">other </w:t>
            </w:r>
            <w:r w:rsidR="00F94031">
              <w:rPr>
                <w:rFonts w:cs="Arial"/>
                <w:sz w:val="20"/>
                <w:szCs w:val="20"/>
              </w:rPr>
              <w:t xml:space="preserve">energy efficiency </w:t>
            </w:r>
            <w:r w:rsidR="00A67C12">
              <w:rPr>
                <w:rFonts w:cs="Arial"/>
                <w:sz w:val="20"/>
                <w:szCs w:val="20"/>
              </w:rPr>
              <w:t>programs.</w:t>
            </w:r>
          </w:p>
        </w:tc>
      </w:tr>
      <w:tr w:rsidR="00342330" w:rsidRPr="00A55DD1" w:rsidTr="000E7219">
        <w:trPr>
          <w:trHeight w:val="465"/>
        </w:trPr>
        <w:tc>
          <w:tcPr>
            <w:tcW w:w="3797" w:type="dxa"/>
            <w:shd w:val="pct20" w:color="000000" w:fill="FFFFFF"/>
          </w:tcPr>
          <w:p w:rsidR="00342330" w:rsidRPr="00AC6C60" w:rsidRDefault="00342330" w:rsidP="00A55DD1">
            <w:pPr>
              <w:rPr>
                <w:rStyle w:val="Strong"/>
              </w:rPr>
            </w:pPr>
            <w:r w:rsidRPr="00AC6C60">
              <w:rPr>
                <w:rStyle w:val="Strong"/>
              </w:rPr>
              <w:lastRenderedPageBreak/>
              <w:t xml:space="preserve">Energy Savings </w:t>
            </w:r>
          </w:p>
          <w:p w:rsidR="00342330" w:rsidRPr="00644D17" w:rsidRDefault="00342330" w:rsidP="00A55DD1">
            <w:pPr>
              <w:rPr>
                <w:rStyle w:val="Strong1"/>
                <w:b w:val="0"/>
              </w:rPr>
            </w:pPr>
            <w:r w:rsidRPr="00AC6C60">
              <w:rPr>
                <w:rStyle w:val="Strong"/>
              </w:rPr>
              <w:t>(Base Case – Measure):</w:t>
            </w:r>
          </w:p>
        </w:tc>
        <w:tc>
          <w:tcPr>
            <w:tcW w:w="5133" w:type="dxa"/>
            <w:shd w:val="pct20" w:color="000000" w:fill="FFFFFF"/>
          </w:tcPr>
          <w:p w:rsidR="00342330" w:rsidRPr="000E22C9" w:rsidRDefault="00490650" w:rsidP="001A1F55">
            <w:pPr>
              <w:rPr>
                <w:rFonts w:cs="Arial"/>
                <w:sz w:val="20"/>
                <w:szCs w:val="20"/>
              </w:rPr>
            </w:pPr>
            <w:r>
              <w:rPr>
                <w:rFonts w:cs="Arial"/>
                <w:sz w:val="20"/>
                <w:szCs w:val="20"/>
              </w:rPr>
              <w:t xml:space="preserve">PG&amp;E: The energy </w:t>
            </w:r>
            <w:r w:rsidR="000721F0">
              <w:rPr>
                <w:rFonts w:cs="Arial"/>
                <w:sz w:val="20"/>
                <w:szCs w:val="20"/>
              </w:rPr>
              <w:t xml:space="preserve">and peak demand </w:t>
            </w:r>
            <w:r>
              <w:rPr>
                <w:rFonts w:cs="Arial"/>
                <w:sz w:val="20"/>
                <w:szCs w:val="20"/>
              </w:rPr>
              <w:t xml:space="preserve">savings from the HER program is </w:t>
            </w:r>
            <w:r w:rsidR="000721F0">
              <w:rPr>
                <w:rFonts w:cs="Arial"/>
                <w:sz w:val="20"/>
                <w:szCs w:val="20"/>
              </w:rPr>
              <w:t xml:space="preserve">estimated </w:t>
            </w:r>
            <w:r>
              <w:rPr>
                <w:rFonts w:cs="Arial"/>
                <w:sz w:val="20"/>
                <w:szCs w:val="20"/>
              </w:rPr>
              <w:t>by comparing usage between each treatment condition (households that are randomly</w:t>
            </w:r>
            <w:r w:rsidR="0092581B">
              <w:rPr>
                <w:rFonts w:cs="Arial"/>
                <w:sz w:val="20"/>
                <w:szCs w:val="20"/>
              </w:rPr>
              <w:t xml:space="preserve"> </w:t>
            </w:r>
            <w:r>
              <w:rPr>
                <w:rFonts w:cs="Arial"/>
                <w:sz w:val="20"/>
                <w:szCs w:val="20"/>
              </w:rPr>
              <w:t>assigned to receive reports) and its corresponding control condition (households that are randomly</w:t>
            </w:r>
            <w:r w:rsidR="001A1F55">
              <w:rPr>
                <w:rFonts w:cs="Arial"/>
                <w:sz w:val="20"/>
                <w:szCs w:val="20"/>
              </w:rPr>
              <w:t xml:space="preserve"> </w:t>
            </w:r>
            <w:r>
              <w:rPr>
                <w:rFonts w:cs="Arial"/>
                <w:sz w:val="20"/>
                <w:szCs w:val="20"/>
              </w:rPr>
              <w:t>assigned to not receive the reports)</w:t>
            </w:r>
            <w:r w:rsidR="000721F0">
              <w:rPr>
                <w:rFonts w:cs="Arial"/>
                <w:sz w:val="20"/>
                <w:szCs w:val="20"/>
              </w:rPr>
              <w:t xml:space="preserve"> using statistical methods</w:t>
            </w:r>
            <w:r w:rsidR="00DF4E6F">
              <w:rPr>
                <w:rFonts w:cs="Arial"/>
                <w:sz w:val="20"/>
                <w:szCs w:val="20"/>
              </w:rPr>
              <w:t xml:space="preserve"> (</w:t>
            </w:r>
            <w:r w:rsidR="002667D2">
              <w:rPr>
                <w:rFonts w:cs="Arial"/>
                <w:sz w:val="20"/>
                <w:szCs w:val="20"/>
              </w:rPr>
              <w:t xml:space="preserve">fixed effects </w:t>
            </w:r>
            <w:r w:rsidR="00DF4E6F">
              <w:rPr>
                <w:rFonts w:cs="Arial"/>
                <w:sz w:val="20"/>
                <w:szCs w:val="20"/>
              </w:rPr>
              <w:t>panel regression model or lagged dependent variable model) based on difference-in-difference estimates</w:t>
            </w:r>
            <w:r>
              <w:rPr>
                <w:rFonts w:cs="Arial"/>
                <w:sz w:val="20"/>
                <w:szCs w:val="20"/>
              </w:rPr>
              <w:t>.</w:t>
            </w:r>
          </w:p>
        </w:tc>
      </w:tr>
      <w:tr w:rsidR="000571F6" w:rsidRPr="00A55DD1" w:rsidTr="00F621AD">
        <w:trPr>
          <w:trHeight w:val="465"/>
        </w:trPr>
        <w:tc>
          <w:tcPr>
            <w:tcW w:w="3797" w:type="dxa"/>
            <w:shd w:val="pct5" w:color="000000" w:fill="FFFFFF"/>
          </w:tcPr>
          <w:p w:rsidR="000571F6" w:rsidRPr="00610FC6" w:rsidRDefault="000571F6" w:rsidP="0028709C">
            <w:pPr>
              <w:rPr>
                <w:rStyle w:val="Strong"/>
              </w:rPr>
            </w:pPr>
            <w:r w:rsidRPr="00610FC6">
              <w:rPr>
                <w:rStyle w:val="Strong"/>
              </w:rPr>
              <w:t xml:space="preserve">Costs Common Units: </w:t>
            </w:r>
          </w:p>
        </w:tc>
        <w:tc>
          <w:tcPr>
            <w:tcW w:w="5133" w:type="dxa"/>
            <w:shd w:val="pct5" w:color="000000" w:fill="FFFFFF"/>
          </w:tcPr>
          <w:p w:rsidR="000571F6" w:rsidRPr="000E22C9" w:rsidRDefault="00DF7681" w:rsidP="002129D0">
            <w:pPr>
              <w:rPr>
                <w:rFonts w:cs="Arial"/>
                <w:sz w:val="20"/>
                <w:szCs w:val="20"/>
              </w:rPr>
            </w:pPr>
            <w:r w:rsidRPr="000E22C9">
              <w:rPr>
                <w:rFonts w:cs="Arial"/>
                <w:sz w:val="20"/>
                <w:szCs w:val="20"/>
              </w:rPr>
              <w:t xml:space="preserve">$ per </w:t>
            </w:r>
            <w:r w:rsidR="002129D0">
              <w:rPr>
                <w:rFonts w:cs="Arial"/>
                <w:sz w:val="20"/>
                <w:szCs w:val="20"/>
              </w:rPr>
              <w:t>household</w:t>
            </w:r>
          </w:p>
        </w:tc>
      </w:tr>
      <w:tr w:rsidR="007B44FB" w:rsidRPr="00A55DD1" w:rsidTr="00F621AD">
        <w:trPr>
          <w:trHeight w:val="465"/>
        </w:trPr>
        <w:tc>
          <w:tcPr>
            <w:tcW w:w="3797" w:type="dxa"/>
            <w:shd w:val="pct20" w:color="000000" w:fill="FFFFFF"/>
          </w:tcPr>
          <w:p w:rsidR="00806EE8" w:rsidRPr="000E22C9" w:rsidRDefault="007B44FB" w:rsidP="000E22C9">
            <w:pPr>
              <w:rPr>
                <w:highlight w:val="cyan"/>
              </w:rPr>
            </w:pPr>
            <w:r w:rsidRPr="00610FC6">
              <w:rPr>
                <w:rStyle w:val="Strong"/>
              </w:rPr>
              <w:t>Base Case Equipment Cost ($/unit):</w:t>
            </w:r>
          </w:p>
        </w:tc>
        <w:tc>
          <w:tcPr>
            <w:tcW w:w="5133" w:type="dxa"/>
            <w:shd w:val="pct20" w:color="000000" w:fill="FFFFFF"/>
          </w:tcPr>
          <w:p w:rsidR="007B44FB" w:rsidRPr="000E22C9" w:rsidRDefault="00E9687D" w:rsidP="00EB4429">
            <w:pPr>
              <w:rPr>
                <w:rFonts w:cs="Arial"/>
                <w:sz w:val="20"/>
                <w:szCs w:val="20"/>
              </w:rPr>
            </w:pPr>
            <w:r>
              <w:rPr>
                <w:rFonts w:cs="Arial"/>
                <w:sz w:val="20"/>
                <w:szCs w:val="20"/>
              </w:rPr>
              <w:t xml:space="preserve">PG&amp;E: There is no action </w:t>
            </w:r>
            <w:r w:rsidR="00F621AD">
              <w:rPr>
                <w:rFonts w:cs="Arial"/>
                <w:sz w:val="20"/>
                <w:szCs w:val="20"/>
              </w:rPr>
              <w:t>required</w:t>
            </w:r>
            <w:r>
              <w:rPr>
                <w:rFonts w:cs="Arial"/>
                <w:sz w:val="20"/>
                <w:szCs w:val="20"/>
              </w:rPr>
              <w:t xml:space="preserve"> for the Base Case, hence no cost.</w:t>
            </w:r>
          </w:p>
        </w:tc>
      </w:tr>
      <w:tr w:rsidR="000571F6" w:rsidRPr="00A55DD1" w:rsidTr="00F621AD">
        <w:trPr>
          <w:trHeight w:val="465"/>
        </w:trPr>
        <w:tc>
          <w:tcPr>
            <w:tcW w:w="3797" w:type="dxa"/>
            <w:shd w:val="pct5" w:color="000000" w:fill="FFFFFF"/>
          </w:tcPr>
          <w:p w:rsidR="000571F6" w:rsidRPr="00610FC6" w:rsidRDefault="000571F6" w:rsidP="0028709C">
            <w:pPr>
              <w:rPr>
                <w:rStyle w:val="Strong"/>
              </w:rPr>
            </w:pPr>
            <w:r w:rsidRPr="00610FC6">
              <w:rPr>
                <w:rStyle w:val="Strong"/>
              </w:rPr>
              <w:t xml:space="preserve">Measure Equipment Cost ($/unit): </w:t>
            </w:r>
          </w:p>
        </w:tc>
        <w:tc>
          <w:tcPr>
            <w:tcW w:w="5133" w:type="dxa"/>
            <w:shd w:val="pct5" w:color="000000" w:fill="FFFFFF"/>
          </w:tcPr>
          <w:p w:rsidR="000571F6" w:rsidRPr="00A55DD1" w:rsidRDefault="00E9687D" w:rsidP="00FC2809">
            <w:pPr>
              <w:rPr>
                <w:rFonts w:cs="Arial"/>
                <w:sz w:val="20"/>
                <w:szCs w:val="20"/>
              </w:rPr>
            </w:pPr>
            <w:r>
              <w:rPr>
                <w:rFonts w:cs="Arial"/>
                <w:sz w:val="20"/>
                <w:szCs w:val="20"/>
              </w:rPr>
              <w:t xml:space="preserve">PG&amp;E: </w:t>
            </w:r>
            <w:r w:rsidR="00577B7E">
              <w:rPr>
                <w:rFonts w:cs="Arial"/>
                <w:sz w:val="20"/>
                <w:szCs w:val="20"/>
              </w:rPr>
              <w:t xml:space="preserve">This is not </w:t>
            </w:r>
            <w:r w:rsidR="005A1336">
              <w:rPr>
                <w:rFonts w:cs="Arial"/>
                <w:sz w:val="20"/>
                <w:szCs w:val="20"/>
              </w:rPr>
              <w:t>a “widget</w:t>
            </w:r>
            <w:r w:rsidR="00577B7E">
              <w:rPr>
                <w:rFonts w:cs="Arial"/>
                <w:sz w:val="20"/>
                <w:szCs w:val="20"/>
              </w:rPr>
              <w:t>-based</w:t>
            </w:r>
            <w:r w:rsidR="00466CD6">
              <w:rPr>
                <w:rFonts w:cs="Arial"/>
                <w:sz w:val="20"/>
                <w:szCs w:val="20"/>
              </w:rPr>
              <w:t>”</w:t>
            </w:r>
            <w:r w:rsidR="00577B7E">
              <w:rPr>
                <w:rFonts w:cs="Arial"/>
                <w:sz w:val="20"/>
                <w:szCs w:val="20"/>
              </w:rPr>
              <w:t xml:space="preserve"> measure. The changes in c</w:t>
            </w:r>
            <w:r w:rsidR="002129D0">
              <w:rPr>
                <w:rFonts w:cs="Arial"/>
                <w:sz w:val="20"/>
                <w:szCs w:val="20"/>
              </w:rPr>
              <w:t>ustomer</w:t>
            </w:r>
            <w:r>
              <w:rPr>
                <w:rFonts w:cs="Arial"/>
                <w:sz w:val="20"/>
                <w:szCs w:val="20"/>
              </w:rPr>
              <w:t xml:space="preserve"> </w:t>
            </w:r>
            <w:r w:rsidR="002129D0">
              <w:rPr>
                <w:rFonts w:cs="Arial"/>
                <w:sz w:val="20"/>
                <w:szCs w:val="20"/>
              </w:rPr>
              <w:t xml:space="preserve">behavior </w:t>
            </w:r>
            <w:r w:rsidR="00577B7E">
              <w:rPr>
                <w:rFonts w:cs="Arial"/>
                <w:sz w:val="20"/>
                <w:szCs w:val="20"/>
              </w:rPr>
              <w:t xml:space="preserve">resulting in energy savings </w:t>
            </w:r>
            <w:r w:rsidR="00D914B0">
              <w:rPr>
                <w:rFonts w:cs="Arial"/>
                <w:sz w:val="20"/>
                <w:szCs w:val="20"/>
              </w:rPr>
              <w:t xml:space="preserve">and peak demand reduction </w:t>
            </w:r>
            <w:r w:rsidR="00577B7E">
              <w:rPr>
                <w:rFonts w:cs="Arial"/>
                <w:sz w:val="20"/>
                <w:szCs w:val="20"/>
              </w:rPr>
              <w:t xml:space="preserve">have no identifiable cost. PG&amp;E </w:t>
            </w:r>
            <w:r w:rsidR="002C399F">
              <w:rPr>
                <w:rFonts w:cs="Arial"/>
                <w:sz w:val="20"/>
                <w:szCs w:val="20"/>
              </w:rPr>
              <w:t xml:space="preserve">and </w:t>
            </w:r>
            <w:r w:rsidR="001A1F55">
              <w:rPr>
                <w:rFonts w:cs="Arial"/>
                <w:sz w:val="20"/>
                <w:szCs w:val="20"/>
              </w:rPr>
              <w:t>program evaluators</w:t>
            </w:r>
            <w:r w:rsidR="002C399F">
              <w:rPr>
                <w:rFonts w:cs="Arial"/>
                <w:sz w:val="20"/>
                <w:szCs w:val="20"/>
              </w:rPr>
              <w:t xml:space="preserve"> </w:t>
            </w:r>
            <w:r w:rsidR="00170235">
              <w:rPr>
                <w:rFonts w:cs="Arial"/>
                <w:sz w:val="20"/>
                <w:szCs w:val="20"/>
              </w:rPr>
              <w:t xml:space="preserve">are </w:t>
            </w:r>
            <w:r w:rsidR="00577B7E">
              <w:rPr>
                <w:rFonts w:cs="Arial"/>
                <w:sz w:val="20"/>
                <w:szCs w:val="20"/>
              </w:rPr>
              <w:t xml:space="preserve">conducting </w:t>
            </w:r>
            <w:r w:rsidR="007106BE">
              <w:rPr>
                <w:rFonts w:cs="Arial"/>
                <w:sz w:val="20"/>
                <w:szCs w:val="20"/>
              </w:rPr>
              <w:t xml:space="preserve">rebate records </w:t>
            </w:r>
            <w:r w:rsidR="00780249">
              <w:rPr>
                <w:rFonts w:cs="Arial"/>
                <w:sz w:val="20"/>
                <w:szCs w:val="20"/>
              </w:rPr>
              <w:t xml:space="preserve">analyses, </w:t>
            </w:r>
            <w:r w:rsidR="00577B7E">
              <w:rPr>
                <w:rFonts w:cs="Arial"/>
                <w:sz w:val="20"/>
                <w:szCs w:val="20"/>
              </w:rPr>
              <w:t>home inventories</w:t>
            </w:r>
            <w:r w:rsidR="00780249">
              <w:rPr>
                <w:rFonts w:cs="Arial"/>
                <w:sz w:val="20"/>
                <w:szCs w:val="20"/>
              </w:rPr>
              <w:t>, and online surveys</w:t>
            </w:r>
            <w:r w:rsidR="00577B7E">
              <w:rPr>
                <w:rFonts w:cs="Arial"/>
                <w:sz w:val="20"/>
                <w:szCs w:val="20"/>
              </w:rPr>
              <w:t xml:space="preserve"> to identify whether specific </w:t>
            </w:r>
            <w:r w:rsidR="00207834">
              <w:rPr>
                <w:rFonts w:cs="Arial"/>
                <w:sz w:val="20"/>
                <w:szCs w:val="20"/>
              </w:rPr>
              <w:t xml:space="preserve">HER-induced purchased </w:t>
            </w:r>
            <w:r w:rsidR="00577B7E">
              <w:rPr>
                <w:rFonts w:cs="Arial"/>
                <w:sz w:val="20"/>
                <w:szCs w:val="20"/>
              </w:rPr>
              <w:t xml:space="preserve">equipment has </w:t>
            </w:r>
            <w:r w:rsidR="00207834">
              <w:rPr>
                <w:rFonts w:cs="Arial"/>
                <w:sz w:val="20"/>
                <w:szCs w:val="20"/>
              </w:rPr>
              <w:t xml:space="preserve">concomitantly </w:t>
            </w:r>
            <w:r w:rsidR="00577B7E">
              <w:rPr>
                <w:rFonts w:cs="Arial"/>
                <w:sz w:val="20"/>
                <w:szCs w:val="20"/>
              </w:rPr>
              <w:t xml:space="preserve">been </w:t>
            </w:r>
            <w:r w:rsidR="007106BE">
              <w:rPr>
                <w:rFonts w:cs="Arial"/>
                <w:sz w:val="20"/>
                <w:szCs w:val="20"/>
              </w:rPr>
              <w:t>rebated and claimed by other measures</w:t>
            </w:r>
            <w:r w:rsidR="00207834">
              <w:rPr>
                <w:rFonts w:cs="Arial"/>
                <w:sz w:val="20"/>
                <w:szCs w:val="20"/>
              </w:rPr>
              <w:t>. The</w:t>
            </w:r>
            <w:r w:rsidR="007106BE">
              <w:rPr>
                <w:rFonts w:cs="Arial"/>
                <w:sz w:val="20"/>
                <w:szCs w:val="20"/>
              </w:rPr>
              <w:t xml:space="preserve"> </w:t>
            </w:r>
            <w:r w:rsidR="00780249">
              <w:rPr>
                <w:rFonts w:cs="Arial"/>
                <w:sz w:val="20"/>
                <w:szCs w:val="20"/>
              </w:rPr>
              <w:t>estimate</w:t>
            </w:r>
            <w:r w:rsidR="00207834">
              <w:rPr>
                <w:rFonts w:cs="Arial"/>
                <w:sz w:val="20"/>
                <w:szCs w:val="20"/>
              </w:rPr>
              <w:t>d</w:t>
            </w:r>
            <w:r w:rsidR="00780249">
              <w:rPr>
                <w:rFonts w:cs="Arial"/>
                <w:sz w:val="20"/>
                <w:szCs w:val="20"/>
              </w:rPr>
              <w:t xml:space="preserve"> savings overlaps </w:t>
            </w:r>
            <w:r w:rsidR="0062736E">
              <w:rPr>
                <w:rFonts w:cs="Arial"/>
                <w:sz w:val="20"/>
                <w:szCs w:val="20"/>
              </w:rPr>
              <w:t>– when they exist</w:t>
            </w:r>
            <w:r w:rsidR="00207834">
              <w:rPr>
                <w:rFonts w:cs="Arial"/>
                <w:sz w:val="20"/>
                <w:szCs w:val="20"/>
              </w:rPr>
              <w:t xml:space="preserve"> – are subtracted from the HER savings claims to avoid double counting</w:t>
            </w:r>
            <w:r w:rsidR="00FB75D6">
              <w:rPr>
                <w:rFonts w:cs="Arial"/>
                <w:sz w:val="20"/>
                <w:szCs w:val="20"/>
              </w:rPr>
              <w:t xml:space="preserve"> in the energy efficiency portfolio</w:t>
            </w:r>
            <w:r w:rsidR="00577B7E">
              <w:rPr>
                <w:rFonts w:cs="Arial"/>
                <w:sz w:val="20"/>
                <w:szCs w:val="20"/>
              </w:rPr>
              <w:t>.</w:t>
            </w:r>
          </w:p>
        </w:tc>
      </w:tr>
      <w:tr w:rsidR="001E7CA0" w:rsidRPr="00A55DD1" w:rsidTr="00F621AD">
        <w:trPr>
          <w:trHeight w:val="465"/>
        </w:trPr>
        <w:tc>
          <w:tcPr>
            <w:tcW w:w="3797" w:type="dxa"/>
            <w:shd w:val="pct20" w:color="000000" w:fill="FFFFFF"/>
          </w:tcPr>
          <w:p w:rsidR="001E7CA0" w:rsidRPr="00610FC6" w:rsidRDefault="001E7CA0" w:rsidP="0028709C">
            <w:pPr>
              <w:rPr>
                <w:rStyle w:val="Strong"/>
              </w:rPr>
            </w:pPr>
            <w:r w:rsidRPr="00610FC6">
              <w:rPr>
                <w:rStyle w:val="Strong"/>
              </w:rPr>
              <w:t>Gross Measure Cost ($/unit)</w:t>
            </w:r>
          </w:p>
        </w:tc>
        <w:tc>
          <w:tcPr>
            <w:tcW w:w="5133" w:type="dxa"/>
            <w:shd w:val="pct20" w:color="000000" w:fill="FFFFFF"/>
          </w:tcPr>
          <w:p w:rsidR="001E7CA0" w:rsidRPr="00A55DD1" w:rsidRDefault="00D92BFE" w:rsidP="00871D20">
            <w:pPr>
              <w:rPr>
                <w:rFonts w:cs="Arial"/>
                <w:sz w:val="20"/>
                <w:szCs w:val="20"/>
              </w:rPr>
            </w:pPr>
            <w:r>
              <w:rPr>
                <w:rFonts w:cs="Arial"/>
                <w:sz w:val="20"/>
                <w:szCs w:val="20"/>
              </w:rPr>
              <w:t xml:space="preserve">Since the savings of the program </w:t>
            </w:r>
            <w:r w:rsidR="00871D20">
              <w:rPr>
                <w:rFonts w:cs="Arial"/>
                <w:sz w:val="20"/>
                <w:szCs w:val="20"/>
              </w:rPr>
              <w:t xml:space="preserve">is </w:t>
            </w:r>
            <w:r>
              <w:rPr>
                <w:rFonts w:cs="Arial"/>
                <w:sz w:val="20"/>
                <w:szCs w:val="20"/>
              </w:rPr>
              <w:t>posited to be changes in customer behavior and PG&amp;E is accounting for rebate related activity, the Measure Cost is zero</w:t>
            </w:r>
            <w:r w:rsidR="003D40A5">
              <w:rPr>
                <w:rFonts w:cs="Arial"/>
                <w:sz w:val="20"/>
                <w:szCs w:val="20"/>
              </w:rPr>
              <w:t xml:space="preserve"> (</w:t>
            </w:r>
            <w:r w:rsidR="002129D0">
              <w:rPr>
                <w:rFonts w:cs="Arial"/>
                <w:sz w:val="20"/>
                <w:szCs w:val="20"/>
              </w:rPr>
              <w:t>0</w:t>
            </w:r>
            <w:r w:rsidR="003D40A5">
              <w:rPr>
                <w:rFonts w:cs="Arial"/>
                <w:sz w:val="20"/>
                <w:szCs w:val="20"/>
              </w:rPr>
              <w:t>).</w:t>
            </w:r>
          </w:p>
        </w:tc>
      </w:tr>
      <w:tr w:rsidR="002C399F" w:rsidRPr="00A55DD1" w:rsidTr="00CF7BA0">
        <w:trPr>
          <w:trHeight w:val="465"/>
        </w:trPr>
        <w:tc>
          <w:tcPr>
            <w:tcW w:w="3797" w:type="dxa"/>
            <w:shd w:val="pct5" w:color="000000" w:fill="FFFFFF"/>
          </w:tcPr>
          <w:p w:rsidR="002C399F" w:rsidRPr="00610FC6" w:rsidRDefault="002C399F" w:rsidP="00CF7BA0">
            <w:pPr>
              <w:rPr>
                <w:rStyle w:val="Strong"/>
              </w:rPr>
            </w:pPr>
            <w:r w:rsidRPr="00610FC6">
              <w:rPr>
                <w:rStyle w:val="Strong"/>
              </w:rPr>
              <w:t>Measure Incremental Cost ($/unit):</w:t>
            </w:r>
          </w:p>
        </w:tc>
        <w:tc>
          <w:tcPr>
            <w:tcW w:w="5133" w:type="dxa"/>
            <w:shd w:val="pct5" w:color="000000" w:fill="FFFFFF"/>
          </w:tcPr>
          <w:p w:rsidR="002C399F" w:rsidRPr="00A55DD1" w:rsidRDefault="00EA5165" w:rsidP="00371193">
            <w:pPr>
              <w:rPr>
                <w:rFonts w:cs="Arial"/>
                <w:sz w:val="20"/>
                <w:szCs w:val="20"/>
              </w:rPr>
            </w:pPr>
            <w:r>
              <w:rPr>
                <w:rFonts w:cs="Arial"/>
                <w:sz w:val="20"/>
                <w:szCs w:val="20"/>
              </w:rPr>
              <w:t>PG&amp;E</w:t>
            </w:r>
            <w:r w:rsidR="00170235">
              <w:rPr>
                <w:rFonts w:cs="Arial"/>
                <w:sz w:val="20"/>
                <w:szCs w:val="20"/>
              </w:rPr>
              <w:t>:</w:t>
            </w:r>
            <w:r w:rsidRPr="00A55DD1">
              <w:rPr>
                <w:rFonts w:cs="Arial"/>
                <w:sz w:val="20"/>
                <w:szCs w:val="20"/>
              </w:rPr>
              <w:t xml:space="preserve"> </w:t>
            </w:r>
            <w:r>
              <w:rPr>
                <w:rFonts w:cs="Arial"/>
                <w:sz w:val="20"/>
                <w:szCs w:val="20"/>
              </w:rPr>
              <w:t xml:space="preserve">These measures are considered </w:t>
            </w:r>
            <w:r w:rsidR="001433EB">
              <w:rPr>
                <w:rFonts w:cs="Arial"/>
                <w:sz w:val="20"/>
                <w:szCs w:val="20"/>
              </w:rPr>
              <w:t>r</w:t>
            </w:r>
            <w:r w:rsidR="00170235">
              <w:rPr>
                <w:rFonts w:cs="Arial"/>
                <w:sz w:val="20"/>
                <w:szCs w:val="20"/>
              </w:rPr>
              <w:t xml:space="preserve">eplace on </w:t>
            </w:r>
            <w:r w:rsidR="001433EB">
              <w:rPr>
                <w:rFonts w:cs="Arial"/>
                <w:sz w:val="20"/>
                <w:szCs w:val="20"/>
              </w:rPr>
              <w:t>b</w:t>
            </w:r>
            <w:r w:rsidR="00170235">
              <w:rPr>
                <w:rFonts w:cs="Arial"/>
                <w:sz w:val="20"/>
                <w:szCs w:val="20"/>
              </w:rPr>
              <w:t>urnout (</w:t>
            </w:r>
            <w:r>
              <w:rPr>
                <w:rFonts w:cs="Arial"/>
                <w:sz w:val="20"/>
                <w:szCs w:val="20"/>
              </w:rPr>
              <w:t>ROB</w:t>
            </w:r>
            <w:r w:rsidR="00170235">
              <w:rPr>
                <w:rFonts w:cs="Arial"/>
                <w:sz w:val="20"/>
                <w:szCs w:val="20"/>
              </w:rPr>
              <w:t>)</w:t>
            </w:r>
            <w:r>
              <w:rPr>
                <w:rFonts w:cs="Arial"/>
                <w:sz w:val="20"/>
                <w:szCs w:val="20"/>
              </w:rPr>
              <w:t xml:space="preserve"> since this depends on customer behavioral action. Incremental </w:t>
            </w:r>
            <w:r w:rsidR="00371193">
              <w:rPr>
                <w:rFonts w:cs="Arial"/>
                <w:sz w:val="20"/>
                <w:szCs w:val="20"/>
              </w:rPr>
              <w:t xml:space="preserve">Cost </w:t>
            </w:r>
            <w:r>
              <w:rPr>
                <w:rFonts w:cs="Arial"/>
                <w:sz w:val="20"/>
                <w:szCs w:val="20"/>
              </w:rPr>
              <w:t xml:space="preserve">is zero. PG&amp;E </w:t>
            </w:r>
            <w:r w:rsidR="007004B9">
              <w:rPr>
                <w:rFonts w:cs="Arial"/>
                <w:sz w:val="20"/>
                <w:szCs w:val="20"/>
              </w:rPr>
              <w:t>and program evaluators</w:t>
            </w:r>
            <w:r w:rsidR="00170235">
              <w:rPr>
                <w:rFonts w:cs="Arial"/>
                <w:sz w:val="20"/>
                <w:szCs w:val="20"/>
              </w:rPr>
              <w:t xml:space="preserve"> are </w:t>
            </w:r>
            <w:r>
              <w:rPr>
                <w:rFonts w:cs="Arial"/>
                <w:sz w:val="20"/>
                <w:szCs w:val="20"/>
              </w:rPr>
              <w:t xml:space="preserve">conducting </w:t>
            </w:r>
            <w:r w:rsidR="00170235">
              <w:rPr>
                <w:rFonts w:cs="Arial"/>
                <w:sz w:val="20"/>
                <w:szCs w:val="20"/>
              </w:rPr>
              <w:t xml:space="preserve">rebate records analyses, home inventories, and online surveys </w:t>
            </w:r>
            <w:r w:rsidR="003D40A5">
              <w:rPr>
                <w:rFonts w:cs="Arial"/>
                <w:sz w:val="20"/>
                <w:szCs w:val="20"/>
              </w:rPr>
              <w:t xml:space="preserve">to identify whether specific HER-induced purchased equipment has concomitantly been rebated and claimed by other measures. The estimated savings overlaps – when </w:t>
            </w:r>
            <w:r w:rsidR="00330825">
              <w:rPr>
                <w:rFonts w:cs="Arial"/>
                <w:sz w:val="20"/>
                <w:szCs w:val="20"/>
              </w:rPr>
              <w:t>they exist</w:t>
            </w:r>
            <w:r w:rsidR="003D40A5">
              <w:rPr>
                <w:rFonts w:cs="Arial"/>
                <w:sz w:val="20"/>
                <w:szCs w:val="20"/>
              </w:rPr>
              <w:t xml:space="preserve"> – are subtracted from the HER savings claims to avoid double counting</w:t>
            </w:r>
            <w:r w:rsidR="00A01CEA">
              <w:rPr>
                <w:rFonts w:cs="Arial"/>
                <w:sz w:val="20"/>
                <w:szCs w:val="20"/>
              </w:rPr>
              <w:t xml:space="preserve"> in the energy efficiency portfolio</w:t>
            </w:r>
            <w:r w:rsidR="003D40A5">
              <w:rPr>
                <w:rFonts w:cs="Arial"/>
                <w:sz w:val="20"/>
                <w:szCs w:val="20"/>
              </w:rPr>
              <w:t>.</w:t>
            </w:r>
          </w:p>
        </w:tc>
      </w:tr>
      <w:tr w:rsidR="000571F6" w:rsidRPr="00A55DD1" w:rsidTr="00F621AD">
        <w:trPr>
          <w:trHeight w:val="465"/>
        </w:trPr>
        <w:tc>
          <w:tcPr>
            <w:tcW w:w="3797" w:type="dxa"/>
            <w:shd w:val="pct20" w:color="000000" w:fill="FFFFFF"/>
          </w:tcPr>
          <w:p w:rsidR="000571F6" w:rsidRPr="00610FC6" w:rsidRDefault="00EA5165" w:rsidP="0028709C">
            <w:pPr>
              <w:rPr>
                <w:rStyle w:val="Strong"/>
              </w:rPr>
            </w:pPr>
            <w:r w:rsidRPr="00610FC6">
              <w:rPr>
                <w:rStyle w:val="Strong"/>
              </w:rPr>
              <w:t>Effective Useful Life (years):</w:t>
            </w:r>
          </w:p>
        </w:tc>
        <w:tc>
          <w:tcPr>
            <w:tcW w:w="5133" w:type="dxa"/>
            <w:shd w:val="pct20" w:color="000000" w:fill="FFFFFF"/>
          </w:tcPr>
          <w:p w:rsidR="00D16E24" w:rsidRPr="00A55DD1" w:rsidRDefault="00EA5165" w:rsidP="00023254">
            <w:pPr>
              <w:rPr>
                <w:rFonts w:cs="Arial"/>
                <w:sz w:val="20"/>
                <w:szCs w:val="20"/>
              </w:rPr>
            </w:pPr>
            <w:r w:rsidRPr="00D92BFE">
              <w:rPr>
                <w:rFonts w:cs="Arial"/>
                <w:sz w:val="20"/>
                <w:szCs w:val="20"/>
              </w:rPr>
              <w:t>PG&amp;E</w:t>
            </w:r>
            <w:r w:rsidR="0001499D">
              <w:rPr>
                <w:rFonts w:cs="Arial"/>
                <w:sz w:val="20"/>
                <w:szCs w:val="20"/>
              </w:rPr>
              <w:t>:</w:t>
            </w:r>
            <w:r w:rsidRPr="00D92BFE">
              <w:rPr>
                <w:rFonts w:cs="Arial"/>
                <w:sz w:val="20"/>
                <w:szCs w:val="20"/>
              </w:rPr>
              <w:t xml:space="preserve"> The </w:t>
            </w:r>
            <w:r w:rsidR="00023254">
              <w:rPr>
                <w:rFonts w:cs="Arial"/>
                <w:sz w:val="20"/>
                <w:szCs w:val="20"/>
              </w:rPr>
              <w:t>Effective U</w:t>
            </w:r>
            <w:r w:rsidR="00023254" w:rsidRPr="00D92BFE">
              <w:rPr>
                <w:rFonts w:cs="Arial"/>
                <w:sz w:val="20"/>
                <w:szCs w:val="20"/>
              </w:rPr>
              <w:t xml:space="preserve">seful </w:t>
            </w:r>
            <w:r w:rsidR="00023254">
              <w:rPr>
                <w:rFonts w:cs="Arial"/>
                <w:sz w:val="20"/>
                <w:szCs w:val="20"/>
              </w:rPr>
              <w:t>L</w:t>
            </w:r>
            <w:r w:rsidR="00023254" w:rsidRPr="00D92BFE">
              <w:rPr>
                <w:rFonts w:cs="Arial"/>
                <w:sz w:val="20"/>
                <w:szCs w:val="20"/>
              </w:rPr>
              <w:t xml:space="preserve">ife </w:t>
            </w:r>
            <w:r w:rsidRPr="00D92BFE">
              <w:rPr>
                <w:rFonts w:cs="Arial"/>
                <w:sz w:val="20"/>
                <w:szCs w:val="20"/>
              </w:rPr>
              <w:t xml:space="preserve">is </w:t>
            </w:r>
            <w:r w:rsidR="0001499D">
              <w:rPr>
                <w:rFonts w:cs="Arial"/>
                <w:sz w:val="20"/>
                <w:szCs w:val="20"/>
              </w:rPr>
              <w:t>assumed to be one (1) year.</w:t>
            </w:r>
            <w:r w:rsidRPr="00D92BFE">
              <w:rPr>
                <w:rFonts w:cs="Arial"/>
                <w:sz w:val="20"/>
                <w:szCs w:val="20"/>
              </w:rPr>
              <w:t xml:space="preserve"> The length of the program </w:t>
            </w:r>
            <w:r w:rsidR="008C1E67">
              <w:rPr>
                <w:rFonts w:cs="Arial"/>
                <w:sz w:val="20"/>
                <w:szCs w:val="20"/>
              </w:rPr>
              <w:t xml:space="preserve">measure life </w:t>
            </w:r>
            <w:r w:rsidRPr="00D92BFE">
              <w:rPr>
                <w:rFonts w:cs="Arial"/>
                <w:sz w:val="20"/>
                <w:szCs w:val="20"/>
              </w:rPr>
              <w:t xml:space="preserve">may be </w:t>
            </w:r>
            <w:r w:rsidR="0001499D">
              <w:rPr>
                <w:rFonts w:cs="Arial"/>
                <w:sz w:val="20"/>
                <w:szCs w:val="20"/>
              </w:rPr>
              <w:t xml:space="preserve">longer </w:t>
            </w:r>
            <w:r w:rsidR="00BE5F9D">
              <w:rPr>
                <w:rFonts w:cs="Arial"/>
                <w:sz w:val="20"/>
                <w:szCs w:val="20"/>
              </w:rPr>
              <w:t xml:space="preserve">though </w:t>
            </w:r>
            <w:r w:rsidR="0001499D">
              <w:rPr>
                <w:rFonts w:cs="Arial"/>
                <w:sz w:val="20"/>
                <w:szCs w:val="20"/>
              </w:rPr>
              <w:t xml:space="preserve">because of </w:t>
            </w:r>
            <w:r w:rsidR="00BE5F9D">
              <w:rPr>
                <w:rFonts w:cs="Arial"/>
                <w:sz w:val="20"/>
                <w:szCs w:val="20"/>
              </w:rPr>
              <w:t xml:space="preserve">the possibility </w:t>
            </w:r>
            <w:r w:rsidR="0001499D">
              <w:rPr>
                <w:rFonts w:cs="Arial"/>
                <w:sz w:val="20"/>
                <w:szCs w:val="20"/>
              </w:rPr>
              <w:t>of savings persistence</w:t>
            </w:r>
            <w:r w:rsidRPr="00D92BFE">
              <w:rPr>
                <w:rFonts w:cs="Arial"/>
                <w:sz w:val="20"/>
                <w:szCs w:val="20"/>
              </w:rPr>
              <w:t xml:space="preserve">. </w:t>
            </w:r>
            <w:r w:rsidR="00266D67">
              <w:rPr>
                <w:rFonts w:cs="Arial"/>
                <w:sz w:val="20"/>
                <w:szCs w:val="20"/>
              </w:rPr>
              <w:t xml:space="preserve">PG&amp;E will </w:t>
            </w:r>
            <w:r w:rsidR="00CE4FA2">
              <w:rPr>
                <w:rFonts w:cs="Arial"/>
                <w:sz w:val="20"/>
                <w:szCs w:val="20"/>
              </w:rPr>
              <w:t xml:space="preserve">estimate </w:t>
            </w:r>
            <w:r w:rsidR="00266D67">
              <w:rPr>
                <w:rFonts w:cs="Arial"/>
                <w:sz w:val="20"/>
                <w:szCs w:val="20"/>
              </w:rPr>
              <w:t xml:space="preserve">a more accurate measure life based on </w:t>
            </w:r>
            <w:r w:rsidR="00CE4FA2">
              <w:rPr>
                <w:rFonts w:cs="Arial"/>
                <w:sz w:val="20"/>
                <w:szCs w:val="20"/>
              </w:rPr>
              <w:t xml:space="preserve">the results of </w:t>
            </w:r>
            <w:r w:rsidR="00023254">
              <w:rPr>
                <w:rFonts w:cs="Arial"/>
                <w:sz w:val="20"/>
                <w:szCs w:val="20"/>
              </w:rPr>
              <w:t xml:space="preserve">on-going </w:t>
            </w:r>
            <w:r w:rsidR="00266D67">
              <w:rPr>
                <w:rFonts w:cs="Arial"/>
                <w:sz w:val="20"/>
                <w:szCs w:val="20"/>
              </w:rPr>
              <w:t>persistence studies.</w:t>
            </w:r>
          </w:p>
        </w:tc>
      </w:tr>
      <w:tr w:rsidR="00EA5165" w:rsidRPr="00A55DD1" w:rsidTr="00F621AD">
        <w:trPr>
          <w:trHeight w:val="465"/>
        </w:trPr>
        <w:tc>
          <w:tcPr>
            <w:tcW w:w="3797" w:type="dxa"/>
            <w:shd w:val="pct5" w:color="000000" w:fill="FFFFFF"/>
          </w:tcPr>
          <w:p w:rsidR="00EA5165" w:rsidRPr="00610FC6" w:rsidRDefault="00EA5165" w:rsidP="0028709C">
            <w:pPr>
              <w:rPr>
                <w:rStyle w:val="Strong"/>
              </w:rPr>
            </w:pPr>
            <w:r>
              <w:rPr>
                <w:rStyle w:val="Strong"/>
              </w:rPr>
              <w:t>Measure Application Type</w:t>
            </w:r>
            <w:r w:rsidRPr="00610FC6">
              <w:rPr>
                <w:rStyle w:val="Strong"/>
              </w:rPr>
              <w:t>:</w:t>
            </w:r>
          </w:p>
        </w:tc>
        <w:tc>
          <w:tcPr>
            <w:tcW w:w="5133" w:type="dxa"/>
            <w:shd w:val="pct5" w:color="000000" w:fill="FFFFFF"/>
          </w:tcPr>
          <w:p w:rsidR="00EA5165" w:rsidRPr="00A55DD1" w:rsidRDefault="00EA5165" w:rsidP="00D92BFE">
            <w:pPr>
              <w:rPr>
                <w:rFonts w:cs="Arial"/>
                <w:sz w:val="20"/>
                <w:szCs w:val="20"/>
              </w:rPr>
            </w:pPr>
            <w:r w:rsidRPr="007A0C2E">
              <w:rPr>
                <w:rFonts w:cs="Arial"/>
                <w:sz w:val="20"/>
                <w:szCs w:val="20"/>
              </w:rPr>
              <w:t>Replace on Burnout (ROB)</w:t>
            </w:r>
          </w:p>
        </w:tc>
      </w:tr>
      <w:tr w:rsidR="00353930" w:rsidRPr="00353930" w:rsidTr="00F621AD">
        <w:trPr>
          <w:trHeight w:val="465"/>
        </w:trPr>
        <w:tc>
          <w:tcPr>
            <w:tcW w:w="3797" w:type="dxa"/>
            <w:shd w:val="pct20" w:color="000000" w:fill="FFFFFF"/>
          </w:tcPr>
          <w:p w:rsidR="00EA5165" w:rsidRPr="00353930" w:rsidRDefault="00EA5165" w:rsidP="0028709C">
            <w:pPr>
              <w:rPr>
                <w:rStyle w:val="Strong"/>
                <w:color w:val="000000" w:themeColor="text1"/>
              </w:rPr>
            </w:pPr>
            <w:r w:rsidRPr="00353930">
              <w:rPr>
                <w:rStyle w:val="Strong"/>
                <w:color w:val="000000" w:themeColor="text1"/>
              </w:rPr>
              <w:t>Net-to-Gross Ratios:</w:t>
            </w:r>
          </w:p>
        </w:tc>
        <w:tc>
          <w:tcPr>
            <w:tcW w:w="5133" w:type="dxa"/>
            <w:shd w:val="pct20" w:color="000000" w:fill="FFFFFF"/>
          </w:tcPr>
          <w:p w:rsidR="00CE4FA2" w:rsidRPr="00353930" w:rsidRDefault="00CE4FA2" w:rsidP="00CE4FA2">
            <w:pPr>
              <w:rPr>
                <w:rFonts w:cs="Arial"/>
                <w:color w:val="000000" w:themeColor="text1"/>
                <w:sz w:val="20"/>
                <w:szCs w:val="20"/>
              </w:rPr>
            </w:pPr>
            <w:r w:rsidRPr="00353930">
              <w:rPr>
                <w:rFonts w:cs="Arial"/>
                <w:color w:val="000000" w:themeColor="text1"/>
                <w:sz w:val="20"/>
                <w:szCs w:val="20"/>
              </w:rPr>
              <w:t>PG&amp;E</w:t>
            </w:r>
            <w:r w:rsidR="00EA5165" w:rsidRPr="00353930">
              <w:rPr>
                <w:rFonts w:cs="Arial"/>
                <w:color w:val="000000" w:themeColor="text1"/>
                <w:sz w:val="20"/>
                <w:szCs w:val="20"/>
              </w:rPr>
              <w:t xml:space="preserve">: Since </w:t>
            </w:r>
            <w:r w:rsidR="007F0838" w:rsidRPr="00353930">
              <w:rPr>
                <w:rFonts w:cs="Arial"/>
                <w:color w:val="000000" w:themeColor="text1"/>
                <w:sz w:val="20"/>
                <w:szCs w:val="20"/>
              </w:rPr>
              <w:t xml:space="preserve">(1) </w:t>
            </w:r>
            <w:r w:rsidR="00EA5165" w:rsidRPr="00353930">
              <w:rPr>
                <w:rFonts w:cs="Arial"/>
                <w:color w:val="000000" w:themeColor="text1"/>
                <w:sz w:val="20"/>
                <w:szCs w:val="20"/>
              </w:rPr>
              <w:t xml:space="preserve">these measures are </w:t>
            </w:r>
            <w:r w:rsidR="001433EB" w:rsidRPr="00353930">
              <w:rPr>
                <w:rFonts w:cs="Arial"/>
                <w:color w:val="000000" w:themeColor="text1"/>
                <w:sz w:val="20"/>
                <w:szCs w:val="20"/>
              </w:rPr>
              <w:t xml:space="preserve">implemented as randomized control trials (RCTs), </w:t>
            </w:r>
            <w:r w:rsidR="007F0838" w:rsidRPr="00353930">
              <w:rPr>
                <w:rFonts w:cs="Arial"/>
                <w:color w:val="000000" w:themeColor="text1"/>
                <w:sz w:val="20"/>
                <w:szCs w:val="20"/>
              </w:rPr>
              <w:t xml:space="preserve">(2) </w:t>
            </w:r>
            <w:r w:rsidR="001433EB" w:rsidRPr="00353930">
              <w:rPr>
                <w:rFonts w:cs="Arial"/>
                <w:color w:val="000000" w:themeColor="text1"/>
                <w:sz w:val="20"/>
                <w:szCs w:val="20"/>
              </w:rPr>
              <w:t xml:space="preserve">potential savings overlaps with other programs are subtracted from HER savings claims, and </w:t>
            </w:r>
            <w:r w:rsidR="007F0838" w:rsidRPr="00353930">
              <w:rPr>
                <w:rFonts w:cs="Arial"/>
                <w:color w:val="000000" w:themeColor="text1"/>
                <w:sz w:val="20"/>
                <w:szCs w:val="20"/>
              </w:rPr>
              <w:t xml:space="preserve">(3) </w:t>
            </w:r>
            <w:r w:rsidR="001433EB" w:rsidRPr="00353930">
              <w:rPr>
                <w:rFonts w:cs="Arial"/>
                <w:color w:val="000000" w:themeColor="text1"/>
                <w:sz w:val="20"/>
                <w:szCs w:val="20"/>
              </w:rPr>
              <w:t xml:space="preserve">comparative energy usage and demand </w:t>
            </w:r>
            <w:r w:rsidR="00DC1EC8" w:rsidRPr="00353930">
              <w:rPr>
                <w:rFonts w:cs="Arial"/>
                <w:color w:val="000000" w:themeColor="text1"/>
                <w:sz w:val="20"/>
                <w:szCs w:val="20"/>
              </w:rPr>
              <w:t>are</w:t>
            </w:r>
            <w:r w:rsidR="001433EB" w:rsidRPr="00353930">
              <w:rPr>
                <w:rFonts w:cs="Arial"/>
                <w:color w:val="000000" w:themeColor="text1"/>
                <w:sz w:val="20"/>
                <w:szCs w:val="20"/>
              </w:rPr>
              <w:t xml:space="preserve"> based on </w:t>
            </w:r>
            <w:r w:rsidR="001433EB" w:rsidRPr="00353930">
              <w:rPr>
                <w:rFonts w:cs="Arial"/>
                <w:i/>
                <w:color w:val="000000" w:themeColor="text1"/>
                <w:sz w:val="20"/>
                <w:szCs w:val="20"/>
              </w:rPr>
              <w:t>ex-post</w:t>
            </w:r>
            <w:r w:rsidR="001433EB" w:rsidRPr="00353930">
              <w:rPr>
                <w:rFonts w:cs="Arial"/>
                <w:color w:val="000000" w:themeColor="text1"/>
                <w:sz w:val="20"/>
                <w:szCs w:val="20"/>
              </w:rPr>
              <w:t xml:space="preserve"> data (billing data for </w:t>
            </w:r>
            <w:r w:rsidR="001433EB" w:rsidRPr="00353930">
              <w:rPr>
                <w:rFonts w:cs="Arial"/>
                <w:color w:val="000000" w:themeColor="text1"/>
                <w:sz w:val="20"/>
                <w:szCs w:val="20"/>
              </w:rPr>
              <w:lastRenderedPageBreak/>
              <w:t>energy</w:t>
            </w:r>
            <w:r w:rsidR="00D914B0" w:rsidRPr="00353930">
              <w:rPr>
                <w:rFonts w:cs="Arial"/>
                <w:color w:val="000000" w:themeColor="text1"/>
                <w:sz w:val="20"/>
                <w:szCs w:val="20"/>
              </w:rPr>
              <w:t xml:space="preserve"> </w:t>
            </w:r>
            <w:r w:rsidR="001433EB" w:rsidRPr="00353930">
              <w:rPr>
                <w:rFonts w:cs="Arial"/>
                <w:color w:val="000000" w:themeColor="text1"/>
                <w:sz w:val="20"/>
                <w:szCs w:val="20"/>
              </w:rPr>
              <w:t>; interval</w:t>
            </w:r>
            <w:r w:rsidR="00C41E55" w:rsidRPr="00353930">
              <w:rPr>
                <w:rFonts w:cs="Arial"/>
                <w:color w:val="000000" w:themeColor="text1"/>
                <w:sz w:val="20"/>
                <w:szCs w:val="20"/>
              </w:rPr>
              <w:t xml:space="preserve"> meter </w:t>
            </w:r>
            <w:r w:rsidR="001433EB" w:rsidRPr="00353930">
              <w:rPr>
                <w:rFonts w:cs="Arial"/>
                <w:color w:val="000000" w:themeColor="text1"/>
                <w:sz w:val="20"/>
                <w:szCs w:val="20"/>
              </w:rPr>
              <w:t>data for demand), the unique impact of the measures is isolated</w:t>
            </w:r>
            <w:r w:rsidR="00DC1EC8" w:rsidRPr="00353930">
              <w:rPr>
                <w:rFonts w:cs="Arial"/>
                <w:color w:val="000000" w:themeColor="text1"/>
                <w:sz w:val="20"/>
                <w:szCs w:val="20"/>
              </w:rPr>
              <w:t xml:space="preserve"> during the evaluation</w:t>
            </w:r>
            <w:r w:rsidR="001433EB" w:rsidRPr="00353930">
              <w:rPr>
                <w:rFonts w:cs="Arial"/>
                <w:color w:val="000000" w:themeColor="text1"/>
                <w:sz w:val="20"/>
                <w:szCs w:val="20"/>
              </w:rPr>
              <w:t>.</w:t>
            </w:r>
            <w:r w:rsidR="007F0838" w:rsidRPr="00353930">
              <w:rPr>
                <w:rFonts w:cs="Arial"/>
                <w:color w:val="000000" w:themeColor="text1"/>
                <w:sz w:val="20"/>
                <w:szCs w:val="20"/>
              </w:rPr>
              <w:t xml:space="preserve"> Therefore,</w:t>
            </w:r>
            <w:r w:rsidR="00EA5165" w:rsidRPr="00353930">
              <w:rPr>
                <w:rFonts w:cs="Arial"/>
                <w:color w:val="000000" w:themeColor="text1"/>
                <w:sz w:val="20"/>
                <w:szCs w:val="20"/>
              </w:rPr>
              <w:t xml:space="preserve"> </w:t>
            </w:r>
            <w:r w:rsidRPr="00353930">
              <w:rPr>
                <w:rFonts w:cs="Arial"/>
                <w:color w:val="000000" w:themeColor="text1"/>
                <w:sz w:val="20"/>
                <w:szCs w:val="20"/>
              </w:rPr>
              <w:t>net-to-gross (</w:t>
            </w:r>
            <w:r w:rsidR="00EA5165" w:rsidRPr="00353930">
              <w:rPr>
                <w:rFonts w:cs="Arial"/>
                <w:color w:val="000000" w:themeColor="text1"/>
                <w:sz w:val="20"/>
                <w:szCs w:val="20"/>
              </w:rPr>
              <w:t>NTG</w:t>
            </w:r>
            <w:r w:rsidRPr="00353930">
              <w:rPr>
                <w:rFonts w:cs="Arial"/>
                <w:color w:val="000000" w:themeColor="text1"/>
                <w:sz w:val="20"/>
                <w:szCs w:val="20"/>
              </w:rPr>
              <w:t>)</w:t>
            </w:r>
            <w:r w:rsidR="00EA5165" w:rsidRPr="00353930">
              <w:rPr>
                <w:rFonts w:cs="Arial"/>
                <w:color w:val="000000" w:themeColor="text1"/>
                <w:sz w:val="20"/>
                <w:szCs w:val="20"/>
              </w:rPr>
              <w:t xml:space="preserve"> is built into the experimental design. </w:t>
            </w:r>
            <w:r w:rsidRPr="00353930">
              <w:rPr>
                <w:rFonts w:cs="Arial"/>
                <w:color w:val="000000" w:themeColor="text1"/>
                <w:sz w:val="20"/>
                <w:szCs w:val="20"/>
              </w:rPr>
              <w:t xml:space="preserve">Each control group is </w:t>
            </w:r>
            <w:r w:rsidR="007F0838" w:rsidRPr="00353930">
              <w:rPr>
                <w:rFonts w:cs="Arial"/>
                <w:color w:val="000000" w:themeColor="text1"/>
                <w:sz w:val="20"/>
                <w:szCs w:val="20"/>
              </w:rPr>
              <w:t xml:space="preserve">indeed </w:t>
            </w:r>
            <w:r w:rsidRPr="00353930">
              <w:rPr>
                <w:rFonts w:cs="Arial"/>
                <w:color w:val="000000" w:themeColor="text1"/>
                <w:sz w:val="20"/>
                <w:szCs w:val="20"/>
              </w:rPr>
              <w:t xml:space="preserve">assumed to accurately predict what would have been the energy usage </w:t>
            </w:r>
            <w:r w:rsidR="00DC1EC8" w:rsidRPr="00353930">
              <w:rPr>
                <w:rFonts w:cs="Arial"/>
                <w:color w:val="000000" w:themeColor="text1"/>
                <w:sz w:val="20"/>
                <w:szCs w:val="20"/>
              </w:rPr>
              <w:t xml:space="preserve">and peak demand </w:t>
            </w:r>
            <w:r w:rsidRPr="00353930">
              <w:rPr>
                <w:rFonts w:cs="Arial"/>
                <w:color w:val="000000" w:themeColor="text1"/>
                <w:sz w:val="20"/>
                <w:szCs w:val="20"/>
              </w:rPr>
              <w:t>for treated customers if they had not experienced the treatment. These control groups serve as counterfactuals in order to assess the program savings.</w:t>
            </w:r>
          </w:p>
          <w:p w:rsidR="00EA5165" w:rsidRPr="00353930" w:rsidRDefault="00EA5165" w:rsidP="00CE4FA2">
            <w:pPr>
              <w:rPr>
                <w:rFonts w:cs="Arial"/>
                <w:color w:val="000000" w:themeColor="text1"/>
                <w:sz w:val="20"/>
                <w:szCs w:val="20"/>
              </w:rPr>
            </w:pPr>
            <w:r w:rsidRPr="00353930">
              <w:rPr>
                <w:rFonts w:cs="Arial"/>
                <w:color w:val="000000" w:themeColor="text1"/>
                <w:sz w:val="20"/>
                <w:szCs w:val="20"/>
              </w:rPr>
              <w:t>Given this methodology, and the attribution analysis using utility rebate records for downstream measures</w:t>
            </w:r>
            <w:r w:rsidR="00CE4FA2" w:rsidRPr="00353930">
              <w:rPr>
                <w:rFonts w:cs="Arial"/>
                <w:color w:val="000000" w:themeColor="text1"/>
                <w:sz w:val="20"/>
                <w:szCs w:val="20"/>
              </w:rPr>
              <w:t>,</w:t>
            </w:r>
            <w:r w:rsidRPr="00353930">
              <w:rPr>
                <w:rFonts w:cs="Arial"/>
                <w:color w:val="000000" w:themeColor="text1"/>
                <w:sz w:val="20"/>
                <w:szCs w:val="20"/>
              </w:rPr>
              <w:t xml:space="preserve"> and home inventories </w:t>
            </w:r>
            <w:r w:rsidR="00CE4FA2" w:rsidRPr="00353930">
              <w:rPr>
                <w:rFonts w:cs="Arial"/>
                <w:color w:val="000000" w:themeColor="text1"/>
                <w:sz w:val="20"/>
                <w:szCs w:val="20"/>
              </w:rPr>
              <w:t xml:space="preserve">and surveys </w:t>
            </w:r>
            <w:r w:rsidRPr="00353930">
              <w:rPr>
                <w:rFonts w:cs="Arial"/>
                <w:color w:val="000000" w:themeColor="text1"/>
                <w:sz w:val="20"/>
                <w:szCs w:val="20"/>
              </w:rPr>
              <w:t>for upstream measures to avoid double-counting, NTG</w:t>
            </w:r>
            <w:r w:rsidR="00CE4FA2" w:rsidRPr="00353930">
              <w:rPr>
                <w:rFonts w:cs="Arial"/>
                <w:color w:val="000000" w:themeColor="text1"/>
                <w:sz w:val="20"/>
                <w:szCs w:val="20"/>
              </w:rPr>
              <w:t xml:space="preserve"> equals </w:t>
            </w:r>
            <w:r w:rsidRPr="00353930">
              <w:rPr>
                <w:rFonts w:cs="Arial"/>
                <w:color w:val="000000" w:themeColor="text1"/>
                <w:sz w:val="20"/>
                <w:szCs w:val="20"/>
              </w:rPr>
              <w:t>1.0.</w:t>
            </w:r>
          </w:p>
        </w:tc>
      </w:tr>
      <w:tr w:rsidR="00353930" w:rsidRPr="00353930" w:rsidTr="00F621AD">
        <w:trPr>
          <w:trHeight w:val="465"/>
        </w:trPr>
        <w:tc>
          <w:tcPr>
            <w:tcW w:w="3797" w:type="dxa"/>
            <w:shd w:val="pct5" w:color="000000" w:fill="FFFFFF"/>
          </w:tcPr>
          <w:p w:rsidR="00EA5165" w:rsidRPr="00353930" w:rsidRDefault="00EA5165" w:rsidP="0028709C">
            <w:pPr>
              <w:rPr>
                <w:rStyle w:val="Strong"/>
                <w:color w:val="000000" w:themeColor="text1"/>
              </w:rPr>
            </w:pPr>
            <w:r w:rsidRPr="00353930">
              <w:rPr>
                <w:rStyle w:val="Strong"/>
                <w:color w:val="000000" w:themeColor="text1"/>
              </w:rPr>
              <w:lastRenderedPageBreak/>
              <w:t>Important Comments:</w:t>
            </w:r>
          </w:p>
        </w:tc>
        <w:tc>
          <w:tcPr>
            <w:tcW w:w="5133" w:type="dxa"/>
            <w:shd w:val="pct5" w:color="000000" w:fill="FFFFFF"/>
          </w:tcPr>
          <w:p w:rsidR="00EA5165" w:rsidRPr="00353930" w:rsidRDefault="00EA5165" w:rsidP="00577B7E">
            <w:pPr>
              <w:rPr>
                <w:rFonts w:cs="Arial"/>
                <w:color w:val="000000" w:themeColor="text1"/>
                <w:sz w:val="20"/>
                <w:szCs w:val="20"/>
              </w:rPr>
            </w:pPr>
          </w:p>
        </w:tc>
      </w:tr>
    </w:tbl>
    <w:p w:rsidR="007F2147" w:rsidRPr="00353930" w:rsidRDefault="007F2147" w:rsidP="0006490F">
      <w:pPr>
        <w:rPr>
          <w:rFonts w:cs="Arial"/>
          <w:b/>
          <w:i/>
          <w:color w:val="000000" w:themeColor="text1"/>
          <w:sz w:val="20"/>
          <w:szCs w:val="20"/>
        </w:rPr>
      </w:pPr>
    </w:p>
    <w:p w:rsidR="007F2147" w:rsidRPr="005F19E0" w:rsidRDefault="007F2147" w:rsidP="0006490F">
      <w:pPr>
        <w:rPr>
          <w:rFonts w:cs="Arial"/>
          <w:b/>
          <w:color w:val="FF0000"/>
          <w:sz w:val="20"/>
          <w:szCs w:val="20"/>
        </w:rPr>
        <w:sectPr w:rsidR="007F2147" w:rsidRPr="005F19E0"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rsidR="00FE079D" w:rsidRDefault="00FE079D" w:rsidP="00FE079D">
      <w:pPr>
        <w:pStyle w:val="Heading1"/>
      </w:pPr>
      <w:bookmarkStart w:id="6" w:name="_Toc476228479"/>
      <w:r>
        <w:lastRenderedPageBreak/>
        <w:t>Work Paper Approvals</w:t>
      </w:r>
      <w:bookmarkEnd w:id="6"/>
    </w:p>
    <w:p w:rsidR="00FE079D" w:rsidRDefault="00FE079D" w:rsidP="00FE079D">
      <w:r>
        <w:t>The following Manager</w:t>
      </w:r>
      <w:r w:rsidR="00014EC1">
        <w:t>(s)</w:t>
      </w:r>
      <w:r>
        <w:t xml:space="preserve"> approved this work</w:t>
      </w:r>
      <w:r w:rsidR="009B00D1">
        <w:t xml:space="preserve"> </w:t>
      </w:r>
      <w:r>
        <w:t>paper through the PG&amp;E Electronic Data Routing System under Routing Requisition #</w:t>
      </w:r>
      <w:r w:rsidRPr="005A1336">
        <w:t xml:space="preserve"> </w:t>
      </w:r>
      <w:r w:rsidR="005A1336" w:rsidRPr="0043050A">
        <w:rPr>
          <w:color w:val="000000" w:themeColor="text1"/>
        </w:rPr>
        <w:t>2013-15423</w:t>
      </w:r>
    </w:p>
    <w:tbl>
      <w:tblPr>
        <w:tblW w:w="3064" w:type="pct"/>
        <w:tblLook w:val="0000" w:firstRow="0" w:lastRow="0" w:firstColumn="0" w:lastColumn="0" w:noHBand="0" w:noVBand="0"/>
      </w:tblPr>
      <w:tblGrid>
        <w:gridCol w:w="5868"/>
      </w:tblGrid>
      <w:tr w:rsidR="00FE079D" w:rsidTr="000D0941">
        <w:tc>
          <w:tcPr>
            <w:tcW w:w="5000" w:type="pct"/>
          </w:tcPr>
          <w:p w:rsidR="00FE079D" w:rsidRPr="00636012" w:rsidRDefault="00FE079D" w:rsidP="000D0941"/>
        </w:tc>
      </w:tr>
      <w:tr w:rsidR="00FE079D" w:rsidTr="000D0941">
        <w:tc>
          <w:tcPr>
            <w:tcW w:w="5000" w:type="pct"/>
          </w:tcPr>
          <w:p w:rsidR="00FE079D" w:rsidRDefault="00FE079D" w:rsidP="000D0941">
            <w:pPr>
              <w:rPr>
                <w:b/>
              </w:rPr>
            </w:pPr>
            <w:r>
              <w:rPr>
                <w:b/>
              </w:rPr>
              <w:t xml:space="preserve">Grant </w:t>
            </w:r>
            <w:proofErr w:type="spellStart"/>
            <w:r>
              <w:rPr>
                <w:b/>
              </w:rPr>
              <w:t>Brohard</w:t>
            </w:r>
            <w:proofErr w:type="spellEnd"/>
          </w:p>
          <w:p w:rsidR="00FE079D" w:rsidRPr="00636012" w:rsidRDefault="00FE079D" w:rsidP="000D0941">
            <w:r w:rsidRPr="00636012">
              <w:t xml:space="preserve">Manager, </w:t>
            </w:r>
            <w:r w:rsidR="005A1336">
              <w:t>Engineering Services</w:t>
            </w:r>
          </w:p>
        </w:tc>
      </w:tr>
      <w:tr w:rsidR="00FE079D" w:rsidRPr="00534386" w:rsidTr="000D0941">
        <w:tc>
          <w:tcPr>
            <w:tcW w:w="5000" w:type="pct"/>
          </w:tcPr>
          <w:p w:rsidR="00FE079D" w:rsidRDefault="00FE079D" w:rsidP="000D0941">
            <w:pPr>
              <w:rPr>
                <w:b/>
              </w:rPr>
            </w:pPr>
          </w:p>
          <w:p w:rsidR="00FE079D" w:rsidRPr="00534386" w:rsidRDefault="00F51CED" w:rsidP="000D0941">
            <w:pPr>
              <w:rPr>
                <w:b/>
              </w:rPr>
            </w:pPr>
            <w:r w:rsidRPr="00342330">
              <w:rPr>
                <w:b/>
              </w:rPr>
              <w:t>Aaron Berndt</w:t>
            </w:r>
          </w:p>
          <w:p w:rsidR="00FE079D" w:rsidRPr="00534386" w:rsidRDefault="00FE079D" w:rsidP="000D0941">
            <w:r w:rsidRPr="00534386">
              <w:t xml:space="preserve">Manager, </w:t>
            </w:r>
            <w:r>
              <w:t xml:space="preserve">Core </w:t>
            </w:r>
            <w:r w:rsidR="00F51CED">
              <w:t>EMS and Information Products</w:t>
            </w:r>
            <w:r>
              <w:t xml:space="preserve"> </w:t>
            </w:r>
          </w:p>
          <w:p w:rsidR="00FE079D" w:rsidRDefault="00FE079D" w:rsidP="000D0941">
            <w:pPr>
              <w:rPr>
                <w:b/>
              </w:rPr>
            </w:pPr>
          </w:p>
          <w:p w:rsidR="00FE079D" w:rsidRPr="00534386" w:rsidRDefault="00FE079D" w:rsidP="00F51CED"/>
        </w:tc>
      </w:tr>
    </w:tbl>
    <w:p w:rsidR="00FE079D" w:rsidRPr="00EE7092" w:rsidRDefault="00FE079D" w:rsidP="00FE079D"/>
    <w:p w:rsidR="00EE7092" w:rsidRPr="00EE7092" w:rsidRDefault="00EE7092" w:rsidP="00EE7092"/>
    <w:p w:rsidR="00E71EF1" w:rsidRDefault="009B5F5D" w:rsidP="00E71EF1">
      <w:pPr>
        <w:pStyle w:val="Heading1"/>
      </w:pPr>
      <w:r>
        <w:br w:type="page"/>
      </w:r>
      <w:bookmarkStart w:id="7" w:name="_Toc304800196"/>
      <w:bookmarkStart w:id="8" w:name="_Toc324318333"/>
      <w:bookmarkStart w:id="9" w:name="_Toc324340477"/>
      <w:bookmarkStart w:id="10" w:name="_Toc476228480"/>
      <w:r w:rsidR="00E71EF1">
        <w:lastRenderedPageBreak/>
        <w:t>Document Revision History</w:t>
      </w:r>
      <w:bookmarkEnd w:id="7"/>
      <w:bookmarkEnd w:id="8"/>
      <w:bookmarkEnd w:id="9"/>
      <w:bookmarkEnd w:id="10"/>
    </w:p>
    <w:p w:rsidR="00E91C15" w:rsidRDefault="00E91C15" w:rsidP="001A573F"/>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2B4FEF" w:rsidTr="003B48D2">
        <w:trPr>
          <w:trHeight w:val="464"/>
        </w:trPr>
        <w:tc>
          <w:tcPr>
            <w:tcW w:w="870" w:type="pct"/>
            <w:tcBorders>
              <w:top w:val="nil"/>
              <w:bottom w:val="single" w:sz="18" w:space="0" w:color="FFFFFF"/>
            </w:tcBorders>
            <w:shd w:val="pct20" w:color="000000" w:fill="FFFFFF"/>
          </w:tcPr>
          <w:p w:rsidR="000374A5" w:rsidRPr="002B4FEF" w:rsidRDefault="000374A5" w:rsidP="000374A5">
            <w:pPr>
              <w:jc w:val="center"/>
              <w:rPr>
                <w:b/>
                <w:bCs/>
              </w:rPr>
            </w:pPr>
            <w:r w:rsidRPr="002B4FEF">
              <w:rPr>
                <w:b/>
              </w:rPr>
              <w:t>Revision #</w:t>
            </w:r>
            <w:r w:rsidRPr="002B4FEF">
              <w:rPr>
                <w:b/>
              </w:rPr>
              <w:tab/>
            </w:r>
          </w:p>
        </w:tc>
        <w:tc>
          <w:tcPr>
            <w:tcW w:w="746" w:type="pct"/>
            <w:tcBorders>
              <w:top w:val="nil"/>
              <w:bottom w:val="single" w:sz="18" w:space="0" w:color="FFFFFF"/>
            </w:tcBorders>
            <w:shd w:val="pct20" w:color="000000" w:fill="FFFFFF"/>
          </w:tcPr>
          <w:p w:rsidR="000374A5" w:rsidRPr="002B4FEF" w:rsidRDefault="005B00A6" w:rsidP="000374A5">
            <w:pPr>
              <w:jc w:val="center"/>
              <w:rPr>
                <w:b/>
                <w:bCs/>
                <w:sz w:val="20"/>
                <w:szCs w:val="20"/>
              </w:rPr>
            </w:pPr>
            <w:r>
              <w:rPr>
                <w:b/>
              </w:rPr>
              <w:t>Revision Date</w:t>
            </w:r>
            <w:r w:rsidR="000374A5" w:rsidRPr="002B4FEF">
              <w:rPr>
                <w:b/>
              </w:rPr>
              <w:tab/>
            </w:r>
          </w:p>
        </w:tc>
        <w:tc>
          <w:tcPr>
            <w:tcW w:w="1692" w:type="pct"/>
            <w:tcBorders>
              <w:top w:val="nil"/>
              <w:bottom w:val="single" w:sz="18" w:space="0" w:color="FFFFFF"/>
            </w:tcBorders>
            <w:shd w:val="pct20" w:color="000000" w:fill="FFFFFF"/>
          </w:tcPr>
          <w:p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92" w:type="pct"/>
            <w:tcBorders>
              <w:top w:val="nil"/>
              <w:bottom w:val="single" w:sz="18" w:space="0" w:color="FFFFFF"/>
            </w:tcBorders>
            <w:shd w:val="pct20" w:color="000000" w:fill="FFFFFF"/>
          </w:tcPr>
          <w:p w:rsidR="000374A5" w:rsidRPr="002B4FEF" w:rsidRDefault="000374A5" w:rsidP="000374A5">
            <w:pPr>
              <w:jc w:val="center"/>
              <w:rPr>
                <w:b/>
                <w:bCs/>
                <w:sz w:val="20"/>
                <w:szCs w:val="20"/>
              </w:rPr>
            </w:pPr>
            <w:r w:rsidRPr="002B4FEF">
              <w:rPr>
                <w:b/>
              </w:rPr>
              <w:t>Author (Company)</w:t>
            </w:r>
          </w:p>
        </w:tc>
      </w:tr>
      <w:tr w:rsidR="00E91C15" w:rsidRPr="00783DAC" w:rsidTr="003B48D2">
        <w:trPr>
          <w:trHeight w:val="464"/>
        </w:trPr>
        <w:tc>
          <w:tcPr>
            <w:tcW w:w="870" w:type="pct"/>
            <w:tcBorders>
              <w:top w:val="single" w:sz="18" w:space="0" w:color="FFFFFF"/>
              <w:bottom w:val="single" w:sz="18" w:space="0" w:color="FFFFFF"/>
            </w:tcBorders>
            <w:shd w:val="pct5" w:color="000000" w:fill="FFFFFF"/>
          </w:tcPr>
          <w:p w:rsidR="00E91C15" w:rsidRPr="00783DAC" w:rsidRDefault="00E91C15" w:rsidP="008948E0">
            <w:pPr>
              <w:rPr>
                <w:b/>
                <w:bCs/>
              </w:rPr>
            </w:pPr>
            <w:r w:rsidRPr="00783DAC">
              <w:rPr>
                <w:b/>
                <w:bCs/>
              </w:rPr>
              <w:t>Revision 0</w:t>
            </w:r>
          </w:p>
        </w:tc>
        <w:tc>
          <w:tcPr>
            <w:tcW w:w="746" w:type="pct"/>
            <w:tcBorders>
              <w:top w:val="single" w:sz="18" w:space="0" w:color="FFFFFF"/>
              <w:bottom w:val="single" w:sz="18" w:space="0" w:color="FFFFFF"/>
            </w:tcBorders>
            <w:shd w:val="pct5" w:color="000000" w:fill="FFFFFF"/>
          </w:tcPr>
          <w:p w:rsidR="00E91C15" w:rsidRPr="00C7123A" w:rsidRDefault="000656B3" w:rsidP="00D92BFE">
            <w:pPr>
              <w:rPr>
                <w:b/>
                <w:bCs/>
                <w:sz w:val="20"/>
                <w:szCs w:val="20"/>
              </w:rPr>
            </w:pPr>
            <w:r w:rsidRPr="00C7123A">
              <w:rPr>
                <w:b/>
                <w:bCs/>
                <w:sz w:val="20"/>
                <w:szCs w:val="20"/>
              </w:rPr>
              <w:t>0</w:t>
            </w:r>
            <w:r w:rsidR="00D92BFE" w:rsidRPr="00C7123A">
              <w:rPr>
                <w:b/>
                <w:bCs/>
                <w:sz w:val="20"/>
                <w:szCs w:val="20"/>
              </w:rPr>
              <w:t>3</w:t>
            </w:r>
            <w:r w:rsidR="00AC6C60" w:rsidRPr="00C7123A">
              <w:rPr>
                <w:b/>
                <w:bCs/>
                <w:sz w:val="20"/>
                <w:szCs w:val="20"/>
              </w:rPr>
              <w:t>/</w:t>
            </w:r>
            <w:r w:rsidR="00D92BFE" w:rsidRPr="00C7123A">
              <w:rPr>
                <w:b/>
                <w:bCs/>
                <w:sz w:val="20"/>
                <w:szCs w:val="20"/>
              </w:rPr>
              <w:t>01</w:t>
            </w:r>
            <w:r w:rsidR="00AC6C60" w:rsidRPr="00C7123A">
              <w:rPr>
                <w:b/>
                <w:bCs/>
                <w:sz w:val="20"/>
                <w:szCs w:val="20"/>
              </w:rPr>
              <w:t>/2013</w:t>
            </w:r>
          </w:p>
        </w:tc>
        <w:tc>
          <w:tcPr>
            <w:tcW w:w="1692" w:type="pct"/>
            <w:tcBorders>
              <w:top w:val="single" w:sz="18" w:space="0" w:color="FFFFFF"/>
              <w:bottom w:val="single" w:sz="18" w:space="0" w:color="FFFFFF"/>
            </w:tcBorders>
            <w:shd w:val="pct5" w:color="000000" w:fill="FFFFFF"/>
          </w:tcPr>
          <w:p w:rsidR="00E91C15" w:rsidRPr="00C7123A" w:rsidRDefault="000D0941" w:rsidP="008948E0">
            <w:pPr>
              <w:rPr>
                <w:b/>
                <w:bCs/>
                <w:sz w:val="20"/>
                <w:szCs w:val="20"/>
              </w:rPr>
            </w:pPr>
            <w:r w:rsidRPr="00C7123A">
              <w:rPr>
                <w:b/>
                <w:bCs/>
                <w:sz w:val="20"/>
                <w:szCs w:val="20"/>
              </w:rPr>
              <w:t>Home Energy Reports original work paper.</w:t>
            </w:r>
          </w:p>
        </w:tc>
        <w:tc>
          <w:tcPr>
            <w:tcW w:w="1692" w:type="pct"/>
            <w:tcBorders>
              <w:top w:val="single" w:sz="18" w:space="0" w:color="FFFFFF"/>
              <w:bottom w:val="single" w:sz="18" w:space="0" w:color="FFFFFF"/>
            </w:tcBorders>
            <w:shd w:val="pct5" w:color="000000" w:fill="FFFFFF"/>
          </w:tcPr>
          <w:p w:rsidR="00E91C15" w:rsidRPr="00C7123A" w:rsidRDefault="000D0941" w:rsidP="00342330">
            <w:pPr>
              <w:rPr>
                <w:rFonts w:eastAsia="Calibri"/>
                <w:b/>
                <w:bCs/>
                <w:i/>
                <w:color w:val="000000" w:themeColor="text1"/>
                <w:sz w:val="20"/>
                <w:szCs w:val="20"/>
              </w:rPr>
            </w:pPr>
            <w:r w:rsidRPr="00C7123A">
              <w:rPr>
                <w:b/>
                <w:bCs/>
                <w:color w:val="000000" w:themeColor="text1"/>
                <w:sz w:val="20"/>
                <w:szCs w:val="20"/>
              </w:rPr>
              <w:t>Steve Blanc, Brian Smith</w:t>
            </w:r>
            <w:r w:rsidR="00C811C4" w:rsidRPr="00C7123A">
              <w:rPr>
                <w:b/>
                <w:bCs/>
                <w:color w:val="000000" w:themeColor="text1"/>
                <w:sz w:val="20"/>
                <w:szCs w:val="20"/>
              </w:rPr>
              <w:t>,</w:t>
            </w:r>
            <w:r w:rsidR="00E91C15" w:rsidRPr="00C7123A">
              <w:rPr>
                <w:b/>
                <w:bCs/>
                <w:color w:val="000000" w:themeColor="text1"/>
                <w:sz w:val="20"/>
                <w:szCs w:val="20"/>
              </w:rPr>
              <w:t xml:space="preserve"> </w:t>
            </w:r>
            <w:r w:rsidR="00C811C4" w:rsidRPr="00C7123A">
              <w:rPr>
                <w:b/>
                <w:bCs/>
                <w:color w:val="000000" w:themeColor="text1"/>
                <w:sz w:val="20"/>
                <w:szCs w:val="20"/>
              </w:rPr>
              <w:t xml:space="preserve">Jim Wyatt </w:t>
            </w:r>
            <w:r w:rsidR="00E91C15" w:rsidRPr="00C7123A">
              <w:rPr>
                <w:b/>
                <w:bCs/>
                <w:color w:val="000000" w:themeColor="text1"/>
                <w:sz w:val="20"/>
                <w:szCs w:val="20"/>
              </w:rPr>
              <w:t>(PG&amp;E)</w:t>
            </w:r>
            <w:r w:rsidR="00B008BF" w:rsidRPr="00C7123A">
              <w:rPr>
                <w:b/>
                <w:bCs/>
                <w:color w:val="000000" w:themeColor="text1"/>
                <w:sz w:val="20"/>
                <w:szCs w:val="20"/>
              </w:rPr>
              <w:t xml:space="preserve"> </w:t>
            </w:r>
          </w:p>
        </w:tc>
      </w:tr>
      <w:tr w:rsidR="00E91C15" w:rsidRPr="00DE21B1" w:rsidTr="003B48D2">
        <w:trPr>
          <w:trHeight w:val="464"/>
        </w:trPr>
        <w:tc>
          <w:tcPr>
            <w:tcW w:w="870" w:type="pct"/>
            <w:tcBorders>
              <w:top w:val="single" w:sz="18" w:space="0" w:color="FFFFFF"/>
              <w:bottom w:val="nil"/>
            </w:tcBorders>
            <w:shd w:val="pct20" w:color="000000" w:fill="FFFFFF"/>
          </w:tcPr>
          <w:p w:rsidR="00E91C15" w:rsidRPr="00DE21B1" w:rsidRDefault="00CE4FA2" w:rsidP="008948E0">
            <w:pPr>
              <w:rPr>
                <w:b/>
              </w:rPr>
            </w:pPr>
            <w:r>
              <w:rPr>
                <w:b/>
              </w:rPr>
              <w:t>Revision 1</w:t>
            </w:r>
          </w:p>
        </w:tc>
        <w:tc>
          <w:tcPr>
            <w:tcW w:w="746" w:type="pct"/>
            <w:tcBorders>
              <w:top w:val="single" w:sz="18" w:space="0" w:color="FFFFFF"/>
              <w:bottom w:val="nil"/>
            </w:tcBorders>
            <w:shd w:val="pct20" w:color="000000" w:fill="FFFFFF"/>
          </w:tcPr>
          <w:p w:rsidR="00E91C15" w:rsidRPr="00C7123A" w:rsidRDefault="000656B3" w:rsidP="000656B3">
            <w:pPr>
              <w:autoSpaceDE w:val="0"/>
              <w:autoSpaceDN w:val="0"/>
              <w:adjustRightInd w:val="0"/>
              <w:rPr>
                <w:b/>
                <w:sz w:val="20"/>
                <w:szCs w:val="20"/>
              </w:rPr>
            </w:pPr>
            <w:r w:rsidRPr="00C7123A">
              <w:rPr>
                <w:b/>
                <w:sz w:val="20"/>
                <w:szCs w:val="20"/>
              </w:rPr>
              <w:t>03/02/2017</w:t>
            </w:r>
          </w:p>
        </w:tc>
        <w:tc>
          <w:tcPr>
            <w:tcW w:w="1692" w:type="pct"/>
            <w:tcBorders>
              <w:top w:val="single" w:sz="18" w:space="0" w:color="FFFFFF"/>
              <w:bottom w:val="nil"/>
            </w:tcBorders>
            <w:shd w:val="pct20" w:color="000000" w:fill="FFFFFF"/>
          </w:tcPr>
          <w:p w:rsidR="00E91C15" w:rsidRPr="00C7123A" w:rsidRDefault="000656B3" w:rsidP="008948E0">
            <w:pPr>
              <w:rPr>
                <w:b/>
                <w:sz w:val="20"/>
                <w:szCs w:val="20"/>
              </w:rPr>
            </w:pPr>
            <w:r w:rsidRPr="00C7123A">
              <w:rPr>
                <w:b/>
                <w:sz w:val="20"/>
                <w:szCs w:val="20"/>
              </w:rPr>
              <w:t xml:space="preserve">EUL, calculations, load shape </w:t>
            </w:r>
          </w:p>
        </w:tc>
        <w:tc>
          <w:tcPr>
            <w:tcW w:w="1692" w:type="pct"/>
            <w:tcBorders>
              <w:top w:val="single" w:sz="18" w:space="0" w:color="FFFFFF"/>
              <w:bottom w:val="nil"/>
            </w:tcBorders>
            <w:shd w:val="pct20" w:color="000000" w:fill="FFFFFF"/>
          </w:tcPr>
          <w:p w:rsidR="00E91C15" w:rsidRPr="00C7123A" w:rsidRDefault="000656B3" w:rsidP="00746DDC">
            <w:pPr>
              <w:rPr>
                <w:b/>
                <w:bCs/>
                <w:color w:val="000000" w:themeColor="text1"/>
                <w:sz w:val="20"/>
                <w:szCs w:val="20"/>
              </w:rPr>
            </w:pPr>
            <w:r w:rsidRPr="00C7123A">
              <w:rPr>
                <w:b/>
                <w:bCs/>
                <w:color w:val="000000" w:themeColor="text1"/>
                <w:sz w:val="20"/>
                <w:szCs w:val="20"/>
              </w:rPr>
              <w:t>Guillaume Calas, Henry Liu, Brian Smith, Jim Wyatt (PG&amp;E)</w:t>
            </w:r>
          </w:p>
        </w:tc>
      </w:tr>
    </w:tbl>
    <w:p w:rsidR="00E71EF1" w:rsidRDefault="00E71EF1" w:rsidP="00F55847">
      <w:pPr>
        <w:pStyle w:val="Heading1"/>
      </w:pPr>
      <w:bookmarkStart w:id="11" w:name="_Toc186621650"/>
      <w:bookmarkStart w:id="12" w:name="_Toc304800197"/>
      <w:bookmarkStart w:id="13" w:name="_Toc324318334"/>
      <w:r w:rsidRPr="006832A4">
        <w:br w:type="page"/>
      </w:r>
      <w:bookmarkStart w:id="14" w:name="_Toc304800198"/>
      <w:bookmarkStart w:id="15" w:name="_Toc324340478"/>
      <w:bookmarkStart w:id="16" w:name="_Toc476228481"/>
      <w:r w:rsidR="001248A3">
        <w:lastRenderedPageBreak/>
        <w:t>Table</w:t>
      </w:r>
      <w:r w:rsidR="006559C8">
        <w:t xml:space="preserve"> of Contents</w:t>
      </w:r>
      <w:bookmarkEnd w:id="11"/>
      <w:bookmarkEnd w:id="12"/>
      <w:bookmarkEnd w:id="13"/>
      <w:bookmarkEnd w:id="14"/>
      <w:bookmarkEnd w:id="15"/>
      <w:bookmarkEnd w:id="16"/>
    </w:p>
    <w:p w:rsidR="00992DF9"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76228478" w:history="1">
        <w:r w:rsidR="00992DF9" w:rsidRPr="00F370F6">
          <w:rPr>
            <w:rStyle w:val="Hyperlink"/>
            <w:noProof/>
          </w:rPr>
          <w:t>At-a-Glance Summary</w:t>
        </w:r>
        <w:r w:rsidR="00992DF9">
          <w:rPr>
            <w:noProof/>
            <w:webHidden/>
          </w:rPr>
          <w:tab/>
        </w:r>
        <w:r w:rsidR="00992DF9">
          <w:rPr>
            <w:noProof/>
            <w:webHidden/>
          </w:rPr>
          <w:fldChar w:fldCharType="begin"/>
        </w:r>
        <w:r w:rsidR="00992DF9">
          <w:rPr>
            <w:noProof/>
            <w:webHidden/>
          </w:rPr>
          <w:instrText xml:space="preserve"> PAGEREF _Toc476228478 \h </w:instrText>
        </w:r>
        <w:r w:rsidR="00992DF9">
          <w:rPr>
            <w:noProof/>
            <w:webHidden/>
          </w:rPr>
        </w:r>
        <w:r w:rsidR="00992DF9">
          <w:rPr>
            <w:noProof/>
            <w:webHidden/>
          </w:rPr>
          <w:fldChar w:fldCharType="separate"/>
        </w:r>
        <w:r w:rsidR="00992DF9">
          <w:rPr>
            <w:noProof/>
            <w:webHidden/>
          </w:rPr>
          <w:t>ii</w:t>
        </w:r>
        <w:r w:rsidR="00992DF9">
          <w:rPr>
            <w:noProof/>
            <w:webHidden/>
          </w:rPr>
          <w:fldChar w:fldCharType="end"/>
        </w:r>
      </w:hyperlink>
    </w:p>
    <w:p w:rsidR="00992DF9" w:rsidRDefault="00B37A08">
      <w:pPr>
        <w:pStyle w:val="TOC1"/>
        <w:tabs>
          <w:tab w:val="right" w:leader="dot" w:pos="9350"/>
        </w:tabs>
        <w:rPr>
          <w:rFonts w:asciiTheme="minorHAnsi" w:eastAsiaTheme="minorEastAsia" w:hAnsiTheme="minorHAnsi" w:cstheme="minorBidi"/>
          <w:noProof/>
          <w:szCs w:val="22"/>
        </w:rPr>
      </w:pPr>
      <w:hyperlink w:anchor="_Toc476228479" w:history="1">
        <w:r w:rsidR="00992DF9" w:rsidRPr="00F370F6">
          <w:rPr>
            <w:rStyle w:val="Hyperlink"/>
            <w:noProof/>
          </w:rPr>
          <w:t>Work Paper Approvals</w:t>
        </w:r>
        <w:r w:rsidR="00992DF9">
          <w:rPr>
            <w:noProof/>
            <w:webHidden/>
          </w:rPr>
          <w:tab/>
        </w:r>
        <w:r w:rsidR="00992DF9">
          <w:rPr>
            <w:noProof/>
            <w:webHidden/>
          </w:rPr>
          <w:fldChar w:fldCharType="begin"/>
        </w:r>
        <w:r w:rsidR="00992DF9">
          <w:rPr>
            <w:noProof/>
            <w:webHidden/>
          </w:rPr>
          <w:instrText xml:space="preserve"> PAGEREF _Toc476228479 \h </w:instrText>
        </w:r>
        <w:r w:rsidR="00992DF9">
          <w:rPr>
            <w:noProof/>
            <w:webHidden/>
          </w:rPr>
        </w:r>
        <w:r w:rsidR="00992DF9">
          <w:rPr>
            <w:noProof/>
            <w:webHidden/>
          </w:rPr>
          <w:fldChar w:fldCharType="separate"/>
        </w:r>
        <w:r w:rsidR="00992DF9">
          <w:rPr>
            <w:noProof/>
            <w:webHidden/>
          </w:rPr>
          <w:t>v</w:t>
        </w:r>
        <w:r w:rsidR="00992DF9">
          <w:rPr>
            <w:noProof/>
            <w:webHidden/>
          </w:rPr>
          <w:fldChar w:fldCharType="end"/>
        </w:r>
      </w:hyperlink>
    </w:p>
    <w:p w:rsidR="00992DF9" w:rsidRDefault="00B37A08">
      <w:pPr>
        <w:pStyle w:val="TOC1"/>
        <w:tabs>
          <w:tab w:val="right" w:leader="dot" w:pos="9350"/>
        </w:tabs>
        <w:rPr>
          <w:rFonts w:asciiTheme="minorHAnsi" w:eastAsiaTheme="minorEastAsia" w:hAnsiTheme="minorHAnsi" w:cstheme="minorBidi"/>
          <w:noProof/>
          <w:szCs w:val="22"/>
        </w:rPr>
      </w:pPr>
      <w:hyperlink w:anchor="_Toc476228480" w:history="1">
        <w:r w:rsidR="00992DF9" w:rsidRPr="00F370F6">
          <w:rPr>
            <w:rStyle w:val="Hyperlink"/>
            <w:noProof/>
          </w:rPr>
          <w:t>Document Revision History</w:t>
        </w:r>
        <w:r w:rsidR="00992DF9">
          <w:rPr>
            <w:noProof/>
            <w:webHidden/>
          </w:rPr>
          <w:tab/>
        </w:r>
        <w:r w:rsidR="00992DF9">
          <w:rPr>
            <w:noProof/>
            <w:webHidden/>
          </w:rPr>
          <w:fldChar w:fldCharType="begin"/>
        </w:r>
        <w:r w:rsidR="00992DF9">
          <w:rPr>
            <w:noProof/>
            <w:webHidden/>
          </w:rPr>
          <w:instrText xml:space="preserve"> PAGEREF _Toc476228480 \h </w:instrText>
        </w:r>
        <w:r w:rsidR="00992DF9">
          <w:rPr>
            <w:noProof/>
            <w:webHidden/>
          </w:rPr>
        </w:r>
        <w:r w:rsidR="00992DF9">
          <w:rPr>
            <w:noProof/>
            <w:webHidden/>
          </w:rPr>
          <w:fldChar w:fldCharType="separate"/>
        </w:r>
        <w:r w:rsidR="00992DF9">
          <w:rPr>
            <w:noProof/>
            <w:webHidden/>
          </w:rPr>
          <w:t>vi</w:t>
        </w:r>
        <w:r w:rsidR="00992DF9">
          <w:rPr>
            <w:noProof/>
            <w:webHidden/>
          </w:rPr>
          <w:fldChar w:fldCharType="end"/>
        </w:r>
      </w:hyperlink>
    </w:p>
    <w:p w:rsidR="00992DF9" w:rsidRDefault="00B37A08">
      <w:pPr>
        <w:pStyle w:val="TOC1"/>
        <w:tabs>
          <w:tab w:val="right" w:leader="dot" w:pos="9350"/>
        </w:tabs>
        <w:rPr>
          <w:rFonts w:asciiTheme="minorHAnsi" w:eastAsiaTheme="minorEastAsia" w:hAnsiTheme="minorHAnsi" w:cstheme="minorBidi"/>
          <w:noProof/>
          <w:szCs w:val="22"/>
        </w:rPr>
      </w:pPr>
      <w:hyperlink w:anchor="_Toc476228481" w:history="1">
        <w:r w:rsidR="00992DF9" w:rsidRPr="00F370F6">
          <w:rPr>
            <w:rStyle w:val="Hyperlink"/>
            <w:noProof/>
          </w:rPr>
          <w:t>Table of Contents</w:t>
        </w:r>
        <w:r w:rsidR="00992DF9">
          <w:rPr>
            <w:noProof/>
            <w:webHidden/>
          </w:rPr>
          <w:tab/>
        </w:r>
        <w:r w:rsidR="00992DF9">
          <w:rPr>
            <w:noProof/>
            <w:webHidden/>
          </w:rPr>
          <w:fldChar w:fldCharType="begin"/>
        </w:r>
        <w:r w:rsidR="00992DF9">
          <w:rPr>
            <w:noProof/>
            <w:webHidden/>
          </w:rPr>
          <w:instrText xml:space="preserve"> PAGEREF _Toc476228481 \h </w:instrText>
        </w:r>
        <w:r w:rsidR="00992DF9">
          <w:rPr>
            <w:noProof/>
            <w:webHidden/>
          </w:rPr>
        </w:r>
        <w:r w:rsidR="00992DF9">
          <w:rPr>
            <w:noProof/>
            <w:webHidden/>
          </w:rPr>
          <w:fldChar w:fldCharType="separate"/>
        </w:r>
        <w:r w:rsidR="00992DF9">
          <w:rPr>
            <w:noProof/>
            <w:webHidden/>
          </w:rPr>
          <w:t>vii</w:t>
        </w:r>
        <w:r w:rsidR="00992DF9">
          <w:rPr>
            <w:noProof/>
            <w:webHidden/>
          </w:rPr>
          <w:fldChar w:fldCharType="end"/>
        </w:r>
      </w:hyperlink>
    </w:p>
    <w:p w:rsidR="00992DF9" w:rsidRDefault="00B37A08">
      <w:pPr>
        <w:pStyle w:val="TOC1"/>
        <w:tabs>
          <w:tab w:val="right" w:leader="dot" w:pos="9350"/>
        </w:tabs>
        <w:rPr>
          <w:rFonts w:asciiTheme="minorHAnsi" w:eastAsiaTheme="minorEastAsia" w:hAnsiTheme="minorHAnsi" w:cstheme="minorBidi"/>
          <w:noProof/>
          <w:szCs w:val="22"/>
        </w:rPr>
      </w:pPr>
      <w:hyperlink w:anchor="_Toc476228482" w:history="1">
        <w:r w:rsidR="00992DF9" w:rsidRPr="00F370F6">
          <w:rPr>
            <w:rStyle w:val="Hyperlink"/>
            <w:noProof/>
          </w:rPr>
          <w:t>Section 1. General Measure &amp; Baseline Data</w:t>
        </w:r>
        <w:r w:rsidR="00992DF9">
          <w:rPr>
            <w:noProof/>
            <w:webHidden/>
          </w:rPr>
          <w:tab/>
        </w:r>
        <w:r w:rsidR="00992DF9">
          <w:rPr>
            <w:noProof/>
            <w:webHidden/>
          </w:rPr>
          <w:fldChar w:fldCharType="begin"/>
        </w:r>
        <w:r w:rsidR="00992DF9">
          <w:rPr>
            <w:noProof/>
            <w:webHidden/>
          </w:rPr>
          <w:instrText xml:space="preserve"> PAGEREF _Toc476228482 \h </w:instrText>
        </w:r>
        <w:r w:rsidR="00992DF9">
          <w:rPr>
            <w:noProof/>
            <w:webHidden/>
          </w:rPr>
        </w:r>
        <w:r w:rsidR="00992DF9">
          <w:rPr>
            <w:noProof/>
            <w:webHidden/>
          </w:rPr>
          <w:fldChar w:fldCharType="separate"/>
        </w:r>
        <w:r w:rsidR="00992DF9">
          <w:rPr>
            <w:noProof/>
            <w:webHidden/>
          </w:rPr>
          <w:t>1</w:t>
        </w:r>
        <w:r w:rsidR="00992DF9">
          <w:rPr>
            <w:noProof/>
            <w:webHidden/>
          </w:rPr>
          <w:fldChar w:fldCharType="end"/>
        </w:r>
      </w:hyperlink>
    </w:p>
    <w:p w:rsidR="00992DF9" w:rsidRDefault="00B37A08">
      <w:pPr>
        <w:pStyle w:val="TOC2"/>
        <w:tabs>
          <w:tab w:val="right" w:leader="dot" w:pos="9350"/>
        </w:tabs>
        <w:rPr>
          <w:rFonts w:asciiTheme="minorHAnsi" w:eastAsiaTheme="minorEastAsia" w:hAnsiTheme="minorHAnsi" w:cstheme="minorBidi"/>
          <w:noProof/>
          <w:szCs w:val="22"/>
        </w:rPr>
      </w:pPr>
      <w:hyperlink w:anchor="_Toc476228483" w:history="1">
        <w:r w:rsidR="00992DF9" w:rsidRPr="00F370F6">
          <w:rPr>
            <w:rStyle w:val="Hyperlink"/>
            <w:noProof/>
          </w:rPr>
          <w:t>1.1 Product Measure Description &amp; Background</w:t>
        </w:r>
        <w:r w:rsidR="00992DF9">
          <w:rPr>
            <w:noProof/>
            <w:webHidden/>
          </w:rPr>
          <w:tab/>
        </w:r>
        <w:r w:rsidR="00992DF9">
          <w:rPr>
            <w:noProof/>
            <w:webHidden/>
          </w:rPr>
          <w:fldChar w:fldCharType="begin"/>
        </w:r>
        <w:r w:rsidR="00992DF9">
          <w:rPr>
            <w:noProof/>
            <w:webHidden/>
          </w:rPr>
          <w:instrText xml:space="preserve"> PAGEREF _Toc476228483 \h </w:instrText>
        </w:r>
        <w:r w:rsidR="00992DF9">
          <w:rPr>
            <w:noProof/>
            <w:webHidden/>
          </w:rPr>
        </w:r>
        <w:r w:rsidR="00992DF9">
          <w:rPr>
            <w:noProof/>
            <w:webHidden/>
          </w:rPr>
          <w:fldChar w:fldCharType="separate"/>
        </w:r>
        <w:r w:rsidR="00992DF9">
          <w:rPr>
            <w:noProof/>
            <w:webHidden/>
          </w:rPr>
          <w:t>1</w:t>
        </w:r>
        <w:r w:rsidR="00992DF9">
          <w:rPr>
            <w:noProof/>
            <w:webHidden/>
          </w:rPr>
          <w:fldChar w:fldCharType="end"/>
        </w:r>
      </w:hyperlink>
    </w:p>
    <w:p w:rsidR="00992DF9" w:rsidRDefault="00B37A08">
      <w:pPr>
        <w:pStyle w:val="TOC2"/>
        <w:tabs>
          <w:tab w:val="right" w:leader="dot" w:pos="9350"/>
        </w:tabs>
        <w:rPr>
          <w:rFonts w:asciiTheme="minorHAnsi" w:eastAsiaTheme="minorEastAsia" w:hAnsiTheme="minorHAnsi" w:cstheme="minorBidi"/>
          <w:noProof/>
          <w:szCs w:val="22"/>
        </w:rPr>
      </w:pPr>
      <w:hyperlink w:anchor="_Toc476228484" w:history="1">
        <w:r w:rsidR="00992DF9" w:rsidRPr="00F370F6">
          <w:rPr>
            <w:rStyle w:val="Hyperlink"/>
            <w:noProof/>
          </w:rPr>
          <w:t>1.2 Product Technical Description</w:t>
        </w:r>
        <w:r w:rsidR="00992DF9">
          <w:rPr>
            <w:noProof/>
            <w:webHidden/>
          </w:rPr>
          <w:tab/>
        </w:r>
        <w:r w:rsidR="00992DF9">
          <w:rPr>
            <w:noProof/>
            <w:webHidden/>
          </w:rPr>
          <w:fldChar w:fldCharType="begin"/>
        </w:r>
        <w:r w:rsidR="00992DF9">
          <w:rPr>
            <w:noProof/>
            <w:webHidden/>
          </w:rPr>
          <w:instrText xml:space="preserve"> PAGEREF _Toc476228484 \h </w:instrText>
        </w:r>
        <w:r w:rsidR="00992DF9">
          <w:rPr>
            <w:noProof/>
            <w:webHidden/>
          </w:rPr>
        </w:r>
        <w:r w:rsidR="00992DF9">
          <w:rPr>
            <w:noProof/>
            <w:webHidden/>
          </w:rPr>
          <w:fldChar w:fldCharType="separate"/>
        </w:r>
        <w:r w:rsidR="00992DF9">
          <w:rPr>
            <w:noProof/>
            <w:webHidden/>
          </w:rPr>
          <w:t>1</w:t>
        </w:r>
        <w:r w:rsidR="00992DF9">
          <w:rPr>
            <w:noProof/>
            <w:webHidden/>
          </w:rPr>
          <w:fldChar w:fldCharType="end"/>
        </w:r>
      </w:hyperlink>
    </w:p>
    <w:p w:rsidR="00992DF9" w:rsidRDefault="00B37A08">
      <w:pPr>
        <w:pStyle w:val="TOC2"/>
        <w:tabs>
          <w:tab w:val="right" w:leader="dot" w:pos="9350"/>
        </w:tabs>
        <w:rPr>
          <w:rFonts w:asciiTheme="minorHAnsi" w:eastAsiaTheme="minorEastAsia" w:hAnsiTheme="minorHAnsi" w:cstheme="minorBidi"/>
          <w:noProof/>
          <w:szCs w:val="22"/>
        </w:rPr>
      </w:pPr>
      <w:hyperlink w:anchor="_Toc476228485" w:history="1">
        <w:r w:rsidR="00992DF9" w:rsidRPr="00F370F6">
          <w:rPr>
            <w:rStyle w:val="Hyperlink"/>
            <w:noProof/>
          </w:rPr>
          <w:t>1.3 Measure Application Type</w:t>
        </w:r>
        <w:r w:rsidR="00992DF9">
          <w:rPr>
            <w:noProof/>
            <w:webHidden/>
          </w:rPr>
          <w:tab/>
        </w:r>
        <w:r w:rsidR="00992DF9">
          <w:rPr>
            <w:noProof/>
            <w:webHidden/>
          </w:rPr>
          <w:fldChar w:fldCharType="begin"/>
        </w:r>
        <w:r w:rsidR="00992DF9">
          <w:rPr>
            <w:noProof/>
            <w:webHidden/>
          </w:rPr>
          <w:instrText xml:space="preserve"> PAGEREF _Toc476228485 \h </w:instrText>
        </w:r>
        <w:r w:rsidR="00992DF9">
          <w:rPr>
            <w:noProof/>
            <w:webHidden/>
          </w:rPr>
        </w:r>
        <w:r w:rsidR="00992DF9">
          <w:rPr>
            <w:noProof/>
            <w:webHidden/>
          </w:rPr>
          <w:fldChar w:fldCharType="separate"/>
        </w:r>
        <w:r w:rsidR="00992DF9">
          <w:rPr>
            <w:noProof/>
            <w:webHidden/>
          </w:rPr>
          <w:t>4</w:t>
        </w:r>
        <w:r w:rsidR="00992DF9">
          <w:rPr>
            <w:noProof/>
            <w:webHidden/>
          </w:rPr>
          <w:fldChar w:fldCharType="end"/>
        </w:r>
      </w:hyperlink>
    </w:p>
    <w:p w:rsidR="00992DF9" w:rsidRDefault="00B37A08">
      <w:pPr>
        <w:pStyle w:val="TOC2"/>
        <w:tabs>
          <w:tab w:val="right" w:leader="dot" w:pos="9350"/>
        </w:tabs>
        <w:rPr>
          <w:rFonts w:asciiTheme="minorHAnsi" w:eastAsiaTheme="minorEastAsia" w:hAnsiTheme="minorHAnsi" w:cstheme="minorBidi"/>
          <w:noProof/>
          <w:szCs w:val="22"/>
        </w:rPr>
      </w:pPr>
      <w:hyperlink w:anchor="_Toc476228486" w:history="1">
        <w:r w:rsidR="00992DF9" w:rsidRPr="00F370F6">
          <w:rPr>
            <w:rStyle w:val="Hyperlink"/>
            <w:noProof/>
          </w:rPr>
          <w:t>1.4 Product Base Case and Measure Case Data</w:t>
        </w:r>
        <w:r w:rsidR="00992DF9">
          <w:rPr>
            <w:noProof/>
            <w:webHidden/>
          </w:rPr>
          <w:tab/>
        </w:r>
        <w:r w:rsidR="00992DF9">
          <w:rPr>
            <w:noProof/>
            <w:webHidden/>
          </w:rPr>
          <w:fldChar w:fldCharType="begin"/>
        </w:r>
        <w:r w:rsidR="00992DF9">
          <w:rPr>
            <w:noProof/>
            <w:webHidden/>
          </w:rPr>
          <w:instrText xml:space="preserve"> PAGEREF _Toc476228486 \h </w:instrText>
        </w:r>
        <w:r w:rsidR="00992DF9">
          <w:rPr>
            <w:noProof/>
            <w:webHidden/>
          </w:rPr>
        </w:r>
        <w:r w:rsidR="00992DF9">
          <w:rPr>
            <w:noProof/>
            <w:webHidden/>
          </w:rPr>
          <w:fldChar w:fldCharType="separate"/>
        </w:r>
        <w:r w:rsidR="00992DF9">
          <w:rPr>
            <w:noProof/>
            <w:webHidden/>
          </w:rPr>
          <w:t>5</w:t>
        </w:r>
        <w:r w:rsidR="00992DF9">
          <w:rPr>
            <w:noProof/>
            <w:webHidden/>
          </w:rPr>
          <w:fldChar w:fldCharType="end"/>
        </w:r>
      </w:hyperlink>
    </w:p>
    <w:p w:rsidR="00992DF9" w:rsidRDefault="00B37A08">
      <w:pPr>
        <w:pStyle w:val="TOC2"/>
        <w:tabs>
          <w:tab w:val="right" w:leader="dot" w:pos="9350"/>
        </w:tabs>
        <w:rPr>
          <w:rFonts w:asciiTheme="minorHAnsi" w:eastAsiaTheme="minorEastAsia" w:hAnsiTheme="minorHAnsi" w:cstheme="minorBidi"/>
          <w:noProof/>
          <w:szCs w:val="22"/>
        </w:rPr>
      </w:pPr>
      <w:hyperlink w:anchor="_Toc476228487" w:history="1">
        <w:r w:rsidR="00992DF9" w:rsidRPr="00F370F6">
          <w:rPr>
            <w:rStyle w:val="Hyperlink"/>
            <w:noProof/>
          </w:rPr>
          <w:t>1.4.1 DEER Base Case and Measure Case Information</w:t>
        </w:r>
        <w:r w:rsidR="00992DF9">
          <w:rPr>
            <w:noProof/>
            <w:webHidden/>
          </w:rPr>
          <w:tab/>
        </w:r>
        <w:r w:rsidR="00992DF9">
          <w:rPr>
            <w:noProof/>
            <w:webHidden/>
          </w:rPr>
          <w:fldChar w:fldCharType="begin"/>
        </w:r>
        <w:r w:rsidR="00992DF9">
          <w:rPr>
            <w:noProof/>
            <w:webHidden/>
          </w:rPr>
          <w:instrText xml:space="preserve"> PAGEREF _Toc476228487 \h </w:instrText>
        </w:r>
        <w:r w:rsidR="00992DF9">
          <w:rPr>
            <w:noProof/>
            <w:webHidden/>
          </w:rPr>
        </w:r>
        <w:r w:rsidR="00992DF9">
          <w:rPr>
            <w:noProof/>
            <w:webHidden/>
          </w:rPr>
          <w:fldChar w:fldCharType="separate"/>
        </w:r>
        <w:r w:rsidR="00992DF9">
          <w:rPr>
            <w:noProof/>
            <w:webHidden/>
          </w:rPr>
          <w:t>5</w:t>
        </w:r>
        <w:r w:rsidR="00992DF9">
          <w:rPr>
            <w:noProof/>
            <w:webHidden/>
          </w:rPr>
          <w:fldChar w:fldCharType="end"/>
        </w:r>
      </w:hyperlink>
    </w:p>
    <w:p w:rsidR="00992DF9" w:rsidRDefault="00B37A08">
      <w:pPr>
        <w:pStyle w:val="TOC2"/>
        <w:tabs>
          <w:tab w:val="right" w:leader="dot" w:pos="9350"/>
        </w:tabs>
        <w:rPr>
          <w:rFonts w:asciiTheme="minorHAnsi" w:eastAsiaTheme="minorEastAsia" w:hAnsiTheme="minorHAnsi" w:cstheme="minorBidi"/>
          <w:noProof/>
          <w:szCs w:val="22"/>
        </w:rPr>
      </w:pPr>
      <w:hyperlink w:anchor="_Toc476228488" w:history="1">
        <w:r w:rsidR="00992DF9" w:rsidRPr="00F370F6">
          <w:rPr>
            <w:rStyle w:val="Hyperlink"/>
            <w:noProof/>
          </w:rPr>
          <w:t>1.4.2 Codes &amp; Standards Requirements Base Case and Measure Information</w:t>
        </w:r>
        <w:r w:rsidR="00992DF9">
          <w:rPr>
            <w:noProof/>
            <w:webHidden/>
          </w:rPr>
          <w:tab/>
        </w:r>
        <w:r w:rsidR="00992DF9">
          <w:rPr>
            <w:noProof/>
            <w:webHidden/>
          </w:rPr>
          <w:fldChar w:fldCharType="begin"/>
        </w:r>
        <w:r w:rsidR="00992DF9">
          <w:rPr>
            <w:noProof/>
            <w:webHidden/>
          </w:rPr>
          <w:instrText xml:space="preserve"> PAGEREF _Toc476228488 \h </w:instrText>
        </w:r>
        <w:r w:rsidR="00992DF9">
          <w:rPr>
            <w:noProof/>
            <w:webHidden/>
          </w:rPr>
        </w:r>
        <w:r w:rsidR="00992DF9">
          <w:rPr>
            <w:noProof/>
            <w:webHidden/>
          </w:rPr>
          <w:fldChar w:fldCharType="separate"/>
        </w:r>
        <w:r w:rsidR="00992DF9">
          <w:rPr>
            <w:noProof/>
            <w:webHidden/>
          </w:rPr>
          <w:t>5</w:t>
        </w:r>
        <w:r w:rsidR="00992DF9">
          <w:rPr>
            <w:noProof/>
            <w:webHidden/>
          </w:rPr>
          <w:fldChar w:fldCharType="end"/>
        </w:r>
      </w:hyperlink>
    </w:p>
    <w:p w:rsidR="00992DF9" w:rsidRDefault="00B37A08">
      <w:pPr>
        <w:pStyle w:val="TOC2"/>
        <w:tabs>
          <w:tab w:val="right" w:leader="dot" w:pos="9350"/>
        </w:tabs>
        <w:rPr>
          <w:rFonts w:asciiTheme="minorHAnsi" w:eastAsiaTheme="minorEastAsia" w:hAnsiTheme="minorHAnsi" w:cstheme="minorBidi"/>
          <w:noProof/>
          <w:szCs w:val="22"/>
        </w:rPr>
      </w:pPr>
      <w:hyperlink w:anchor="_Toc476228489" w:history="1">
        <w:r w:rsidR="00992DF9" w:rsidRPr="00F370F6">
          <w:rPr>
            <w:rStyle w:val="Hyperlink"/>
            <w:noProof/>
          </w:rPr>
          <w:t>1.4.3 EM&amp;V, Market Potential, and Other Studies – Base Case and Measure Case Information</w:t>
        </w:r>
        <w:r w:rsidR="00992DF9">
          <w:rPr>
            <w:noProof/>
            <w:webHidden/>
          </w:rPr>
          <w:tab/>
        </w:r>
        <w:r w:rsidR="00992DF9">
          <w:rPr>
            <w:noProof/>
            <w:webHidden/>
          </w:rPr>
          <w:fldChar w:fldCharType="begin"/>
        </w:r>
        <w:r w:rsidR="00992DF9">
          <w:rPr>
            <w:noProof/>
            <w:webHidden/>
          </w:rPr>
          <w:instrText xml:space="preserve"> PAGEREF _Toc476228489 \h </w:instrText>
        </w:r>
        <w:r w:rsidR="00992DF9">
          <w:rPr>
            <w:noProof/>
            <w:webHidden/>
          </w:rPr>
        </w:r>
        <w:r w:rsidR="00992DF9">
          <w:rPr>
            <w:noProof/>
            <w:webHidden/>
          </w:rPr>
          <w:fldChar w:fldCharType="separate"/>
        </w:r>
        <w:r w:rsidR="00992DF9">
          <w:rPr>
            <w:noProof/>
            <w:webHidden/>
          </w:rPr>
          <w:t>5</w:t>
        </w:r>
        <w:r w:rsidR="00992DF9">
          <w:rPr>
            <w:noProof/>
            <w:webHidden/>
          </w:rPr>
          <w:fldChar w:fldCharType="end"/>
        </w:r>
      </w:hyperlink>
    </w:p>
    <w:p w:rsidR="00992DF9" w:rsidRDefault="00B37A08">
      <w:pPr>
        <w:pStyle w:val="TOC2"/>
        <w:tabs>
          <w:tab w:val="right" w:leader="dot" w:pos="9350"/>
        </w:tabs>
        <w:rPr>
          <w:rFonts w:asciiTheme="minorHAnsi" w:eastAsiaTheme="minorEastAsia" w:hAnsiTheme="minorHAnsi" w:cstheme="minorBidi"/>
          <w:noProof/>
          <w:szCs w:val="22"/>
        </w:rPr>
      </w:pPr>
      <w:hyperlink w:anchor="_Toc476228490" w:history="1">
        <w:r w:rsidR="00992DF9" w:rsidRPr="00F370F6">
          <w:rPr>
            <w:rStyle w:val="Hyperlink"/>
            <w:noProof/>
          </w:rPr>
          <w:t>1.4.4 Assumptions and Calculations from other sources – Base and Measure Cases</w:t>
        </w:r>
        <w:r w:rsidR="00992DF9">
          <w:rPr>
            <w:noProof/>
            <w:webHidden/>
          </w:rPr>
          <w:tab/>
        </w:r>
        <w:r w:rsidR="00992DF9">
          <w:rPr>
            <w:noProof/>
            <w:webHidden/>
          </w:rPr>
          <w:fldChar w:fldCharType="begin"/>
        </w:r>
        <w:r w:rsidR="00992DF9">
          <w:rPr>
            <w:noProof/>
            <w:webHidden/>
          </w:rPr>
          <w:instrText xml:space="preserve"> PAGEREF _Toc476228490 \h </w:instrText>
        </w:r>
        <w:r w:rsidR="00992DF9">
          <w:rPr>
            <w:noProof/>
            <w:webHidden/>
          </w:rPr>
        </w:r>
        <w:r w:rsidR="00992DF9">
          <w:rPr>
            <w:noProof/>
            <w:webHidden/>
          </w:rPr>
          <w:fldChar w:fldCharType="separate"/>
        </w:r>
        <w:r w:rsidR="00992DF9">
          <w:rPr>
            <w:noProof/>
            <w:webHidden/>
          </w:rPr>
          <w:t>8</w:t>
        </w:r>
        <w:r w:rsidR="00992DF9">
          <w:rPr>
            <w:noProof/>
            <w:webHidden/>
          </w:rPr>
          <w:fldChar w:fldCharType="end"/>
        </w:r>
      </w:hyperlink>
    </w:p>
    <w:p w:rsidR="00992DF9" w:rsidRDefault="00B37A08">
      <w:pPr>
        <w:pStyle w:val="TOC1"/>
        <w:tabs>
          <w:tab w:val="right" w:leader="dot" w:pos="9350"/>
        </w:tabs>
        <w:rPr>
          <w:rFonts w:asciiTheme="minorHAnsi" w:eastAsiaTheme="minorEastAsia" w:hAnsiTheme="minorHAnsi" w:cstheme="minorBidi"/>
          <w:noProof/>
          <w:szCs w:val="22"/>
        </w:rPr>
      </w:pPr>
      <w:hyperlink w:anchor="_Toc476228491" w:history="1">
        <w:r w:rsidR="00992DF9" w:rsidRPr="00F370F6">
          <w:rPr>
            <w:rStyle w:val="Hyperlink"/>
            <w:noProof/>
          </w:rPr>
          <w:t>Section 2. Calculation Methods</w:t>
        </w:r>
        <w:r w:rsidR="00992DF9">
          <w:rPr>
            <w:noProof/>
            <w:webHidden/>
          </w:rPr>
          <w:tab/>
        </w:r>
        <w:r w:rsidR="00992DF9">
          <w:rPr>
            <w:noProof/>
            <w:webHidden/>
          </w:rPr>
          <w:fldChar w:fldCharType="begin"/>
        </w:r>
        <w:r w:rsidR="00992DF9">
          <w:rPr>
            <w:noProof/>
            <w:webHidden/>
          </w:rPr>
          <w:instrText xml:space="preserve"> PAGEREF _Toc476228491 \h </w:instrText>
        </w:r>
        <w:r w:rsidR="00992DF9">
          <w:rPr>
            <w:noProof/>
            <w:webHidden/>
          </w:rPr>
        </w:r>
        <w:r w:rsidR="00992DF9">
          <w:rPr>
            <w:noProof/>
            <w:webHidden/>
          </w:rPr>
          <w:fldChar w:fldCharType="separate"/>
        </w:r>
        <w:r w:rsidR="00992DF9">
          <w:rPr>
            <w:noProof/>
            <w:webHidden/>
          </w:rPr>
          <w:t>10</w:t>
        </w:r>
        <w:r w:rsidR="00992DF9">
          <w:rPr>
            <w:noProof/>
            <w:webHidden/>
          </w:rPr>
          <w:fldChar w:fldCharType="end"/>
        </w:r>
      </w:hyperlink>
    </w:p>
    <w:p w:rsidR="00992DF9" w:rsidRDefault="00B37A08">
      <w:pPr>
        <w:pStyle w:val="TOC2"/>
        <w:tabs>
          <w:tab w:val="right" w:leader="dot" w:pos="9350"/>
        </w:tabs>
        <w:rPr>
          <w:rFonts w:asciiTheme="minorHAnsi" w:eastAsiaTheme="minorEastAsia" w:hAnsiTheme="minorHAnsi" w:cstheme="minorBidi"/>
          <w:noProof/>
          <w:szCs w:val="22"/>
        </w:rPr>
      </w:pPr>
      <w:hyperlink w:anchor="_Toc476228492" w:history="1">
        <w:r w:rsidR="00992DF9" w:rsidRPr="00F370F6">
          <w:rPr>
            <w:rStyle w:val="Hyperlink"/>
            <w:noProof/>
          </w:rPr>
          <w:t>2.1 Electric Savings Estimation Methodologies</w:t>
        </w:r>
        <w:r w:rsidR="00992DF9">
          <w:rPr>
            <w:noProof/>
            <w:webHidden/>
          </w:rPr>
          <w:tab/>
        </w:r>
        <w:r w:rsidR="00992DF9">
          <w:rPr>
            <w:noProof/>
            <w:webHidden/>
          </w:rPr>
          <w:fldChar w:fldCharType="begin"/>
        </w:r>
        <w:r w:rsidR="00992DF9">
          <w:rPr>
            <w:noProof/>
            <w:webHidden/>
          </w:rPr>
          <w:instrText xml:space="preserve"> PAGEREF _Toc476228492 \h </w:instrText>
        </w:r>
        <w:r w:rsidR="00992DF9">
          <w:rPr>
            <w:noProof/>
            <w:webHidden/>
          </w:rPr>
        </w:r>
        <w:r w:rsidR="00992DF9">
          <w:rPr>
            <w:noProof/>
            <w:webHidden/>
          </w:rPr>
          <w:fldChar w:fldCharType="separate"/>
        </w:r>
        <w:r w:rsidR="00992DF9">
          <w:rPr>
            <w:noProof/>
            <w:webHidden/>
          </w:rPr>
          <w:t>10</w:t>
        </w:r>
        <w:r w:rsidR="00992DF9">
          <w:rPr>
            <w:noProof/>
            <w:webHidden/>
          </w:rPr>
          <w:fldChar w:fldCharType="end"/>
        </w:r>
      </w:hyperlink>
    </w:p>
    <w:p w:rsidR="00992DF9" w:rsidRDefault="00B37A08">
      <w:pPr>
        <w:pStyle w:val="TOC2"/>
        <w:tabs>
          <w:tab w:val="right" w:leader="dot" w:pos="9350"/>
        </w:tabs>
        <w:rPr>
          <w:rFonts w:asciiTheme="minorHAnsi" w:eastAsiaTheme="minorEastAsia" w:hAnsiTheme="minorHAnsi" w:cstheme="minorBidi"/>
          <w:noProof/>
          <w:szCs w:val="22"/>
        </w:rPr>
      </w:pPr>
      <w:hyperlink w:anchor="_Toc476228493" w:history="1">
        <w:r w:rsidR="00992DF9" w:rsidRPr="00F370F6">
          <w:rPr>
            <w:rStyle w:val="Hyperlink"/>
            <w:noProof/>
          </w:rPr>
          <w:t>2.2. Demand Reduction Estimation Methodologies</w:t>
        </w:r>
        <w:r w:rsidR="00992DF9">
          <w:rPr>
            <w:noProof/>
            <w:webHidden/>
          </w:rPr>
          <w:tab/>
        </w:r>
        <w:r w:rsidR="00992DF9">
          <w:rPr>
            <w:noProof/>
            <w:webHidden/>
          </w:rPr>
          <w:fldChar w:fldCharType="begin"/>
        </w:r>
        <w:r w:rsidR="00992DF9">
          <w:rPr>
            <w:noProof/>
            <w:webHidden/>
          </w:rPr>
          <w:instrText xml:space="preserve"> PAGEREF _Toc476228493 \h </w:instrText>
        </w:r>
        <w:r w:rsidR="00992DF9">
          <w:rPr>
            <w:noProof/>
            <w:webHidden/>
          </w:rPr>
        </w:r>
        <w:r w:rsidR="00992DF9">
          <w:rPr>
            <w:noProof/>
            <w:webHidden/>
          </w:rPr>
          <w:fldChar w:fldCharType="separate"/>
        </w:r>
        <w:r w:rsidR="00992DF9">
          <w:rPr>
            <w:noProof/>
            <w:webHidden/>
          </w:rPr>
          <w:t>11</w:t>
        </w:r>
        <w:r w:rsidR="00992DF9">
          <w:rPr>
            <w:noProof/>
            <w:webHidden/>
          </w:rPr>
          <w:fldChar w:fldCharType="end"/>
        </w:r>
      </w:hyperlink>
    </w:p>
    <w:p w:rsidR="00992DF9" w:rsidRDefault="00B37A08">
      <w:pPr>
        <w:pStyle w:val="TOC2"/>
        <w:tabs>
          <w:tab w:val="right" w:leader="dot" w:pos="9350"/>
        </w:tabs>
        <w:rPr>
          <w:rFonts w:asciiTheme="minorHAnsi" w:eastAsiaTheme="minorEastAsia" w:hAnsiTheme="minorHAnsi" w:cstheme="minorBidi"/>
          <w:noProof/>
          <w:szCs w:val="22"/>
        </w:rPr>
      </w:pPr>
      <w:hyperlink w:anchor="_Toc476228494" w:history="1">
        <w:r w:rsidR="00992DF9" w:rsidRPr="00F370F6">
          <w:rPr>
            <w:rStyle w:val="Hyperlink"/>
            <w:noProof/>
          </w:rPr>
          <w:t>2.3. Gas Savings Estimation Methodologies</w:t>
        </w:r>
        <w:r w:rsidR="00992DF9">
          <w:rPr>
            <w:noProof/>
            <w:webHidden/>
          </w:rPr>
          <w:tab/>
        </w:r>
        <w:r w:rsidR="00992DF9">
          <w:rPr>
            <w:noProof/>
            <w:webHidden/>
          </w:rPr>
          <w:fldChar w:fldCharType="begin"/>
        </w:r>
        <w:r w:rsidR="00992DF9">
          <w:rPr>
            <w:noProof/>
            <w:webHidden/>
          </w:rPr>
          <w:instrText xml:space="preserve"> PAGEREF _Toc476228494 \h </w:instrText>
        </w:r>
        <w:r w:rsidR="00992DF9">
          <w:rPr>
            <w:noProof/>
            <w:webHidden/>
          </w:rPr>
        </w:r>
        <w:r w:rsidR="00992DF9">
          <w:rPr>
            <w:noProof/>
            <w:webHidden/>
          </w:rPr>
          <w:fldChar w:fldCharType="separate"/>
        </w:r>
        <w:r w:rsidR="00992DF9">
          <w:rPr>
            <w:noProof/>
            <w:webHidden/>
          </w:rPr>
          <w:t>12</w:t>
        </w:r>
        <w:r w:rsidR="00992DF9">
          <w:rPr>
            <w:noProof/>
            <w:webHidden/>
          </w:rPr>
          <w:fldChar w:fldCharType="end"/>
        </w:r>
      </w:hyperlink>
    </w:p>
    <w:p w:rsidR="00992DF9" w:rsidRDefault="00B37A08">
      <w:pPr>
        <w:pStyle w:val="TOC1"/>
        <w:tabs>
          <w:tab w:val="right" w:leader="dot" w:pos="9350"/>
        </w:tabs>
        <w:rPr>
          <w:rFonts w:asciiTheme="minorHAnsi" w:eastAsiaTheme="minorEastAsia" w:hAnsiTheme="minorHAnsi" w:cstheme="minorBidi"/>
          <w:noProof/>
          <w:szCs w:val="22"/>
        </w:rPr>
      </w:pPr>
      <w:hyperlink w:anchor="_Toc476228495" w:history="1">
        <w:r w:rsidR="00992DF9" w:rsidRPr="00F370F6">
          <w:rPr>
            <w:rStyle w:val="Hyperlink"/>
            <w:noProof/>
          </w:rPr>
          <w:t>Section 3. Load Shapes</w:t>
        </w:r>
        <w:r w:rsidR="00992DF9">
          <w:rPr>
            <w:noProof/>
            <w:webHidden/>
          </w:rPr>
          <w:tab/>
        </w:r>
        <w:r w:rsidR="00992DF9">
          <w:rPr>
            <w:noProof/>
            <w:webHidden/>
          </w:rPr>
          <w:fldChar w:fldCharType="begin"/>
        </w:r>
        <w:r w:rsidR="00992DF9">
          <w:rPr>
            <w:noProof/>
            <w:webHidden/>
          </w:rPr>
          <w:instrText xml:space="preserve"> PAGEREF _Toc476228495 \h </w:instrText>
        </w:r>
        <w:r w:rsidR="00992DF9">
          <w:rPr>
            <w:noProof/>
            <w:webHidden/>
          </w:rPr>
        </w:r>
        <w:r w:rsidR="00992DF9">
          <w:rPr>
            <w:noProof/>
            <w:webHidden/>
          </w:rPr>
          <w:fldChar w:fldCharType="separate"/>
        </w:r>
        <w:r w:rsidR="00992DF9">
          <w:rPr>
            <w:noProof/>
            <w:webHidden/>
          </w:rPr>
          <w:t>13</w:t>
        </w:r>
        <w:r w:rsidR="00992DF9">
          <w:rPr>
            <w:noProof/>
            <w:webHidden/>
          </w:rPr>
          <w:fldChar w:fldCharType="end"/>
        </w:r>
      </w:hyperlink>
    </w:p>
    <w:p w:rsidR="00992DF9" w:rsidRDefault="00B37A08">
      <w:pPr>
        <w:pStyle w:val="TOC2"/>
        <w:tabs>
          <w:tab w:val="right" w:leader="dot" w:pos="9350"/>
        </w:tabs>
        <w:rPr>
          <w:rFonts w:asciiTheme="minorHAnsi" w:eastAsiaTheme="minorEastAsia" w:hAnsiTheme="minorHAnsi" w:cstheme="minorBidi"/>
          <w:noProof/>
          <w:szCs w:val="22"/>
        </w:rPr>
      </w:pPr>
      <w:hyperlink w:anchor="_Toc476228496" w:history="1">
        <w:r w:rsidR="00992DF9" w:rsidRPr="00F370F6">
          <w:rPr>
            <w:rStyle w:val="Hyperlink"/>
            <w:noProof/>
          </w:rPr>
          <w:t>3.1 Base Case Load Shapes</w:t>
        </w:r>
        <w:r w:rsidR="00992DF9">
          <w:rPr>
            <w:noProof/>
            <w:webHidden/>
          </w:rPr>
          <w:tab/>
        </w:r>
        <w:r w:rsidR="00992DF9">
          <w:rPr>
            <w:noProof/>
            <w:webHidden/>
          </w:rPr>
          <w:fldChar w:fldCharType="begin"/>
        </w:r>
        <w:r w:rsidR="00992DF9">
          <w:rPr>
            <w:noProof/>
            <w:webHidden/>
          </w:rPr>
          <w:instrText xml:space="preserve"> PAGEREF _Toc476228496 \h </w:instrText>
        </w:r>
        <w:r w:rsidR="00992DF9">
          <w:rPr>
            <w:noProof/>
            <w:webHidden/>
          </w:rPr>
        </w:r>
        <w:r w:rsidR="00992DF9">
          <w:rPr>
            <w:noProof/>
            <w:webHidden/>
          </w:rPr>
          <w:fldChar w:fldCharType="separate"/>
        </w:r>
        <w:r w:rsidR="00992DF9">
          <w:rPr>
            <w:noProof/>
            <w:webHidden/>
          </w:rPr>
          <w:t>15</w:t>
        </w:r>
        <w:r w:rsidR="00992DF9">
          <w:rPr>
            <w:noProof/>
            <w:webHidden/>
          </w:rPr>
          <w:fldChar w:fldCharType="end"/>
        </w:r>
      </w:hyperlink>
    </w:p>
    <w:p w:rsidR="00992DF9" w:rsidRDefault="00B37A08">
      <w:pPr>
        <w:pStyle w:val="TOC2"/>
        <w:tabs>
          <w:tab w:val="right" w:leader="dot" w:pos="9350"/>
        </w:tabs>
        <w:rPr>
          <w:rFonts w:asciiTheme="minorHAnsi" w:eastAsiaTheme="minorEastAsia" w:hAnsiTheme="minorHAnsi" w:cstheme="minorBidi"/>
          <w:noProof/>
          <w:szCs w:val="22"/>
        </w:rPr>
      </w:pPr>
      <w:hyperlink w:anchor="_Toc476228497" w:history="1">
        <w:r w:rsidR="00992DF9" w:rsidRPr="00F370F6">
          <w:rPr>
            <w:rStyle w:val="Hyperlink"/>
            <w:noProof/>
          </w:rPr>
          <w:t>3.2 Measure Load Shapes</w:t>
        </w:r>
        <w:r w:rsidR="00992DF9">
          <w:rPr>
            <w:noProof/>
            <w:webHidden/>
          </w:rPr>
          <w:tab/>
        </w:r>
        <w:r w:rsidR="00992DF9">
          <w:rPr>
            <w:noProof/>
            <w:webHidden/>
          </w:rPr>
          <w:fldChar w:fldCharType="begin"/>
        </w:r>
        <w:r w:rsidR="00992DF9">
          <w:rPr>
            <w:noProof/>
            <w:webHidden/>
          </w:rPr>
          <w:instrText xml:space="preserve"> PAGEREF _Toc476228497 \h </w:instrText>
        </w:r>
        <w:r w:rsidR="00992DF9">
          <w:rPr>
            <w:noProof/>
            <w:webHidden/>
          </w:rPr>
        </w:r>
        <w:r w:rsidR="00992DF9">
          <w:rPr>
            <w:noProof/>
            <w:webHidden/>
          </w:rPr>
          <w:fldChar w:fldCharType="separate"/>
        </w:r>
        <w:r w:rsidR="00992DF9">
          <w:rPr>
            <w:noProof/>
            <w:webHidden/>
          </w:rPr>
          <w:t>15</w:t>
        </w:r>
        <w:r w:rsidR="00992DF9">
          <w:rPr>
            <w:noProof/>
            <w:webHidden/>
          </w:rPr>
          <w:fldChar w:fldCharType="end"/>
        </w:r>
      </w:hyperlink>
    </w:p>
    <w:p w:rsidR="00992DF9" w:rsidRDefault="00B37A08">
      <w:pPr>
        <w:pStyle w:val="TOC1"/>
        <w:tabs>
          <w:tab w:val="right" w:leader="dot" w:pos="9350"/>
        </w:tabs>
        <w:rPr>
          <w:rFonts w:asciiTheme="minorHAnsi" w:eastAsiaTheme="minorEastAsia" w:hAnsiTheme="minorHAnsi" w:cstheme="minorBidi"/>
          <w:noProof/>
          <w:szCs w:val="22"/>
        </w:rPr>
      </w:pPr>
      <w:hyperlink w:anchor="_Toc476228498" w:history="1">
        <w:r w:rsidR="00992DF9" w:rsidRPr="00F370F6">
          <w:rPr>
            <w:rStyle w:val="Hyperlink"/>
            <w:noProof/>
          </w:rPr>
          <w:t>Section 4. Base Case &amp; Measure Costs</w:t>
        </w:r>
        <w:r w:rsidR="00992DF9">
          <w:rPr>
            <w:noProof/>
            <w:webHidden/>
          </w:rPr>
          <w:tab/>
        </w:r>
        <w:r w:rsidR="00992DF9">
          <w:rPr>
            <w:noProof/>
            <w:webHidden/>
          </w:rPr>
          <w:fldChar w:fldCharType="begin"/>
        </w:r>
        <w:r w:rsidR="00992DF9">
          <w:rPr>
            <w:noProof/>
            <w:webHidden/>
          </w:rPr>
          <w:instrText xml:space="preserve"> PAGEREF _Toc476228498 \h </w:instrText>
        </w:r>
        <w:r w:rsidR="00992DF9">
          <w:rPr>
            <w:noProof/>
            <w:webHidden/>
          </w:rPr>
        </w:r>
        <w:r w:rsidR="00992DF9">
          <w:rPr>
            <w:noProof/>
            <w:webHidden/>
          </w:rPr>
          <w:fldChar w:fldCharType="separate"/>
        </w:r>
        <w:r w:rsidR="00992DF9">
          <w:rPr>
            <w:noProof/>
            <w:webHidden/>
          </w:rPr>
          <w:t>15</w:t>
        </w:r>
        <w:r w:rsidR="00992DF9">
          <w:rPr>
            <w:noProof/>
            <w:webHidden/>
          </w:rPr>
          <w:fldChar w:fldCharType="end"/>
        </w:r>
      </w:hyperlink>
    </w:p>
    <w:p w:rsidR="00992DF9" w:rsidRDefault="00B37A08">
      <w:pPr>
        <w:pStyle w:val="TOC2"/>
        <w:tabs>
          <w:tab w:val="right" w:leader="dot" w:pos="9350"/>
        </w:tabs>
        <w:rPr>
          <w:rFonts w:asciiTheme="minorHAnsi" w:eastAsiaTheme="minorEastAsia" w:hAnsiTheme="minorHAnsi" w:cstheme="minorBidi"/>
          <w:noProof/>
          <w:szCs w:val="22"/>
        </w:rPr>
      </w:pPr>
      <w:hyperlink w:anchor="_Toc476228499" w:history="1">
        <w:r w:rsidR="00992DF9" w:rsidRPr="00F370F6">
          <w:rPr>
            <w:rStyle w:val="Hyperlink"/>
            <w:noProof/>
          </w:rPr>
          <w:t>4.1 Base Case(s) Costs</w:t>
        </w:r>
        <w:r w:rsidR="00992DF9">
          <w:rPr>
            <w:noProof/>
            <w:webHidden/>
          </w:rPr>
          <w:tab/>
        </w:r>
        <w:r w:rsidR="00992DF9">
          <w:rPr>
            <w:noProof/>
            <w:webHidden/>
          </w:rPr>
          <w:fldChar w:fldCharType="begin"/>
        </w:r>
        <w:r w:rsidR="00992DF9">
          <w:rPr>
            <w:noProof/>
            <w:webHidden/>
          </w:rPr>
          <w:instrText xml:space="preserve"> PAGEREF _Toc476228499 \h </w:instrText>
        </w:r>
        <w:r w:rsidR="00992DF9">
          <w:rPr>
            <w:noProof/>
            <w:webHidden/>
          </w:rPr>
        </w:r>
        <w:r w:rsidR="00992DF9">
          <w:rPr>
            <w:noProof/>
            <w:webHidden/>
          </w:rPr>
          <w:fldChar w:fldCharType="separate"/>
        </w:r>
        <w:r w:rsidR="00992DF9">
          <w:rPr>
            <w:noProof/>
            <w:webHidden/>
          </w:rPr>
          <w:t>15</w:t>
        </w:r>
        <w:r w:rsidR="00992DF9">
          <w:rPr>
            <w:noProof/>
            <w:webHidden/>
          </w:rPr>
          <w:fldChar w:fldCharType="end"/>
        </w:r>
      </w:hyperlink>
    </w:p>
    <w:p w:rsidR="00992DF9" w:rsidRDefault="00B37A08">
      <w:pPr>
        <w:pStyle w:val="TOC2"/>
        <w:tabs>
          <w:tab w:val="right" w:leader="dot" w:pos="9350"/>
        </w:tabs>
        <w:rPr>
          <w:rFonts w:asciiTheme="minorHAnsi" w:eastAsiaTheme="minorEastAsia" w:hAnsiTheme="minorHAnsi" w:cstheme="minorBidi"/>
          <w:noProof/>
          <w:szCs w:val="22"/>
        </w:rPr>
      </w:pPr>
      <w:hyperlink w:anchor="_Toc476228500" w:history="1">
        <w:r w:rsidR="00992DF9" w:rsidRPr="00F370F6">
          <w:rPr>
            <w:rStyle w:val="Hyperlink"/>
            <w:noProof/>
          </w:rPr>
          <w:t>4.2 Measure Case Costs</w:t>
        </w:r>
        <w:r w:rsidR="00992DF9">
          <w:rPr>
            <w:noProof/>
            <w:webHidden/>
          </w:rPr>
          <w:tab/>
        </w:r>
        <w:r w:rsidR="00992DF9">
          <w:rPr>
            <w:noProof/>
            <w:webHidden/>
          </w:rPr>
          <w:fldChar w:fldCharType="begin"/>
        </w:r>
        <w:r w:rsidR="00992DF9">
          <w:rPr>
            <w:noProof/>
            <w:webHidden/>
          </w:rPr>
          <w:instrText xml:space="preserve"> PAGEREF _Toc476228500 \h </w:instrText>
        </w:r>
        <w:r w:rsidR="00992DF9">
          <w:rPr>
            <w:noProof/>
            <w:webHidden/>
          </w:rPr>
        </w:r>
        <w:r w:rsidR="00992DF9">
          <w:rPr>
            <w:noProof/>
            <w:webHidden/>
          </w:rPr>
          <w:fldChar w:fldCharType="separate"/>
        </w:r>
        <w:r w:rsidR="00992DF9">
          <w:rPr>
            <w:noProof/>
            <w:webHidden/>
          </w:rPr>
          <w:t>16</w:t>
        </w:r>
        <w:r w:rsidR="00992DF9">
          <w:rPr>
            <w:noProof/>
            <w:webHidden/>
          </w:rPr>
          <w:fldChar w:fldCharType="end"/>
        </w:r>
      </w:hyperlink>
    </w:p>
    <w:p w:rsidR="00992DF9" w:rsidRDefault="00B37A08">
      <w:pPr>
        <w:pStyle w:val="TOC2"/>
        <w:tabs>
          <w:tab w:val="right" w:leader="dot" w:pos="9350"/>
        </w:tabs>
        <w:rPr>
          <w:rFonts w:asciiTheme="minorHAnsi" w:eastAsiaTheme="minorEastAsia" w:hAnsiTheme="minorHAnsi" w:cstheme="minorBidi"/>
          <w:noProof/>
          <w:szCs w:val="22"/>
        </w:rPr>
      </w:pPr>
      <w:hyperlink w:anchor="_Toc476228501" w:history="1">
        <w:r w:rsidR="00992DF9" w:rsidRPr="00F370F6">
          <w:rPr>
            <w:rStyle w:val="Hyperlink"/>
            <w:noProof/>
          </w:rPr>
          <w:t>4.3 Incremental &amp; Full Measure Costs</w:t>
        </w:r>
        <w:r w:rsidR="00992DF9">
          <w:rPr>
            <w:noProof/>
            <w:webHidden/>
          </w:rPr>
          <w:tab/>
        </w:r>
        <w:r w:rsidR="00992DF9">
          <w:rPr>
            <w:noProof/>
            <w:webHidden/>
          </w:rPr>
          <w:fldChar w:fldCharType="begin"/>
        </w:r>
        <w:r w:rsidR="00992DF9">
          <w:rPr>
            <w:noProof/>
            <w:webHidden/>
          </w:rPr>
          <w:instrText xml:space="preserve"> PAGEREF _Toc476228501 \h </w:instrText>
        </w:r>
        <w:r w:rsidR="00992DF9">
          <w:rPr>
            <w:noProof/>
            <w:webHidden/>
          </w:rPr>
        </w:r>
        <w:r w:rsidR="00992DF9">
          <w:rPr>
            <w:noProof/>
            <w:webHidden/>
          </w:rPr>
          <w:fldChar w:fldCharType="separate"/>
        </w:r>
        <w:r w:rsidR="00992DF9">
          <w:rPr>
            <w:noProof/>
            <w:webHidden/>
          </w:rPr>
          <w:t>16</w:t>
        </w:r>
        <w:r w:rsidR="00992DF9">
          <w:rPr>
            <w:noProof/>
            <w:webHidden/>
          </w:rPr>
          <w:fldChar w:fldCharType="end"/>
        </w:r>
      </w:hyperlink>
    </w:p>
    <w:p w:rsidR="00992DF9" w:rsidRDefault="00B37A08">
      <w:pPr>
        <w:pStyle w:val="TOC1"/>
        <w:tabs>
          <w:tab w:val="right" w:leader="dot" w:pos="9350"/>
        </w:tabs>
        <w:rPr>
          <w:rFonts w:asciiTheme="minorHAnsi" w:eastAsiaTheme="minorEastAsia" w:hAnsiTheme="minorHAnsi" w:cstheme="minorBidi"/>
          <w:noProof/>
          <w:szCs w:val="22"/>
        </w:rPr>
      </w:pPr>
      <w:hyperlink w:anchor="_Toc476228502" w:history="1">
        <w:r w:rsidR="00992DF9" w:rsidRPr="00F370F6">
          <w:rPr>
            <w:rStyle w:val="Hyperlink"/>
            <w:i/>
            <w:noProof/>
          </w:rPr>
          <w:t>4.3.1 Gross Measure Cost</w:t>
        </w:r>
        <w:r w:rsidR="00992DF9">
          <w:rPr>
            <w:noProof/>
            <w:webHidden/>
          </w:rPr>
          <w:tab/>
        </w:r>
        <w:r w:rsidR="00992DF9">
          <w:rPr>
            <w:noProof/>
            <w:webHidden/>
          </w:rPr>
          <w:fldChar w:fldCharType="begin"/>
        </w:r>
        <w:r w:rsidR="00992DF9">
          <w:rPr>
            <w:noProof/>
            <w:webHidden/>
          </w:rPr>
          <w:instrText xml:space="preserve"> PAGEREF _Toc476228502 \h </w:instrText>
        </w:r>
        <w:r w:rsidR="00992DF9">
          <w:rPr>
            <w:noProof/>
            <w:webHidden/>
          </w:rPr>
        </w:r>
        <w:r w:rsidR="00992DF9">
          <w:rPr>
            <w:noProof/>
            <w:webHidden/>
          </w:rPr>
          <w:fldChar w:fldCharType="separate"/>
        </w:r>
        <w:r w:rsidR="00992DF9">
          <w:rPr>
            <w:noProof/>
            <w:webHidden/>
          </w:rPr>
          <w:t>16</w:t>
        </w:r>
        <w:r w:rsidR="00992DF9">
          <w:rPr>
            <w:noProof/>
            <w:webHidden/>
          </w:rPr>
          <w:fldChar w:fldCharType="end"/>
        </w:r>
      </w:hyperlink>
    </w:p>
    <w:p w:rsidR="00992DF9" w:rsidRDefault="00B37A08">
      <w:pPr>
        <w:pStyle w:val="TOC1"/>
        <w:tabs>
          <w:tab w:val="right" w:leader="dot" w:pos="9350"/>
        </w:tabs>
        <w:rPr>
          <w:rFonts w:asciiTheme="minorHAnsi" w:eastAsiaTheme="minorEastAsia" w:hAnsiTheme="minorHAnsi" w:cstheme="minorBidi"/>
          <w:noProof/>
          <w:szCs w:val="22"/>
        </w:rPr>
      </w:pPr>
      <w:hyperlink w:anchor="_Toc476228503" w:history="1">
        <w:r w:rsidR="00992DF9" w:rsidRPr="00F370F6">
          <w:rPr>
            <w:rStyle w:val="Hyperlink"/>
            <w:i/>
            <w:noProof/>
          </w:rPr>
          <w:t>4.3.2 Incremental Measure Costs</w:t>
        </w:r>
        <w:r w:rsidR="00992DF9">
          <w:rPr>
            <w:noProof/>
            <w:webHidden/>
          </w:rPr>
          <w:tab/>
        </w:r>
        <w:r w:rsidR="00992DF9">
          <w:rPr>
            <w:noProof/>
            <w:webHidden/>
          </w:rPr>
          <w:fldChar w:fldCharType="begin"/>
        </w:r>
        <w:r w:rsidR="00992DF9">
          <w:rPr>
            <w:noProof/>
            <w:webHidden/>
          </w:rPr>
          <w:instrText xml:space="preserve"> PAGEREF _Toc476228503 \h </w:instrText>
        </w:r>
        <w:r w:rsidR="00992DF9">
          <w:rPr>
            <w:noProof/>
            <w:webHidden/>
          </w:rPr>
        </w:r>
        <w:r w:rsidR="00992DF9">
          <w:rPr>
            <w:noProof/>
            <w:webHidden/>
          </w:rPr>
          <w:fldChar w:fldCharType="separate"/>
        </w:r>
        <w:r w:rsidR="00992DF9">
          <w:rPr>
            <w:noProof/>
            <w:webHidden/>
          </w:rPr>
          <w:t>16</w:t>
        </w:r>
        <w:r w:rsidR="00992DF9">
          <w:rPr>
            <w:noProof/>
            <w:webHidden/>
          </w:rPr>
          <w:fldChar w:fldCharType="end"/>
        </w:r>
      </w:hyperlink>
    </w:p>
    <w:p w:rsidR="00992DF9" w:rsidRDefault="00B37A08">
      <w:pPr>
        <w:pStyle w:val="TOC1"/>
        <w:tabs>
          <w:tab w:val="right" w:leader="dot" w:pos="9350"/>
        </w:tabs>
        <w:rPr>
          <w:rFonts w:asciiTheme="minorHAnsi" w:eastAsiaTheme="minorEastAsia" w:hAnsiTheme="minorHAnsi" w:cstheme="minorBidi"/>
          <w:noProof/>
          <w:szCs w:val="22"/>
        </w:rPr>
      </w:pPr>
      <w:hyperlink w:anchor="_Toc476228504" w:history="1">
        <w:r w:rsidR="00992DF9" w:rsidRPr="00F370F6">
          <w:rPr>
            <w:rStyle w:val="Hyperlink"/>
            <w:noProof/>
          </w:rPr>
          <w:t>Input Appendices</w:t>
        </w:r>
        <w:r w:rsidR="00992DF9">
          <w:rPr>
            <w:noProof/>
            <w:webHidden/>
          </w:rPr>
          <w:tab/>
        </w:r>
        <w:r w:rsidR="00992DF9">
          <w:rPr>
            <w:noProof/>
            <w:webHidden/>
          </w:rPr>
          <w:fldChar w:fldCharType="begin"/>
        </w:r>
        <w:r w:rsidR="00992DF9">
          <w:rPr>
            <w:noProof/>
            <w:webHidden/>
          </w:rPr>
          <w:instrText xml:space="preserve"> PAGEREF _Toc476228504 \h </w:instrText>
        </w:r>
        <w:r w:rsidR="00992DF9">
          <w:rPr>
            <w:noProof/>
            <w:webHidden/>
          </w:rPr>
        </w:r>
        <w:r w:rsidR="00992DF9">
          <w:rPr>
            <w:noProof/>
            <w:webHidden/>
          </w:rPr>
          <w:fldChar w:fldCharType="separate"/>
        </w:r>
        <w:r w:rsidR="00992DF9">
          <w:rPr>
            <w:noProof/>
            <w:webHidden/>
          </w:rPr>
          <w:t>18</w:t>
        </w:r>
        <w:r w:rsidR="00992DF9">
          <w:rPr>
            <w:noProof/>
            <w:webHidden/>
          </w:rPr>
          <w:fldChar w:fldCharType="end"/>
        </w:r>
      </w:hyperlink>
    </w:p>
    <w:p w:rsidR="00992DF9" w:rsidRDefault="00B37A08">
      <w:pPr>
        <w:pStyle w:val="TOC1"/>
        <w:tabs>
          <w:tab w:val="right" w:leader="dot" w:pos="9350"/>
        </w:tabs>
        <w:rPr>
          <w:rFonts w:asciiTheme="minorHAnsi" w:eastAsiaTheme="minorEastAsia" w:hAnsiTheme="minorHAnsi" w:cstheme="minorBidi"/>
          <w:noProof/>
          <w:szCs w:val="22"/>
        </w:rPr>
      </w:pPr>
      <w:hyperlink w:anchor="_Toc476228505" w:history="1">
        <w:r w:rsidR="00992DF9" w:rsidRPr="00F370F6">
          <w:rPr>
            <w:rStyle w:val="Hyperlink"/>
            <w:noProof/>
          </w:rPr>
          <w:t>References</w:t>
        </w:r>
        <w:r w:rsidR="00992DF9">
          <w:rPr>
            <w:noProof/>
            <w:webHidden/>
          </w:rPr>
          <w:tab/>
        </w:r>
        <w:r w:rsidR="00992DF9">
          <w:rPr>
            <w:noProof/>
            <w:webHidden/>
          </w:rPr>
          <w:fldChar w:fldCharType="begin"/>
        </w:r>
        <w:r w:rsidR="00992DF9">
          <w:rPr>
            <w:noProof/>
            <w:webHidden/>
          </w:rPr>
          <w:instrText xml:space="preserve"> PAGEREF _Toc476228505 \h </w:instrText>
        </w:r>
        <w:r w:rsidR="00992DF9">
          <w:rPr>
            <w:noProof/>
            <w:webHidden/>
          </w:rPr>
        </w:r>
        <w:r w:rsidR="00992DF9">
          <w:rPr>
            <w:noProof/>
            <w:webHidden/>
          </w:rPr>
          <w:fldChar w:fldCharType="separate"/>
        </w:r>
        <w:r w:rsidR="00992DF9">
          <w:rPr>
            <w:noProof/>
            <w:webHidden/>
          </w:rPr>
          <w:t>20</w:t>
        </w:r>
        <w:r w:rsidR="00992DF9">
          <w:rPr>
            <w:noProof/>
            <w:webHidden/>
          </w:rPr>
          <w:fldChar w:fldCharType="end"/>
        </w:r>
      </w:hyperlink>
    </w:p>
    <w:p w:rsidR="00ED21EE" w:rsidRPr="00D92BFE" w:rsidRDefault="001E4C31" w:rsidP="00D92BFE">
      <w:pPr>
        <w:rPr>
          <w:b/>
          <w:sz w:val="32"/>
          <w:szCs w:val="32"/>
        </w:rPr>
      </w:pPr>
      <w:r>
        <w:rPr>
          <w:b/>
          <w:bCs/>
          <w:noProof/>
        </w:rPr>
        <w:fldChar w:fldCharType="end"/>
      </w:r>
      <w:bookmarkStart w:id="17" w:name="_Toc172205729"/>
      <w:bookmarkStart w:id="18" w:name="_Toc304800199"/>
      <w:bookmarkStart w:id="19" w:name="_Toc324318335"/>
      <w:bookmarkStart w:id="20" w:name="_Toc324340479"/>
      <w:r w:rsidR="00ED21EE" w:rsidRPr="00D92BFE">
        <w:rPr>
          <w:b/>
          <w:sz w:val="32"/>
          <w:szCs w:val="32"/>
        </w:rPr>
        <w:t>List of Tables</w:t>
      </w:r>
      <w:bookmarkEnd w:id="17"/>
      <w:bookmarkEnd w:id="18"/>
      <w:bookmarkEnd w:id="19"/>
      <w:bookmarkEnd w:id="20"/>
    </w:p>
    <w:p w:rsidR="00992DF9" w:rsidRDefault="00ED21E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76228506" w:history="1">
        <w:r w:rsidR="00992DF9" w:rsidRPr="00560291">
          <w:rPr>
            <w:rStyle w:val="Hyperlink"/>
            <w:noProof/>
          </w:rPr>
          <w:t>Table 1</w:t>
        </w:r>
        <w:r w:rsidR="00992DF9" w:rsidRPr="00560291">
          <w:rPr>
            <w:rStyle w:val="Hyperlink"/>
            <w:rFonts w:ascii="Calibri" w:hAnsi="Calibri" w:cs="Calibri"/>
            <w:noProof/>
          </w:rPr>
          <w:t xml:space="preserve"> </w:t>
        </w:r>
        <w:r w:rsidR="00992DF9" w:rsidRPr="00560291">
          <w:rPr>
            <w:rStyle w:val="Hyperlink"/>
            <w:rFonts w:cs="Arial"/>
            <w:noProof/>
          </w:rPr>
          <w:t>Savings overlap estimates between the HER program and downstream/upstream measures as a percentage of unadjusted electric savings</w:t>
        </w:r>
        <w:r w:rsidR="00992DF9">
          <w:rPr>
            <w:noProof/>
            <w:webHidden/>
          </w:rPr>
          <w:tab/>
        </w:r>
        <w:r w:rsidR="00992DF9">
          <w:rPr>
            <w:noProof/>
            <w:webHidden/>
          </w:rPr>
          <w:fldChar w:fldCharType="begin"/>
        </w:r>
        <w:r w:rsidR="00992DF9">
          <w:rPr>
            <w:noProof/>
            <w:webHidden/>
          </w:rPr>
          <w:instrText xml:space="preserve"> PAGEREF _Toc476228506 \h </w:instrText>
        </w:r>
        <w:r w:rsidR="00992DF9">
          <w:rPr>
            <w:noProof/>
            <w:webHidden/>
          </w:rPr>
        </w:r>
        <w:r w:rsidR="00992DF9">
          <w:rPr>
            <w:noProof/>
            <w:webHidden/>
          </w:rPr>
          <w:fldChar w:fldCharType="separate"/>
        </w:r>
        <w:r w:rsidR="00992DF9">
          <w:rPr>
            <w:noProof/>
            <w:webHidden/>
          </w:rPr>
          <w:t>4</w:t>
        </w:r>
        <w:r w:rsidR="00992DF9">
          <w:rPr>
            <w:noProof/>
            <w:webHidden/>
          </w:rPr>
          <w:fldChar w:fldCharType="end"/>
        </w:r>
      </w:hyperlink>
    </w:p>
    <w:p w:rsidR="00992DF9" w:rsidRDefault="00B37A08">
      <w:pPr>
        <w:pStyle w:val="TableofFigures"/>
        <w:tabs>
          <w:tab w:val="right" w:leader="dot" w:pos="9350"/>
        </w:tabs>
        <w:rPr>
          <w:rFonts w:asciiTheme="minorHAnsi" w:eastAsiaTheme="minorEastAsia" w:hAnsiTheme="minorHAnsi" w:cstheme="minorBidi"/>
          <w:noProof/>
          <w:szCs w:val="22"/>
        </w:rPr>
      </w:pPr>
      <w:hyperlink w:anchor="_Toc476228507" w:history="1">
        <w:r w:rsidR="00992DF9" w:rsidRPr="00560291">
          <w:rPr>
            <w:rStyle w:val="Hyperlink"/>
            <w:noProof/>
          </w:rPr>
          <w:t>Table 2</w:t>
        </w:r>
        <w:r w:rsidR="00992DF9" w:rsidRPr="00560291">
          <w:rPr>
            <w:rStyle w:val="Hyperlink"/>
            <w:rFonts w:ascii="Calibri" w:hAnsi="Calibri" w:cs="Calibri"/>
            <w:noProof/>
          </w:rPr>
          <w:t xml:space="preserve"> </w:t>
        </w:r>
        <w:r w:rsidR="00992DF9" w:rsidRPr="00560291">
          <w:rPr>
            <w:rStyle w:val="Hyperlink"/>
            <w:rFonts w:cs="Arial"/>
            <w:noProof/>
          </w:rPr>
          <w:t>Measure Application Type</w:t>
        </w:r>
        <w:r w:rsidR="00992DF9">
          <w:rPr>
            <w:noProof/>
            <w:webHidden/>
          </w:rPr>
          <w:tab/>
        </w:r>
        <w:r w:rsidR="00992DF9">
          <w:rPr>
            <w:noProof/>
            <w:webHidden/>
          </w:rPr>
          <w:fldChar w:fldCharType="begin"/>
        </w:r>
        <w:r w:rsidR="00992DF9">
          <w:rPr>
            <w:noProof/>
            <w:webHidden/>
          </w:rPr>
          <w:instrText xml:space="preserve"> PAGEREF _Toc476228507 \h </w:instrText>
        </w:r>
        <w:r w:rsidR="00992DF9">
          <w:rPr>
            <w:noProof/>
            <w:webHidden/>
          </w:rPr>
        </w:r>
        <w:r w:rsidR="00992DF9">
          <w:rPr>
            <w:noProof/>
            <w:webHidden/>
          </w:rPr>
          <w:fldChar w:fldCharType="separate"/>
        </w:r>
        <w:r w:rsidR="00992DF9">
          <w:rPr>
            <w:noProof/>
            <w:webHidden/>
          </w:rPr>
          <w:t>4</w:t>
        </w:r>
        <w:r w:rsidR="00992DF9">
          <w:rPr>
            <w:noProof/>
            <w:webHidden/>
          </w:rPr>
          <w:fldChar w:fldCharType="end"/>
        </w:r>
      </w:hyperlink>
    </w:p>
    <w:p w:rsidR="00992DF9" w:rsidRDefault="00B37A08">
      <w:pPr>
        <w:pStyle w:val="TableofFigures"/>
        <w:tabs>
          <w:tab w:val="right" w:leader="dot" w:pos="9350"/>
        </w:tabs>
        <w:rPr>
          <w:rFonts w:asciiTheme="minorHAnsi" w:eastAsiaTheme="minorEastAsia" w:hAnsiTheme="minorHAnsi" w:cstheme="minorBidi"/>
          <w:noProof/>
          <w:szCs w:val="22"/>
        </w:rPr>
      </w:pPr>
      <w:hyperlink w:anchor="_Toc476228508" w:history="1">
        <w:r w:rsidR="00992DF9" w:rsidRPr="00560291">
          <w:rPr>
            <w:rStyle w:val="Hyperlink"/>
            <w:rFonts w:cs="Arial"/>
            <w:noProof/>
          </w:rPr>
          <w:t>Table 3 Net-to-Gross Ratios</w:t>
        </w:r>
        <w:r w:rsidR="00992DF9">
          <w:rPr>
            <w:noProof/>
            <w:webHidden/>
          </w:rPr>
          <w:tab/>
        </w:r>
        <w:r w:rsidR="00992DF9">
          <w:rPr>
            <w:noProof/>
            <w:webHidden/>
          </w:rPr>
          <w:fldChar w:fldCharType="begin"/>
        </w:r>
        <w:r w:rsidR="00992DF9">
          <w:rPr>
            <w:noProof/>
            <w:webHidden/>
          </w:rPr>
          <w:instrText xml:space="preserve"> PAGEREF _Toc476228508 \h </w:instrText>
        </w:r>
        <w:r w:rsidR="00992DF9">
          <w:rPr>
            <w:noProof/>
            <w:webHidden/>
          </w:rPr>
        </w:r>
        <w:r w:rsidR="00992DF9">
          <w:rPr>
            <w:noProof/>
            <w:webHidden/>
          </w:rPr>
          <w:fldChar w:fldCharType="separate"/>
        </w:r>
        <w:r w:rsidR="00992DF9">
          <w:rPr>
            <w:noProof/>
            <w:webHidden/>
          </w:rPr>
          <w:t>7</w:t>
        </w:r>
        <w:r w:rsidR="00992DF9">
          <w:rPr>
            <w:noProof/>
            <w:webHidden/>
          </w:rPr>
          <w:fldChar w:fldCharType="end"/>
        </w:r>
      </w:hyperlink>
    </w:p>
    <w:p w:rsidR="00992DF9" w:rsidRDefault="00B37A08">
      <w:pPr>
        <w:pStyle w:val="TableofFigures"/>
        <w:tabs>
          <w:tab w:val="right" w:leader="dot" w:pos="9350"/>
        </w:tabs>
        <w:rPr>
          <w:rFonts w:asciiTheme="minorHAnsi" w:eastAsiaTheme="minorEastAsia" w:hAnsiTheme="minorHAnsi" w:cstheme="minorBidi"/>
          <w:noProof/>
          <w:szCs w:val="22"/>
        </w:rPr>
      </w:pPr>
      <w:hyperlink w:anchor="_Toc476228509" w:history="1">
        <w:r w:rsidR="00992DF9" w:rsidRPr="00560291">
          <w:rPr>
            <w:rStyle w:val="Hyperlink"/>
            <w:rFonts w:cs="Arial"/>
            <w:noProof/>
          </w:rPr>
          <w:t>Table 4 TOU Adjustment Factors</w:t>
        </w:r>
        <w:r w:rsidR="00992DF9">
          <w:rPr>
            <w:noProof/>
            <w:webHidden/>
          </w:rPr>
          <w:tab/>
        </w:r>
        <w:r w:rsidR="00992DF9">
          <w:rPr>
            <w:noProof/>
            <w:webHidden/>
          </w:rPr>
          <w:fldChar w:fldCharType="begin"/>
        </w:r>
        <w:r w:rsidR="00992DF9">
          <w:rPr>
            <w:noProof/>
            <w:webHidden/>
          </w:rPr>
          <w:instrText xml:space="preserve"> PAGEREF _Toc476228509 \h </w:instrText>
        </w:r>
        <w:r w:rsidR="00992DF9">
          <w:rPr>
            <w:noProof/>
            <w:webHidden/>
          </w:rPr>
        </w:r>
        <w:r w:rsidR="00992DF9">
          <w:rPr>
            <w:noProof/>
            <w:webHidden/>
          </w:rPr>
          <w:fldChar w:fldCharType="separate"/>
        </w:r>
        <w:r w:rsidR="00992DF9">
          <w:rPr>
            <w:noProof/>
            <w:webHidden/>
          </w:rPr>
          <w:t>8</w:t>
        </w:r>
        <w:r w:rsidR="00992DF9">
          <w:rPr>
            <w:noProof/>
            <w:webHidden/>
          </w:rPr>
          <w:fldChar w:fldCharType="end"/>
        </w:r>
      </w:hyperlink>
    </w:p>
    <w:p w:rsidR="00992DF9" w:rsidRDefault="00B37A08">
      <w:pPr>
        <w:pStyle w:val="TableofFigures"/>
        <w:tabs>
          <w:tab w:val="right" w:leader="dot" w:pos="9350"/>
        </w:tabs>
        <w:rPr>
          <w:rFonts w:asciiTheme="minorHAnsi" w:eastAsiaTheme="minorEastAsia" w:hAnsiTheme="minorHAnsi" w:cstheme="minorBidi"/>
          <w:noProof/>
          <w:szCs w:val="22"/>
        </w:rPr>
      </w:pPr>
      <w:hyperlink w:anchor="_Toc476228510" w:history="1">
        <w:r w:rsidR="00992DF9" w:rsidRPr="00560291">
          <w:rPr>
            <w:rStyle w:val="Hyperlink"/>
            <w:rFonts w:cs="Arial"/>
            <w:noProof/>
          </w:rPr>
          <w:t>Table 5 Base Case Building Types and Load Shapes</w:t>
        </w:r>
        <w:r w:rsidR="00992DF9">
          <w:rPr>
            <w:noProof/>
            <w:webHidden/>
          </w:rPr>
          <w:tab/>
        </w:r>
        <w:r w:rsidR="00992DF9">
          <w:rPr>
            <w:noProof/>
            <w:webHidden/>
          </w:rPr>
          <w:fldChar w:fldCharType="begin"/>
        </w:r>
        <w:r w:rsidR="00992DF9">
          <w:rPr>
            <w:noProof/>
            <w:webHidden/>
          </w:rPr>
          <w:instrText xml:space="preserve"> PAGEREF _Toc476228510 \h </w:instrText>
        </w:r>
        <w:r w:rsidR="00992DF9">
          <w:rPr>
            <w:noProof/>
            <w:webHidden/>
          </w:rPr>
        </w:r>
        <w:r w:rsidR="00992DF9">
          <w:rPr>
            <w:noProof/>
            <w:webHidden/>
          </w:rPr>
          <w:fldChar w:fldCharType="separate"/>
        </w:r>
        <w:r w:rsidR="00992DF9">
          <w:rPr>
            <w:noProof/>
            <w:webHidden/>
          </w:rPr>
          <w:t>15</w:t>
        </w:r>
        <w:r w:rsidR="00992DF9">
          <w:rPr>
            <w:noProof/>
            <w:webHidden/>
          </w:rPr>
          <w:fldChar w:fldCharType="end"/>
        </w:r>
      </w:hyperlink>
    </w:p>
    <w:p w:rsidR="00992DF9" w:rsidRDefault="00B37A08">
      <w:pPr>
        <w:pStyle w:val="TableofFigures"/>
        <w:tabs>
          <w:tab w:val="right" w:leader="dot" w:pos="9350"/>
        </w:tabs>
        <w:rPr>
          <w:rFonts w:asciiTheme="minorHAnsi" w:eastAsiaTheme="minorEastAsia" w:hAnsiTheme="minorHAnsi" w:cstheme="minorBidi"/>
          <w:noProof/>
          <w:szCs w:val="22"/>
        </w:rPr>
      </w:pPr>
      <w:hyperlink w:anchor="_Toc476228511" w:history="1">
        <w:r w:rsidR="00992DF9" w:rsidRPr="00560291">
          <w:rPr>
            <w:rStyle w:val="Hyperlink"/>
            <w:rFonts w:cs="Arial"/>
            <w:noProof/>
          </w:rPr>
          <w:t>Table 6 Measure Case Building Types and Load Shapes</w:t>
        </w:r>
        <w:r w:rsidR="00992DF9">
          <w:rPr>
            <w:noProof/>
            <w:webHidden/>
          </w:rPr>
          <w:tab/>
        </w:r>
        <w:r w:rsidR="00992DF9">
          <w:rPr>
            <w:noProof/>
            <w:webHidden/>
          </w:rPr>
          <w:fldChar w:fldCharType="begin"/>
        </w:r>
        <w:r w:rsidR="00992DF9">
          <w:rPr>
            <w:noProof/>
            <w:webHidden/>
          </w:rPr>
          <w:instrText xml:space="preserve"> PAGEREF _Toc476228511 \h </w:instrText>
        </w:r>
        <w:r w:rsidR="00992DF9">
          <w:rPr>
            <w:noProof/>
            <w:webHidden/>
          </w:rPr>
        </w:r>
        <w:r w:rsidR="00992DF9">
          <w:rPr>
            <w:noProof/>
            <w:webHidden/>
          </w:rPr>
          <w:fldChar w:fldCharType="separate"/>
        </w:r>
        <w:r w:rsidR="00992DF9">
          <w:rPr>
            <w:noProof/>
            <w:webHidden/>
          </w:rPr>
          <w:t>15</w:t>
        </w:r>
        <w:r w:rsidR="00992DF9">
          <w:rPr>
            <w:noProof/>
            <w:webHidden/>
          </w:rPr>
          <w:fldChar w:fldCharType="end"/>
        </w:r>
      </w:hyperlink>
    </w:p>
    <w:p w:rsidR="005A1F9D" w:rsidRDefault="00ED21EE" w:rsidP="005A1F9D">
      <w:r>
        <w:fldChar w:fldCharType="end"/>
      </w:r>
      <w:r w:rsidR="005A1F9D" w:rsidRPr="005A1F9D">
        <w:t xml:space="preserve"> </w:t>
      </w:r>
    </w:p>
    <w:p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21" w:name="_Toc304800201"/>
      <w:bookmarkStart w:id="22" w:name="_Toc324318337"/>
      <w:bookmarkStart w:id="23" w:name="_Toc324340481"/>
      <w:bookmarkStart w:id="24" w:name="_Toc172205732"/>
    </w:p>
    <w:p w:rsidR="00ED21EE" w:rsidRDefault="00ED21EE" w:rsidP="00ED21EE">
      <w:pPr>
        <w:pStyle w:val="Heading1"/>
      </w:pPr>
      <w:bookmarkStart w:id="25" w:name="_Toc476228482"/>
      <w:proofErr w:type="gramStart"/>
      <w:r>
        <w:lastRenderedPageBreak/>
        <w:t>Section 1.</w:t>
      </w:r>
      <w:proofErr w:type="gramEnd"/>
      <w:r>
        <w:t xml:space="preserve"> General Measure &amp; Baseline Data</w:t>
      </w:r>
      <w:bookmarkEnd w:id="21"/>
      <w:bookmarkEnd w:id="22"/>
      <w:bookmarkEnd w:id="23"/>
      <w:bookmarkEnd w:id="25"/>
    </w:p>
    <w:p w:rsidR="00E71EF1" w:rsidRDefault="001248A3" w:rsidP="001248A3">
      <w:pPr>
        <w:pStyle w:val="Heading2"/>
      </w:pPr>
      <w:bookmarkStart w:id="26" w:name="_Toc304800202"/>
      <w:bookmarkStart w:id="27" w:name="_Toc324318338"/>
      <w:bookmarkStart w:id="28" w:name="_Toc324340482"/>
      <w:bookmarkStart w:id="29" w:name="_Toc476228483"/>
      <w:bookmarkEnd w:id="24"/>
      <w:r>
        <w:t xml:space="preserve">1.1 </w:t>
      </w:r>
      <w:r w:rsidR="008C6AD1">
        <w:t xml:space="preserve">Product </w:t>
      </w:r>
      <w:r w:rsidR="00E71EF1" w:rsidRPr="001248A3">
        <w:t>Measure Description &amp; Background</w:t>
      </w:r>
      <w:bookmarkEnd w:id="26"/>
      <w:bookmarkEnd w:id="27"/>
      <w:bookmarkEnd w:id="28"/>
      <w:bookmarkEnd w:id="29"/>
    </w:p>
    <w:p w:rsidR="00521920" w:rsidRDefault="00521920" w:rsidP="00872913">
      <w:pPr>
        <w:rPr>
          <w:rFonts w:cs="Arial"/>
          <w:b/>
          <w:i/>
        </w:rPr>
      </w:pPr>
      <w:r w:rsidRPr="00521920">
        <w:rPr>
          <w:rFonts w:cs="Arial"/>
          <w:b/>
          <w:i/>
        </w:rPr>
        <w:t>Catalog Description</w:t>
      </w:r>
    </w:p>
    <w:p w:rsidR="00EE2E4F" w:rsidRPr="0088148C" w:rsidRDefault="00EE2E4F" w:rsidP="00872913">
      <w:pPr>
        <w:rPr>
          <w:rFonts w:cs="Arial"/>
          <w:sz w:val="20"/>
          <w:szCs w:val="20"/>
        </w:rPr>
      </w:pPr>
      <w:r w:rsidRPr="0088148C">
        <w:rPr>
          <w:rFonts w:cs="Arial"/>
          <w:sz w:val="20"/>
          <w:szCs w:val="20"/>
        </w:rPr>
        <w:t xml:space="preserve">The purpose of the Home Energy Reports (HER) </w:t>
      </w:r>
      <w:r w:rsidR="00EC1D0B" w:rsidRPr="0088148C">
        <w:rPr>
          <w:rFonts w:cs="Arial"/>
          <w:sz w:val="20"/>
          <w:szCs w:val="20"/>
        </w:rPr>
        <w:t xml:space="preserve">program </w:t>
      </w:r>
      <w:r w:rsidRPr="0088148C">
        <w:rPr>
          <w:rFonts w:cs="Arial"/>
          <w:sz w:val="20"/>
          <w:szCs w:val="20"/>
        </w:rPr>
        <w:t>is to reduce energy consumption by motivating no-cost energy conservation actions and self-installation of low</w:t>
      </w:r>
      <w:r w:rsidR="0088148C">
        <w:rPr>
          <w:rFonts w:cs="Arial"/>
          <w:sz w:val="20"/>
          <w:szCs w:val="20"/>
        </w:rPr>
        <w:t xml:space="preserve"> </w:t>
      </w:r>
      <w:r w:rsidRPr="0088148C">
        <w:rPr>
          <w:rFonts w:cs="Arial"/>
          <w:sz w:val="20"/>
          <w:szCs w:val="20"/>
        </w:rPr>
        <w:t xml:space="preserve">cost energy savings measures. The HER program operates on the principle that, by providing information that compares a household’s energy use to that of similar households, customers modify their behavior and/or </w:t>
      </w:r>
      <w:r w:rsidR="007106BE" w:rsidRPr="0088148C">
        <w:rPr>
          <w:rFonts w:cs="Arial"/>
          <w:sz w:val="20"/>
          <w:szCs w:val="20"/>
        </w:rPr>
        <w:t>make minor purchases</w:t>
      </w:r>
      <w:r w:rsidRPr="0088148C">
        <w:rPr>
          <w:rFonts w:cs="Arial"/>
          <w:sz w:val="20"/>
          <w:szCs w:val="20"/>
        </w:rPr>
        <w:t xml:space="preserve"> which lead to savings</w:t>
      </w:r>
      <w:r w:rsidR="00DC1EC8" w:rsidRPr="0088148C">
        <w:rPr>
          <w:rFonts w:cs="Arial"/>
          <w:sz w:val="20"/>
          <w:szCs w:val="20"/>
        </w:rPr>
        <w:t xml:space="preserve"> </w:t>
      </w:r>
      <w:r w:rsidR="00DA5C6F" w:rsidRPr="0088148C">
        <w:rPr>
          <w:rFonts w:cs="Arial"/>
          <w:sz w:val="20"/>
          <w:szCs w:val="20"/>
        </w:rPr>
        <w:t>that can be observed at the meter</w:t>
      </w:r>
      <w:r w:rsidRPr="0088148C">
        <w:rPr>
          <w:rFonts w:cs="Arial"/>
          <w:sz w:val="20"/>
          <w:szCs w:val="20"/>
        </w:rPr>
        <w:t xml:space="preserve">. The HER program employs </w:t>
      </w:r>
      <w:r w:rsidR="007106BE" w:rsidRPr="0088148C">
        <w:rPr>
          <w:rFonts w:cs="Arial"/>
          <w:sz w:val="20"/>
          <w:szCs w:val="20"/>
        </w:rPr>
        <w:t>randomized control trials</w:t>
      </w:r>
      <w:r w:rsidR="002A0E12" w:rsidRPr="0088148C">
        <w:rPr>
          <w:rFonts w:cs="Arial"/>
          <w:sz w:val="20"/>
          <w:szCs w:val="20"/>
        </w:rPr>
        <w:t xml:space="preserve"> (RCTs) which are considered as the most effective way to establish causality between a treatment and its effect. This experimental design indeed isolates the unique impact of the comparative usage and leads to a net-to-gross (NTG) ratio for savings of </w:t>
      </w:r>
      <w:r w:rsidR="00AC3872">
        <w:rPr>
          <w:rFonts w:cs="Arial"/>
          <w:sz w:val="20"/>
          <w:szCs w:val="20"/>
        </w:rPr>
        <w:t>one (1)</w:t>
      </w:r>
      <w:r w:rsidR="009A15E4" w:rsidRPr="0088148C">
        <w:rPr>
          <w:rFonts w:cs="Arial"/>
          <w:sz w:val="20"/>
          <w:szCs w:val="20"/>
        </w:rPr>
        <w:t>. T</w:t>
      </w:r>
      <w:r w:rsidR="002A0E12" w:rsidRPr="0088148C">
        <w:rPr>
          <w:rFonts w:cs="Arial"/>
          <w:sz w:val="20"/>
          <w:szCs w:val="20"/>
        </w:rPr>
        <w:t xml:space="preserve">he estimation </w:t>
      </w:r>
      <w:r w:rsidRPr="0088148C">
        <w:rPr>
          <w:rFonts w:cs="Arial"/>
          <w:sz w:val="20"/>
          <w:szCs w:val="20"/>
        </w:rPr>
        <w:t xml:space="preserve">of savings is </w:t>
      </w:r>
      <w:r w:rsidR="00AC3872">
        <w:rPr>
          <w:rFonts w:cs="Arial"/>
          <w:sz w:val="20"/>
          <w:szCs w:val="20"/>
        </w:rPr>
        <w:t>achieved</w:t>
      </w:r>
      <w:r w:rsidR="00AC3872" w:rsidRPr="0088148C">
        <w:rPr>
          <w:rFonts w:cs="Arial"/>
          <w:sz w:val="20"/>
          <w:szCs w:val="20"/>
        </w:rPr>
        <w:t xml:space="preserve"> </w:t>
      </w:r>
      <w:r w:rsidRPr="0088148C">
        <w:rPr>
          <w:rFonts w:cs="Arial"/>
          <w:sz w:val="20"/>
          <w:szCs w:val="20"/>
        </w:rPr>
        <w:t xml:space="preserve">via </w:t>
      </w:r>
      <w:r w:rsidR="009A15E4" w:rsidRPr="0088148C">
        <w:rPr>
          <w:rFonts w:cs="Arial"/>
          <w:sz w:val="20"/>
          <w:szCs w:val="20"/>
        </w:rPr>
        <w:t xml:space="preserve">statistical </w:t>
      </w:r>
      <w:r w:rsidRPr="0088148C">
        <w:rPr>
          <w:rFonts w:cs="Arial"/>
          <w:sz w:val="20"/>
          <w:szCs w:val="20"/>
        </w:rPr>
        <w:t>analysis</w:t>
      </w:r>
      <w:r w:rsidR="00C41E55" w:rsidRPr="0088148C">
        <w:rPr>
          <w:rFonts w:cs="Arial"/>
          <w:sz w:val="20"/>
          <w:szCs w:val="20"/>
        </w:rPr>
        <w:t xml:space="preserve"> </w:t>
      </w:r>
      <w:r w:rsidR="00AC3872">
        <w:rPr>
          <w:rFonts w:cs="Arial"/>
          <w:sz w:val="20"/>
          <w:szCs w:val="20"/>
        </w:rPr>
        <w:t xml:space="preserve">of </w:t>
      </w:r>
      <w:r w:rsidR="00AC3872" w:rsidRPr="00AC3872">
        <w:rPr>
          <w:rFonts w:cs="Arial"/>
          <w:sz w:val="20"/>
          <w:szCs w:val="20"/>
        </w:rPr>
        <w:t xml:space="preserve">billing </w:t>
      </w:r>
      <w:r w:rsidR="00C41E55" w:rsidRPr="0088148C">
        <w:rPr>
          <w:rFonts w:cs="Arial"/>
          <w:sz w:val="20"/>
          <w:szCs w:val="20"/>
        </w:rPr>
        <w:t>and interval meter data</w:t>
      </w:r>
      <w:r w:rsidR="00AC3872">
        <w:rPr>
          <w:rFonts w:cs="Arial"/>
          <w:sz w:val="20"/>
          <w:szCs w:val="20"/>
        </w:rPr>
        <w:t xml:space="preserve"> </w:t>
      </w:r>
      <w:r w:rsidR="005D3701" w:rsidRPr="0088148C">
        <w:rPr>
          <w:rFonts w:cs="Arial"/>
          <w:sz w:val="20"/>
          <w:szCs w:val="20"/>
        </w:rPr>
        <w:t xml:space="preserve">by comparing </w:t>
      </w:r>
      <w:r w:rsidRPr="0088148C">
        <w:rPr>
          <w:rFonts w:cs="Arial"/>
          <w:sz w:val="20"/>
          <w:szCs w:val="20"/>
        </w:rPr>
        <w:t xml:space="preserve">energy use </w:t>
      </w:r>
      <w:r w:rsidR="005D3701" w:rsidRPr="0088148C">
        <w:rPr>
          <w:rFonts w:cs="Arial"/>
          <w:sz w:val="20"/>
          <w:szCs w:val="20"/>
        </w:rPr>
        <w:t xml:space="preserve">and peak demand </w:t>
      </w:r>
      <w:r w:rsidRPr="0088148C">
        <w:rPr>
          <w:rFonts w:cs="Arial"/>
          <w:sz w:val="20"/>
          <w:szCs w:val="20"/>
        </w:rPr>
        <w:t>between the treatment and control groups</w:t>
      </w:r>
      <w:r w:rsidR="00AC3872">
        <w:rPr>
          <w:rFonts w:cs="Arial"/>
          <w:sz w:val="20"/>
          <w:szCs w:val="20"/>
        </w:rPr>
        <w:t xml:space="preserve"> for each experiment independently</w:t>
      </w:r>
      <w:r w:rsidRPr="0088148C">
        <w:rPr>
          <w:rFonts w:cs="Arial"/>
          <w:sz w:val="20"/>
          <w:szCs w:val="20"/>
        </w:rPr>
        <w:t>.</w:t>
      </w:r>
    </w:p>
    <w:p w:rsidR="00C52701" w:rsidRPr="0088148C" w:rsidRDefault="00C52701" w:rsidP="00872913">
      <w:pPr>
        <w:rPr>
          <w:rFonts w:cs="Arial"/>
          <w:sz w:val="20"/>
          <w:szCs w:val="20"/>
        </w:rPr>
      </w:pPr>
    </w:p>
    <w:p w:rsidR="00C52701" w:rsidRPr="0088148C" w:rsidRDefault="00C52701" w:rsidP="00C52701">
      <w:pPr>
        <w:rPr>
          <w:rFonts w:cs="Arial"/>
          <w:sz w:val="20"/>
          <w:szCs w:val="20"/>
        </w:rPr>
      </w:pPr>
      <w:r w:rsidRPr="0088148C">
        <w:rPr>
          <w:rFonts w:cs="Arial"/>
          <w:sz w:val="20"/>
          <w:szCs w:val="20"/>
        </w:rPr>
        <w:t xml:space="preserve">PG&amp;E has engaged the vendor </w:t>
      </w:r>
      <w:r w:rsidR="00766954" w:rsidRPr="00B355C6">
        <w:rPr>
          <w:rFonts w:cs="Arial"/>
          <w:sz w:val="20"/>
          <w:szCs w:val="20"/>
        </w:rPr>
        <w:t>OPOWER</w:t>
      </w:r>
      <w:r w:rsidRPr="0088148C">
        <w:rPr>
          <w:rFonts w:cs="Arial"/>
          <w:sz w:val="20"/>
          <w:szCs w:val="20"/>
        </w:rPr>
        <w:t xml:space="preserve"> </w:t>
      </w:r>
      <w:r w:rsidR="005D3701" w:rsidRPr="0088148C">
        <w:rPr>
          <w:rFonts w:cs="Arial"/>
          <w:sz w:val="20"/>
          <w:szCs w:val="20"/>
        </w:rPr>
        <w:t xml:space="preserve">– currently the largest and best established vendor in this domain – </w:t>
      </w:r>
      <w:r w:rsidRPr="0088148C">
        <w:rPr>
          <w:rFonts w:cs="Arial"/>
          <w:sz w:val="20"/>
          <w:szCs w:val="20"/>
        </w:rPr>
        <w:t xml:space="preserve">to produce and deliver the </w:t>
      </w:r>
      <w:r w:rsidR="00350593" w:rsidRPr="0088148C">
        <w:rPr>
          <w:rFonts w:cs="Arial"/>
          <w:sz w:val="20"/>
          <w:szCs w:val="20"/>
        </w:rPr>
        <w:t xml:space="preserve">home energy </w:t>
      </w:r>
      <w:r w:rsidRPr="0088148C">
        <w:rPr>
          <w:rFonts w:cs="Arial"/>
          <w:sz w:val="20"/>
          <w:szCs w:val="20"/>
        </w:rPr>
        <w:t xml:space="preserve">reports. PG&amp;E has </w:t>
      </w:r>
      <w:r w:rsidR="00350593" w:rsidRPr="0088148C">
        <w:rPr>
          <w:rFonts w:cs="Arial"/>
          <w:sz w:val="20"/>
          <w:szCs w:val="20"/>
        </w:rPr>
        <w:t xml:space="preserve">also </w:t>
      </w:r>
      <w:r w:rsidRPr="0088148C">
        <w:rPr>
          <w:rFonts w:cs="Arial"/>
          <w:sz w:val="20"/>
          <w:szCs w:val="20"/>
        </w:rPr>
        <w:t xml:space="preserve">engaged </w:t>
      </w:r>
      <w:r w:rsidR="00C14C2F" w:rsidRPr="0088148C">
        <w:rPr>
          <w:rFonts w:cs="Arial"/>
          <w:sz w:val="20"/>
          <w:szCs w:val="20"/>
        </w:rPr>
        <w:t xml:space="preserve">Nexant (formerly </w:t>
      </w:r>
      <w:r w:rsidRPr="0088148C">
        <w:rPr>
          <w:rFonts w:cs="Arial"/>
          <w:sz w:val="20"/>
          <w:szCs w:val="20"/>
        </w:rPr>
        <w:t>Freeman,</w:t>
      </w:r>
      <w:r w:rsidR="007F1E71" w:rsidRPr="0088148C">
        <w:rPr>
          <w:rFonts w:cs="Arial"/>
          <w:sz w:val="20"/>
          <w:szCs w:val="20"/>
        </w:rPr>
        <w:t xml:space="preserve"> </w:t>
      </w:r>
      <w:r w:rsidRPr="0088148C">
        <w:rPr>
          <w:rFonts w:cs="Arial"/>
          <w:sz w:val="20"/>
          <w:szCs w:val="20"/>
        </w:rPr>
        <w:t xml:space="preserve">Sullivan and Company) to assist in the experimental design and data analysis. </w:t>
      </w:r>
      <w:r w:rsidR="00C14C2F" w:rsidRPr="0088148C">
        <w:rPr>
          <w:rFonts w:cs="Arial"/>
          <w:sz w:val="20"/>
          <w:szCs w:val="20"/>
        </w:rPr>
        <w:t xml:space="preserve">Nexant </w:t>
      </w:r>
      <w:r w:rsidRPr="0088148C">
        <w:rPr>
          <w:rFonts w:cs="Arial"/>
          <w:sz w:val="20"/>
          <w:szCs w:val="20"/>
        </w:rPr>
        <w:t xml:space="preserve">is an acknowledged expert in the design of information feedback experiments. The key objectives of this research initiative are as follows: </w:t>
      </w:r>
    </w:p>
    <w:p w:rsidR="00C52701" w:rsidRPr="0088148C" w:rsidRDefault="00C52701" w:rsidP="00C52701">
      <w:pPr>
        <w:rPr>
          <w:rFonts w:cs="Arial"/>
          <w:sz w:val="20"/>
          <w:szCs w:val="20"/>
        </w:rPr>
      </w:pPr>
    </w:p>
    <w:p w:rsidR="00C52701" w:rsidRPr="0088148C" w:rsidRDefault="00C52701" w:rsidP="00C52701">
      <w:pPr>
        <w:pStyle w:val="ListParagraph"/>
        <w:numPr>
          <w:ilvl w:val="0"/>
          <w:numId w:val="31"/>
        </w:numPr>
        <w:rPr>
          <w:rFonts w:cs="Arial"/>
          <w:sz w:val="20"/>
          <w:szCs w:val="20"/>
        </w:rPr>
      </w:pPr>
      <w:r w:rsidRPr="0088148C">
        <w:rPr>
          <w:rFonts w:cs="Arial"/>
          <w:sz w:val="20"/>
          <w:szCs w:val="20"/>
        </w:rPr>
        <w:t>Estimate change</w:t>
      </w:r>
      <w:r w:rsidR="007106BE" w:rsidRPr="0088148C">
        <w:rPr>
          <w:rFonts w:cs="Arial"/>
          <w:sz w:val="20"/>
          <w:szCs w:val="20"/>
        </w:rPr>
        <w:t>s</w:t>
      </w:r>
      <w:r w:rsidRPr="0088148C">
        <w:rPr>
          <w:rFonts w:cs="Arial"/>
          <w:sz w:val="20"/>
          <w:szCs w:val="20"/>
        </w:rPr>
        <w:t xml:space="preserve"> in residential energy consumption </w:t>
      </w:r>
      <w:r w:rsidR="00090BD9" w:rsidRPr="0088148C">
        <w:rPr>
          <w:rFonts w:cs="Arial"/>
          <w:sz w:val="20"/>
          <w:szCs w:val="20"/>
        </w:rPr>
        <w:t xml:space="preserve">and peak demand </w:t>
      </w:r>
      <w:r w:rsidRPr="0088148C">
        <w:rPr>
          <w:rFonts w:cs="Arial"/>
          <w:sz w:val="20"/>
          <w:szCs w:val="20"/>
        </w:rPr>
        <w:t>resulting from exposure to home energy reports for a wide range of PG&amp;E residential customers with different characteristics</w:t>
      </w:r>
      <w:r w:rsidR="00090BD9" w:rsidRPr="0088148C">
        <w:rPr>
          <w:rFonts w:cs="Arial"/>
          <w:sz w:val="20"/>
          <w:szCs w:val="20"/>
        </w:rPr>
        <w:t>;</w:t>
      </w:r>
    </w:p>
    <w:p w:rsidR="00C52701" w:rsidRPr="0088148C" w:rsidRDefault="00C52701" w:rsidP="00C52701">
      <w:pPr>
        <w:pStyle w:val="ListParagraph"/>
        <w:numPr>
          <w:ilvl w:val="0"/>
          <w:numId w:val="31"/>
        </w:numPr>
        <w:rPr>
          <w:rFonts w:cs="Arial"/>
          <w:sz w:val="20"/>
          <w:szCs w:val="20"/>
        </w:rPr>
      </w:pPr>
      <w:r w:rsidRPr="0088148C">
        <w:rPr>
          <w:rFonts w:cs="Arial"/>
          <w:sz w:val="20"/>
          <w:szCs w:val="20"/>
        </w:rPr>
        <w:t xml:space="preserve">Assess persistence of </w:t>
      </w:r>
      <w:r w:rsidR="00090BD9" w:rsidRPr="0088148C">
        <w:rPr>
          <w:rFonts w:cs="Arial"/>
          <w:sz w:val="20"/>
          <w:szCs w:val="20"/>
        </w:rPr>
        <w:t>savings</w:t>
      </w:r>
      <w:r w:rsidRPr="0088148C">
        <w:rPr>
          <w:rFonts w:cs="Arial"/>
          <w:sz w:val="20"/>
          <w:szCs w:val="20"/>
        </w:rPr>
        <w:t xml:space="preserve"> over a period of at least two years</w:t>
      </w:r>
      <w:r w:rsidR="00090BD9" w:rsidRPr="0088148C">
        <w:rPr>
          <w:rFonts w:cs="Arial"/>
          <w:sz w:val="20"/>
          <w:szCs w:val="20"/>
        </w:rPr>
        <w:t>;</w:t>
      </w:r>
    </w:p>
    <w:p w:rsidR="00350593" w:rsidRPr="0088148C" w:rsidRDefault="00C52701" w:rsidP="00C52701">
      <w:pPr>
        <w:pStyle w:val="ListParagraph"/>
        <w:numPr>
          <w:ilvl w:val="0"/>
          <w:numId w:val="31"/>
        </w:numPr>
        <w:rPr>
          <w:rFonts w:cs="Arial"/>
          <w:sz w:val="20"/>
          <w:szCs w:val="20"/>
        </w:rPr>
      </w:pPr>
      <w:r w:rsidRPr="0088148C">
        <w:rPr>
          <w:rFonts w:cs="Arial"/>
          <w:sz w:val="20"/>
          <w:szCs w:val="20"/>
        </w:rPr>
        <w:t>Estimate the impact of relative frequency of report delivery on energy consumption</w:t>
      </w:r>
      <w:r w:rsidR="00350593" w:rsidRPr="0088148C">
        <w:rPr>
          <w:rFonts w:cs="Arial"/>
          <w:sz w:val="20"/>
          <w:szCs w:val="20"/>
        </w:rPr>
        <w:t>;</w:t>
      </w:r>
    </w:p>
    <w:p w:rsidR="00C52701" w:rsidRPr="0088148C" w:rsidRDefault="00350593" w:rsidP="00C52701">
      <w:pPr>
        <w:pStyle w:val="ListParagraph"/>
        <w:numPr>
          <w:ilvl w:val="0"/>
          <w:numId w:val="31"/>
        </w:numPr>
        <w:rPr>
          <w:rFonts w:cs="Arial"/>
          <w:sz w:val="20"/>
          <w:szCs w:val="20"/>
        </w:rPr>
      </w:pPr>
      <w:r w:rsidRPr="0088148C">
        <w:rPr>
          <w:rFonts w:cs="Arial"/>
          <w:sz w:val="20"/>
          <w:szCs w:val="20"/>
        </w:rPr>
        <w:t>Modify program design to increase cost-effectiveness</w:t>
      </w:r>
      <w:r w:rsidR="00C52701" w:rsidRPr="0088148C">
        <w:rPr>
          <w:rFonts w:cs="Arial"/>
          <w:sz w:val="20"/>
          <w:szCs w:val="20"/>
        </w:rPr>
        <w:t>.</w:t>
      </w:r>
    </w:p>
    <w:p w:rsidR="00EE2E4F" w:rsidRPr="0088148C" w:rsidRDefault="00EE2E4F" w:rsidP="00872913">
      <w:pPr>
        <w:rPr>
          <w:rFonts w:cs="Arial"/>
          <w:sz w:val="20"/>
          <w:szCs w:val="20"/>
        </w:rPr>
      </w:pPr>
    </w:p>
    <w:p w:rsidR="00521920" w:rsidRPr="0088148C" w:rsidRDefault="00521920" w:rsidP="00872913">
      <w:pPr>
        <w:rPr>
          <w:rFonts w:cs="Arial"/>
          <w:b/>
        </w:rPr>
      </w:pPr>
      <w:r w:rsidRPr="0088148C">
        <w:rPr>
          <w:rFonts w:cs="Arial"/>
          <w:b/>
        </w:rPr>
        <w:t>Program Restrictions and Guidelines</w:t>
      </w:r>
    </w:p>
    <w:p w:rsidR="00521920" w:rsidRPr="0088148C" w:rsidRDefault="007106BE" w:rsidP="00872913">
      <w:pPr>
        <w:rPr>
          <w:rFonts w:cs="Arial"/>
          <w:sz w:val="20"/>
          <w:szCs w:val="20"/>
        </w:rPr>
      </w:pPr>
      <w:r w:rsidRPr="0088148C">
        <w:rPr>
          <w:rFonts w:cs="Arial"/>
          <w:sz w:val="20"/>
          <w:szCs w:val="20"/>
        </w:rPr>
        <w:t xml:space="preserve">This program is an “opt-out” program whereby selected households are </w:t>
      </w:r>
      <w:r w:rsidR="00D75F95" w:rsidRPr="0088148C">
        <w:rPr>
          <w:rFonts w:cs="Arial"/>
          <w:sz w:val="20"/>
          <w:szCs w:val="20"/>
        </w:rPr>
        <w:t xml:space="preserve">sent </w:t>
      </w:r>
      <w:r w:rsidRPr="0088148C">
        <w:rPr>
          <w:rFonts w:cs="Arial"/>
          <w:sz w:val="20"/>
          <w:szCs w:val="20"/>
        </w:rPr>
        <w:t xml:space="preserve">the reports without explicitly requesting them. </w:t>
      </w:r>
      <w:r w:rsidR="00252651" w:rsidRPr="0088148C">
        <w:rPr>
          <w:rFonts w:cs="Arial"/>
          <w:sz w:val="20"/>
          <w:szCs w:val="20"/>
        </w:rPr>
        <w:t xml:space="preserve">Since the household characteristics that define the sample frame </w:t>
      </w:r>
      <w:r w:rsidR="005D5D0B" w:rsidRPr="0088148C">
        <w:rPr>
          <w:rFonts w:cs="Arial"/>
          <w:sz w:val="20"/>
          <w:szCs w:val="20"/>
        </w:rPr>
        <w:t xml:space="preserve">are specific of </w:t>
      </w:r>
      <w:r w:rsidR="00252651" w:rsidRPr="0088148C">
        <w:rPr>
          <w:rFonts w:cs="Arial"/>
          <w:sz w:val="20"/>
          <w:szCs w:val="20"/>
        </w:rPr>
        <w:t xml:space="preserve">each experiment (e.g., climate zone, fuel type, energy usage, time since account was established), each experiment requires its own analysis of energy </w:t>
      </w:r>
      <w:r w:rsidR="00912373" w:rsidRPr="0088148C">
        <w:rPr>
          <w:rFonts w:cs="Arial"/>
          <w:sz w:val="20"/>
          <w:szCs w:val="20"/>
        </w:rPr>
        <w:t xml:space="preserve">and peak demand </w:t>
      </w:r>
      <w:r w:rsidR="00252651" w:rsidRPr="0088148C">
        <w:rPr>
          <w:rFonts w:cs="Arial"/>
          <w:sz w:val="20"/>
          <w:szCs w:val="20"/>
        </w:rPr>
        <w:t xml:space="preserve">savings. </w:t>
      </w:r>
      <w:r w:rsidR="00D75F95" w:rsidRPr="0088148C">
        <w:rPr>
          <w:rFonts w:cs="Arial"/>
          <w:sz w:val="20"/>
          <w:szCs w:val="20"/>
        </w:rPr>
        <w:t>This is why each experiment has its own control group</w:t>
      </w:r>
      <w:r w:rsidR="005D5D0B" w:rsidRPr="0088148C">
        <w:rPr>
          <w:rFonts w:cs="Arial"/>
          <w:sz w:val="20"/>
          <w:szCs w:val="20"/>
        </w:rPr>
        <w:t>, which serves as Base Case, also known as baseline or counterfactual.</w:t>
      </w:r>
    </w:p>
    <w:p w:rsidR="00912373" w:rsidRPr="0088148C" w:rsidRDefault="00912373" w:rsidP="00912373">
      <w:pPr>
        <w:rPr>
          <w:rFonts w:cs="Arial"/>
          <w:sz w:val="20"/>
          <w:szCs w:val="20"/>
        </w:rPr>
      </w:pPr>
    </w:p>
    <w:p w:rsidR="00D75F95" w:rsidRPr="007813B4" w:rsidRDefault="00521920" w:rsidP="00D75F95">
      <w:pPr>
        <w:rPr>
          <w:rFonts w:cs="Arial"/>
          <w:sz w:val="20"/>
          <w:szCs w:val="20"/>
        </w:rPr>
      </w:pPr>
      <w:r w:rsidRPr="0088148C">
        <w:rPr>
          <w:rFonts w:cs="Arial"/>
          <w:b/>
          <w:sz w:val="20"/>
          <w:szCs w:val="20"/>
        </w:rPr>
        <w:t>Terms and Conditions</w:t>
      </w:r>
      <w:r w:rsidR="003E7422" w:rsidRPr="0088148C">
        <w:rPr>
          <w:rFonts w:cs="Arial"/>
          <w:b/>
          <w:sz w:val="20"/>
          <w:szCs w:val="20"/>
        </w:rPr>
        <w:t>:</w:t>
      </w:r>
      <w:r w:rsidR="00A562A6" w:rsidRPr="0088148C">
        <w:rPr>
          <w:rFonts w:cs="Arial"/>
          <w:b/>
          <w:sz w:val="20"/>
          <w:szCs w:val="20"/>
        </w:rPr>
        <w:t xml:space="preserve"> </w:t>
      </w:r>
      <w:r w:rsidR="00A562A6" w:rsidRPr="0088148C">
        <w:rPr>
          <w:rFonts w:cs="Arial"/>
          <w:sz w:val="20"/>
          <w:szCs w:val="20"/>
        </w:rPr>
        <w:t>These are the actual rules for the specific measure(</w:t>
      </w:r>
      <w:r w:rsidR="00ED7D3D" w:rsidRPr="0088148C">
        <w:rPr>
          <w:rFonts w:cs="Arial"/>
          <w:sz w:val="20"/>
          <w:szCs w:val="20"/>
        </w:rPr>
        <w:t>s) described in this work</w:t>
      </w:r>
      <w:r w:rsidR="00513467">
        <w:rPr>
          <w:rFonts w:cs="Arial"/>
          <w:sz w:val="20"/>
          <w:szCs w:val="20"/>
        </w:rPr>
        <w:t xml:space="preserve"> </w:t>
      </w:r>
      <w:r w:rsidR="00ED7D3D" w:rsidRPr="0088148C">
        <w:rPr>
          <w:rFonts w:cs="Arial"/>
          <w:sz w:val="20"/>
          <w:szCs w:val="20"/>
        </w:rPr>
        <w:t>paper.</w:t>
      </w:r>
      <w:r w:rsidR="00A562A6" w:rsidRPr="0088148C">
        <w:rPr>
          <w:rFonts w:cs="Arial"/>
          <w:sz w:val="20"/>
          <w:szCs w:val="20"/>
        </w:rPr>
        <w:t xml:space="preserve"> These form the basis of the savings and cost</w:t>
      </w:r>
      <w:r w:rsidR="00ED7D3D" w:rsidRPr="0088148C">
        <w:rPr>
          <w:rFonts w:cs="Arial"/>
          <w:sz w:val="20"/>
          <w:szCs w:val="20"/>
        </w:rPr>
        <w:t xml:space="preserve"> calculations for the measures.</w:t>
      </w:r>
      <w:r w:rsidR="00A562A6" w:rsidRPr="0088148C">
        <w:rPr>
          <w:rFonts w:cs="Arial"/>
          <w:sz w:val="20"/>
          <w:szCs w:val="20"/>
        </w:rPr>
        <w:t xml:space="preserve"> They must be presented EXACTLY as stated in the product catalog and customer materials.</w:t>
      </w:r>
      <w:r w:rsidR="00D75F95" w:rsidRPr="0088148C">
        <w:rPr>
          <w:rFonts w:cs="Arial"/>
          <w:sz w:val="20"/>
          <w:szCs w:val="20"/>
        </w:rPr>
        <w:t xml:space="preserve"> </w:t>
      </w:r>
    </w:p>
    <w:p w:rsidR="00D75F95" w:rsidRPr="007813B4" w:rsidRDefault="00D75F95" w:rsidP="00D75F95">
      <w:pPr>
        <w:rPr>
          <w:rFonts w:cs="Arial"/>
          <w:sz w:val="20"/>
          <w:szCs w:val="20"/>
        </w:rPr>
      </w:pPr>
    </w:p>
    <w:p w:rsidR="00D75F95" w:rsidRPr="007813B4" w:rsidRDefault="00521920" w:rsidP="00D75F95">
      <w:pPr>
        <w:rPr>
          <w:rFonts w:cs="Arial"/>
          <w:sz w:val="20"/>
          <w:szCs w:val="20"/>
        </w:rPr>
      </w:pPr>
      <w:r w:rsidRPr="007813B4">
        <w:rPr>
          <w:rFonts w:cs="Arial"/>
          <w:b/>
          <w:sz w:val="20"/>
          <w:szCs w:val="20"/>
        </w:rPr>
        <w:t>Market Applicability</w:t>
      </w:r>
      <w:r w:rsidR="003E7422" w:rsidRPr="007813B4">
        <w:rPr>
          <w:rFonts w:cs="Arial"/>
          <w:b/>
          <w:sz w:val="20"/>
          <w:szCs w:val="20"/>
        </w:rPr>
        <w:t>:</w:t>
      </w:r>
      <w:r w:rsidRPr="007813B4">
        <w:rPr>
          <w:rFonts w:cs="Arial"/>
          <w:b/>
          <w:sz w:val="20"/>
          <w:szCs w:val="20"/>
        </w:rPr>
        <w:t xml:space="preserve"> </w:t>
      </w:r>
      <w:r w:rsidR="00FA684E" w:rsidRPr="007813B4">
        <w:rPr>
          <w:rFonts w:cs="Arial"/>
          <w:sz w:val="20"/>
          <w:szCs w:val="20"/>
        </w:rPr>
        <w:t xml:space="preserve">The target for this program is </w:t>
      </w:r>
      <w:r w:rsidR="009D4C77" w:rsidRPr="007813B4">
        <w:rPr>
          <w:rFonts w:cs="Arial"/>
          <w:sz w:val="20"/>
          <w:szCs w:val="20"/>
        </w:rPr>
        <w:t xml:space="preserve">residential customers that meet experiment-specific eligibility criteria determined by PG&amp;E and </w:t>
      </w:r>
      <w:r w:rsidR="00766954" w:rsidRPr="00B355C6">
        <w:rPr>
          <w:rFonts w:cs="Arial"/>
          <w:sz w:val="20"/>
          <w:szCs w:val="20"/>
        </w:rPr>
        <w:t xml:space="preserve">OPOWER </w:t>
      </w:r>
      <w:r w:rsidR="00212856" w:rsidRPr="007813B4">
        <w:rPr>
          <w:rFonts w:cs="Arial"/>
          <w:sz w:val="20"/>
          <w:szCs w:val="20"/>
        </w:rPr>
        <w:t>at the time of sampling</w:t>
      </w:r>
      <w:r w:rsidR="00B25257" w:rsidRPr="00B25257">
        <w:rPr>
          <w:rFonts w:cs="Arial"/>
          <w:sz w:val="20"/>
          <w:szCs w:val="20"/>
        </w:rPr>
        <w:t>.</w:t>
      </w:r>
      <w:r w:rsidR="0076412F" w:rsidRPr="007813B4">
        <w:rPr>
          <w:rFonts w:cs="Arial"/>
          <w:sz w:val="20"/>
          <w:szCs w:val="20"/>
        </w:rPr>
        <w:t xml:space="preserve"> An initial description is provided in PG&amp;E Home Energy Reports Initiative Sampling Plan</w:t>
      </w:r>
      <w:r w:rsidR="00EE2E4F" w:rsidRPr="007813B4">
        <w:rPr>
          <w:rFonts w:cs="Arial"/>
          <w:sz w:val="20"/>
          <w:szCs w:val="20"/>
        </w:rPr>
        <w:t xml:space="preserve">. This document contains the background and initial plan for the Home Energy Reports program as submitted to Energy Division of the </w:t>
      </w:r>
      <w:r w:rsidR="00B25257">
        <w:rPr>
          <w:rFonts w:cs="Arial"/>
          <w:sz w:val="20"/>
          <w:szCs w:val="20"/>
        </w:rPr>
        <w:t>California Public Utilities Commission</w:t>
      </w:r>
      <w:r w:rsidR="00B25257" w:rsidRPr="007813B4">
        <w:rPr>
          <w:rFonts w:cs="Arial"/>
          <w:sz w:val="20"/>
          <w:szCs w:val="20"/>
        </w:rPr>
        <w:t xml:space="preserve"> </w:t>
      </w:r>
      <w:r w:rsidR="00EE2E4F" w:rsidRPr="007813B4">
        <w:rPr>
          <w:rFonts w:cs="Arial"/>
          <w:sz w:val="20"/>
          <w:szCs w:val="20"/>
        </w:rPr>
        <w:t>in May 2011.</w:t>
      </w:r>
      <w:r w:rsidR="00212856" w:rsidRPr="007813B4">
        <w:rPr>
          <w:rFonts w:cs="Arial"/>
          <w:sz w:val="20"/>
          <w:szCs w:val="20"/>
        </w:rPr>
        <w:t xml:space="preserve"> The sampling plan for each experiment is based on this initial plan, but may present subtle differences around sample size, sample frame, treatment communication channel or frequency…</w:t>
      </w:r>
    </w:p>
    <w:p w:rsidR="00197A23" w:rsidRPr="007813B4" w:rsidRDefault="00197A23" w:rsidP="00872913">
      <w:pPr>
        <w:rPr>
          <w:rFonts w:cs="Arial"/>
          <w:b/>
        </w:rPr>
      </w:pPr>
    </w:p>
    <w:p w:rsidR="00521920" w:rsidRPr="00004670" w:rsidRDefault="00806070" w:rsidP="00004670">
      <w:pPr>
        <w:pStyle w:val="Heading2"/>
      </w:pPr>
      <w:bookmarkStart w:id="30" w:name="_Toc476228484"/>
      <w:r w:rsidRPr="00004670">
        <w:t xml:space="preserve">1.2 Product </w:t>
      </w:r>
      <w:r w:rsidR="00521920" w:rsidRPr="00004670">
        <w:t>Technical Description</w:t>
      </w:r>
      <w:bookmarkEnd w:id="30"/>
    </w:p>
    <w:p w:rsidR="00771691" w:rsidRDefault="00771691" w:rsidP="00771691">
      <w:pPr>
        <w:rPr>
          <w:rFonts w:eastAsiaTheme="minorHAnsi" w:cs="Arial"/>
          <w:sz w:val="20"/>
          <w:szCs w:val="20"/>
        </w:rPr>
      </w:pPr>
      <w:bookmarkStart w:id="31" w:name="_Toc304800203"/>
      <w:bookmarkStart w:id="32" w:name="_Toc324318339"/>
      <w:bookmarkStart w:id="33" w:name="_Toc324340483"/>
    </w:p>
    <w:p w:rsidR="00CB1266" w:rsidRPr="00407069" w:rsidRDefault="006B15A5" w:rsidP="00CB1266">
      <w:pPr>
        <w:rPr>
          <w:rFonts w:eastAsiaTheme="minorHAnsi" w:cs="Arial"/>
          <w:sz w:val="20"/>
          <w:szCs w:val="20"/>
        </w:rPr>
      </w:pPr>
      <w:r w:rsidRPr="006B15A5">
        <w:rPr>
          <w:rFonts w:eastAsiaTheme="minorHAnsi" w:cs="Arial"/>
          <w:sz w:val="20"/>
          <w:szCs w:val="20"/>
        </w:rPr>
        <w:t xml:space="preserve">The Home Energy Report (HER) program operates on the principle </w:t>
      </w:r>
      <w:r w:rsidR="00252651">
        <w:rPr>
          <w:rFonts w:eastAsiaTheme="minorHAnsi" w:cs="Arial"/>
          <w:sz w:val="20"/>
          <w:szCs w:val="20"/>
        </w:rPr>
        <w:t xml:space="preserve">that customers </w:t>
      </w:r>
      <w:r w:rsidR="00930254">
        <w:rPr>
          <w:rFonts w:eastAsiaTheme="minorHAnsi" w:cs="Arial"/>
          <w:sz w:val="20"/>
          <w:szCs w:val="20"/>
        </w:rPr>
        <w:t xml:space="preserve">in the treatment condition </w:t>
      </w:r>
      <w:r w:rsidR="0034634A">
        <w:rPr>
          <w:rFonts w:eastAsiaTheme="minorHAnsi" w:cs="Arial"/>
          <w:sz w:val="20"/>
          <w:szCs w:val="20"/>
        </w:rPr>
        <w:t>that</w:t>
      </w:r>
      <w:r w:rsidR="00252651">
        <w:rPr>
          <w:rFonts w:eastAsiaTheme="minorHAnsi" w:cs="Arial"/>
          <w:sz w:val="20"/>
          <w:szCs w:val="20"/>
        </w:rPr>
        <w:t xml:space="preserve"> are provided </w:t>
      </w:r>
      <w:r w:rsidR="0034634A">
        <w:rPr>
          <w:rFonts w:eastAsiaTheme="minorHAnsi" w:cs="Arial"/>
          <w:sz w:val="20"/>
          <w:szCs w:val="20"/>
        </w:rPr>
        <w:t xml:space="preserve">periodic </w:t>
      </w:r>
      <w:r w:rsidR="00252651">
        <w:rPr>
          <w:rFonts w:eastAsiaTheme="minorHAnsi" w:cs="Arial"/>
          <w:sz w:val="20"/>
          <w:szCs w:val="20"/>
        </w:rPr>
        <w:t xml:space="preserve">reports with energy use feedback and comparisons of energy use of similar neighbors </w:t>
      </w:r>
      <w:r w:rsidR="00571B06">
        <w:rPr>
          <w:rFonts w:eastAsiaTheme="minorHAnsi" w:cs="Arial"/>
          <w:sz w:val="20"/>
          <w:szCs w:val="20"/>
        </w:rPr>
        <w:t xml:space="preserve">reduce energy </w:t>
      </w:r>
      <w:r w:rsidR="0076412F">
        <w:rPr>
          <w:rFonts w:eastAsiaTheme="minorHAnsi" w:cs="Arial"/>
          <w:sz w:val="20"/>
          <w:szCs w:val="20"/>
        </w:rPr>
        <w:t xml:space="preserve">consumption </w:t>
      </w:r>
      <w:r w:rsidR="007F2C5A">
        <w:rPr>
          <w:rFonts w:eastAsiaTheme="minorHAnsi" w:cs="Arial"/>
          <w:sz w:val="20"/>
          <w:szCs w:val="20"/>
        </w:rPr>
        <w:t xml:space="preserve">and shift demand </w:t>
      </w:r>
      <w:r w:rsidR="00930254">
        <w:rPr>
          <w:rFonts w:eastAsiaTheme="minorHAnsi" w:cs="Arial"/>
          <w:sz w:val="20"/>
          <w:szCs w:val="20"/>
        </w:rPr>
        <w:t xml:space="preserve">compared to customers in the control </w:t>
      </w:r>
      <w:r w:rsidR="00930254">
        <w:rPr>
          <w:rFonts w:eastAsiaTheme="minorHAnsi" w:cs="Arial"/>
          <w:sz w:val="20"/>
          <w:szCs w:val="20"/>
        </w:rPr>
        <w:lastRenderedPageBreak/>
        <w:t>condition who are not</w:t>
      </w:r>
      <w:r w:rsidR="0034634A">
        <w:rPr>
          <w:rFonts w:eastAsiaTheme="minorHAnsi" w:cs="Arial"/>
          <w:sz w:val="20"/>
          <w:szCs w:val="20"/>
        </w:rPr>
        <w:t xml:space="preserve"> provided these reports</w:t>
      </w:r>
      <w:r w:rsidR="00571B06">
        <w:rPr>
          <w:rFonts w:eastAsiaTheme="minorHAnsi" w:cs="Arial"/>
          <w:sz w:val="20"/>
          <w:szCs w:val="20"/>
        </w:rPr>
        <w:t xml:space="preserve">. </w:t>
      </w:r>
      <w:r w:rsidR="0034634A">
        <w:rPr>
          <w:rFonts w:eastAsiaTheme="minorHAnsi" w:cs="Arial"/>
          <w:sz w:val="20"/>
          <w:szCs w:val="20"/>
        </w:rPr>
        <w:t xml:space="preserve">The impact of </w:t>
      </w:r>
      <w:r w:rsidR="007F2C5A">
        <w:rPr>
          <w:rFonts w:eastAsiaTheme="minorHAnsi" w:cs="Arial"/>
          <w:sz w:val="20"/>
          <w:szCs w:val="20"/>
        </w:rPr>
        <w:t xml:space="preserve">such HER </w:t>
      </w:r>
      <w:r w:rsidR="0034634A">
        <w:rPr>
          <w:rFonts w:eastAsiaTheme="minorHAnsi" w:cs="Arial"/>
          <w:sz w:val="20"/>
          <w:szCs w:val="20"/>
        </w:rPr>
        <w:t xml:space="preserve">experiments on </w:t>
      </w:r>
      <w:r w:rsidR="0076412F">
        <w:rPr>
          <w:rFonts w:eastAsiaTheme="minorHAnsi" w:cs="Arial"/>
          <w:sz w:val="20"/>
          <w:szCs w:val="20"/>
        </w:rPr>
        <w:t xml:space="preserve">savings </w:t>
      </w:r>
      <w:r w:rsidR="00571B06">
        <w:rPr>
          <w:rFonts w:eastAsiaTheme="minorHAnsi" w:cs="Arial"/>
          <w:sz w:val="20"/>
          <w:szCs w:val="20"/>
        </w:rPr>
        <w:t>has been</w:t>
      </w:r>
      <w:r w:rsidR="00252651">
        <w:rPr>
          <w:rFonts w:eastAsiaTheme="minorHAnsi" w:cs="Arial"/>
          <w:sz w:val="20"/>
          <w:szCs w:val="20"/>
        </w:rPr>
        <w:t xml:space="preserve"> </w:t>
      </w:r>
      <w:r w:rsidR="00C23D02">
        <w:rPr>
          <w:rFonts w:eastAsiaTheme="minorHAnsi" w:cs="Arial"/>
          <w:sz w:val="20"/>
          <w:szCs w:val="20"/>
        </w:rPr>
        <w:t xml:space="preserve">demonstrated in many jurisdictions </w:t>
      </w:r>
      <w:r w:rsidR="007C56A9">
        <w:rPr>
          <w:rFonts w:eastAsiaTheme="minorHAnsi" w:cs="Arial"/>
          <w:sz w:val="20"/>
          <w:szCs w:val="20"/>
        </w:rPr>
        <w:t xml:space="preserve">(including California) through </w:t>
      </w:r>
      <w:r w:rsidR="00571B06">
        <w:rPr>
          <w:rFonts w:eastAsiaTheme="minorHAnsi" w:cs="Arial"/>
          <w:sz w:val="20"/>
          <w:szCs w:val="20"/>
        </w:rPr>
        <w:t xml:space="preserve">statistical </w:t>
      </w:r>
      <w:r w:rsidR="0076412F">
        <w:rPr>
          <w:rFonts w:eastAsiaTheme="minorHAnsi" w:cs="Arial"/>
          <w:sz w:val="20"/>
          <w:szCs w:val="20"/>
        </w:rPr>
        <w:t xml:space="preserve">analyses </w:t>
      </w:r>
      <w:r w:rsidR="00571B06">
        <w:rPr>
          <w:rFonts w:eastAsiaTheme="minorHAnsi" w:cs="Arial"/>
          <w:sz w:val="20"/>
          <w:szCs w:val="20"/>
        </w:rPr>
        <w:t>conducted by multiple evaluation firms</w:t>
      </w:r>
      <w:r w:rsidR="004C5FE9">
        <w:rPr>
          <w:rFonts w:eastAsiaTheme="minorHAnsi" w:cs="Arial"/>
          <w:sz w:val="20"/>
          <w:szCs w:val="20"/>
        </w:rPr>
        <w:t xml:space="preserve">, including </w:t>
      </w:r>
      <w:r w:rsidR="007F2C5A">
        <w:rPr>
          <w:rFonts w:eastAsiaTheme="minorHAnsi" w:cs="Arial"/>
          <w:sz w:val="20"/>
          <w:szCs w:val="20"/>
        </w:rPr>
        <w:t>DNV GL</w:t>
      </w:r>
      <w:r w:rsidR="007C56A9">
        <w:rPr>
          <w:rFonts w:eastAsiaTheme="minorHAnsi" w:cs="Arial"/>
          <w:sz w:val="20"/>
          <w:szCs w:val="20"/>
        </w:rPr>
        <w:t xml:space="preserve"> </w:t>
      </w:r>
      <w:r w:rsidR="00CD2FD7">
        <w:rPr>
          <w:rFonts w:eastAsiaTheme="minorHAnsi" w:cs="Arial"/>
          <w:sz w:val="20"/>
          <w:szCs w:val="20"/>
        </w:rPr>
        <w:t xml:space="preserve">contracted by the </w:t>
      </w:r>
      <w:r w:rsidR="00406A65" w:rsidRPr="00030D09">
        <w:rPr>
          <w:rFonts w:cs="Arial"/>
          <w:sz w:val="20"/>
          <w:szCs w:val="20"/>
        </w:rPr>
        <w:t xml:space="preserve">Energy Division of the </w:t>
      </w:r>
      <w:r w:rsidR="00406A65">
        <w:rPr>
          <w:rFonts w:cs="Arial"/>
          <w:sz w:val="20"/>
          <w:szCs w:val="20"/>
        </w:rPr>
        <w:t>CPUC</w:t>
      </w:r>
      <w:r w:rsidR="00406A65" w:rsidRPr="004C5FE9">
        <w:rPr>
          <w:rFonts w:eastAsiaTheme="minorHAnsi" w:cs="Arial"/>
          <w:sz w:val="20"/>
          <w:szCs w:val="20"/>
        </w:rPr>
        <w:t xml:space="preserve"> </w:t>
      </w:r>
      <w:r w:rsidR="007C56A9">
        <w:rPr>
          <w:rFonts w:eastAsiaTheme="minorHAnsi" w:cs="Arial"/>
          <w:sz w:val="20"/>
          <w:szCs w:val="20"/>
        </w:rPr>
        <w:t>(see impact evaluations for 2010-2012, 2013, and 2014)</w:t>
      </w:r>
      <w:r w:rsidR="00571B06">
        <w:rPr>
          <w:rFonts w:eastAsiaTheme="minorHAnsi" w:cs="Arial"/>
          <w:sz w:val="20"/>
          <w:szCs w:val="20"/>
        </w:rPr>
        <w:t>.</w:t>
      </w:r>
      <w:r w:rsidR="00930254">
        <w:rPr>
          <w:rFonts w:eastAsiaTheme="minorHAnsi" w:cs="Arial"/>
          <w:sz w:val="20"/>
          <w:szCs w:val="20"/>
        </w:rPr>
        <w:t xml:space="preserve"> </w:t>
      </w:r>
      <w:r w:rsidR="00CB1266" w:rsidRPr="006B15A5">
        <w:rPr>
          <w:rFonts w:eastAsiaTheme="minorHAnsi" w:cs="Arial"/>
          <w:sz w:val="20"/>
          <w:szCs w:val="20"/>
        </w:rPr>
        <w:t>Th</w:t>
      </w:r>
      <w:r w:rsidR="0034634A">
        <w:rPr>
          <w:rFonts w:eastAsiaTheme="minorHAnsi" w:cs="Arial"/>
          <w:sz w:val="20"/>
          <w:szCs w:val="20"/>
        </w:rPr>
        <w:t>e</w:t>
      </w:r>
      <w:r w:rsidR="00CB1266" w:rsidRPr="006B15A5">
        <w:rPr>
          <w:rFonts w:eastAsiaTheme="minorHAnsi" w:cs="Arial"/>
          <w:sz w:val="20"/>
          <w:szCs w:val="20"/>
        </w:rPr>
        <w:t xml:space="preserve"> </w:t>
      </w:r>
      <w:r w:rsidR="00CB1266">
        <w:rPr>
          <w:rFonts w:eastAsiaTheme="minorHAnsi" w:cs="Arial"/>
          <w:sz w:val="20"/>
          <w:szCs w:val="20"/>
        </w:rPr>
        <w:t xml:space="preserve">usage feedback </w:t>
      </w:r>
      <w:r w:rsidR="0034634A">
        <w:rPr>
          <w:rFonts w:eastAsiaTheme="minorHAnsi" w:cs="Arial"/>
          <w:sz w:val="20"/>
          <w:szCs w:val="20"/>
        </w:rPr>
        <w:t xml:space="preserve">that is the core of the reports </w:t>
      </w:r>
      <w:r w:rsidR="00CB1266" w:rsidRPr="006B15A5">
        <w:rPr>
          <w:rFonts w:eastAsiaTheme="minorHAnsi" w:cs="Arial"/>
          <w:sz w:val="20"/>
          <w:szCs w:val="20"/>
        </w:rPr>
        <w:t xml:space="preserve">is accompanied by tips on saving energy </w:t>
      </w:r>
      <w:r w:rsidR="0034634A">
        <w:rPr>
          <w:rFonts w:eastAsiaTheme="minorHAnsi" w:cs="Arial"/>
          <w:sz w:val="20"/>
          <w:szCs w:val="20"/>
        </w:rPr>
        <w:t>and</w:t>
      </w:r>
      <w:r w:rsidR="0034634A" w:rsidRPr="006B15A5">
        <w:rPr>
          <w:rFonts w:eastAsiaTheme="minorHAnsi" w:cs="Arial"/>
          <w:sz w:val="20"/>
          <w:szCs w:val="20"/>
        </w:rPr>
        <w:t xml:space="preserve"> </w:t>
      </w:r>
      <w:r w:rsidR="00CB1266" w:rsidRPr="006B15A5">
        <w:rPr>
          <w:rFonts w:eastAsiaTheme="minorHAnsi" w:cs="Arial"/>
          <w:sz w:val="20"/>
          <w:szCs w:val="20"/>
        </w:rPr>
        <w:t xml:space="preserve">suggestions to purchase more </w:t>
      </w:r>
      <w:r w:rsidR="007C56A9">
        <w:rPr>
          <w:rFonts w:eastAsiaTheme="minorHAnsi" w:cs="Arial"/>
          <w:sz w:val="20"/>
          <w:szCs w:val="20"/>
        </w:rPr>
        <w:t xml:space="preserve">energy </w:t>
      </w:r>
      <w:r w:rsidR="00CB1266" w:rsidRPr="006B15A5">
        <w:rPr>
          <w:rFonts w:eastAsiaTheme="minorHAnsi" w:cs="Arial"/>
          <w:sz w:val="20"/>
          <w:szCs w:val="20"/>
        </w:rPr>
        <w:t xml:space="preserve">efficient equipment. </w:t>
      </w:r>
      <w:r w:rsidR="00CB1266">
        <w:rPr>
          <w:rFonts w:eastAsiaTheme="minorHAnsi" w:cs="Arial"/>
          <w:sz w:val="20"/>
          <w:szCs w:val="20"/>
        </w:rPr>
        <w:t xml:space="preserve">The HER program employs </w:t>
      </w:r>
      <w:r w:rsidR="00CB0D2B">
        <w:rPr>
          <w:rFonts w:eastAsiaTheme="minorHAnsi" w:cs="Arial"/>
          <w:sz w:val="20"/>
          <w:szCs w:val="20"/>
        </w:rPr>
        <w:t xml:space="preserve">a randomized control </w:t>
      </w:r>
      <w:r w:rsidR="00CB1266">
        <w:rPr>
          <w:rFonts w:eastAsiaTheme="minorHAnsi" w:cs="Arial"/>
          <w:sz w:val="20"/>
          <w:szCs w:val="20"/>
        </w:rPr>
        <w:t xml:space="preserve">design whereby a homogeneous group of residential customers </w:t>
      </w:r>
      <w:r w:rsidR="00CB0D2B">
        <w:rPr>
          <w:rFonts w:eastAsiaTheme="minorHAnsi" w:cs="Arial"/>
          <w:sz w:val="20"/>
          <w:szCs w:val="20"/>
        </w:rPr>
        <w:t xml:space="preserve">defined by key usage and demographic characteristics </w:t>
      </w:r>
      <w:r w:rsidR="00CB1266">
        <w:rPr>
          <w:rFonts w:eastAsiaTheme="minorHAnsi" w:cs="Arial"/>
          <w:sz w:val="20"/>
          <w:szCs w:val="20"/>
        </w:rPr>
        <w:t>are randomly assigned to either receive the reports (the treatment group) or not (the control group). R</w:t>
      </w:r>
      <w:r w:rsidR="00CB1266" w:rsidRPr="006B15A5">
        <w:rPr>
          <w:rFonts w:eastAsiaTheme="minorHAnsi" w:cs="Arial"/>
          <w:sz w:val="20"/>
          <w:szCs w:val="20"/>
        </w:rPr>
        <w:t xml:space="preserve">andom assignment ensures that the treatment and </w:t>
      </w:r>
      <w:r w:rsidR="00E50CAA" w:rsidRPr="006B15A5">
        <w:rPr>
          <w:rFonts w:eastAsiaTheme="minorHAnsi" w:cs="Arial"/>
          <w:sz w:val="20"/>
          <w:szCs w:val="20"/>
        </w:rPr>
        <w:t>control</w:t>
      </w:r>
      <w:r w:rsidR="00E50CAA">
        <w:rPr>
          <w:rFonts w:eastAsiaTheme="minorHAnsi" w:cs="Arial"/>
          <w:sz w:val="20"/>
          <w:szCs w:val="20"/>
        </w:rPr>
        <w:t xml:space="preserve"> </w:t>
      </w:r>
      <w:r w:rsidR="00CB1266" w:rsidRPr="006B15A5">
        <w:rPr>
          <w:rFonts w:eastAsiaTheme="minorHAnsi" w:cs="Arial"/>
          <w:sz w:val="20"/>
          <w:szCs w:val="20"/>
        </w:rPr>
        <w:t>groups are equivalent from a s</w:t>
      </w:r>
      <w:r w:rsidR="00CB1266">
        <w:rPr>
          <w:rFonts w:eastAsiaTheme="minorHAnsi" w:cs="Arial"/>
          <w:sz w:val="20"/>
          <w:szCs w:val="20"/>
        </w:rPr>
        <w:t>tatistical standpoint</w:t>
      </w:r>
      <w:r w:rsidR="00CD2FD7">
        <w:rPr>
          <w:rFonts w:eastAsiaTheme="minorHAnsi" w:cs="Arial"/>
          <w:sz w:val="20"/>
          <w:szCs w:val="20"/>
        </w:rPr>
        <w:t>. Other than the fact that the treatment group receives the reports, h</w:t>
      </w:r>
      <w:r w:rsidR="00CD2FD7" w:rsidRPr="006B15A5">
        <w:rPr>
          <w:rFonts w:eastAsiaTheme="minorHAnsi" w:cs="Arial"/>
          <w:sz w:val="20"/>
          <w:szCs w:val="20"/>
        </w:rPr>
        <w:t xml:space="preserve">ouseholds in the treatment and control groups </w:t>
      </w:r>
      <w:r w:rsidR="00CD2FD7">
        <w:rPr>
          <w:rFonts w:eastAsiaTheme="minorHAnsi" w:cs="Arial"/>
          <w:sz w:val="20"/>
          <w:szCs w:val="20"/>
        </w:rPr>
        <w:t xml:space="preserve">indeed show similar characteristics (e.g., pre-treatment energy usage, household size and age, occupant characteristics) and </w:t>
      </w:r>
      <w:r w:rsidR="00CD2FD7" w:rsidRPr="006B15A5">
        <w:rPr>
          <w:rFonts w:eastAsiaTheme="minorHAnsi" w:cs="Arial"/>
          <w:sz w:val="20"/>
          <w:szCs w:val="20"/>
        </w:rPr>
        <w:t>are treated in the same fashion with respect to all other utility interactions.</w:t>
      </w:r>
      <w:r w:rsidR="00CD2FD7">
        <w:rPr>
          <w:rFonts w:eastAsiaTheme="minorHAnsi" w:cs="Arial"/>
          <w:sz w:val="20"/>
          <w:szCs w:val="20"/>
        </w:rPr>
        <w:t xml:space="preserve"> Therefore</w:t>
      </w:r>
      <w:r w:rsidR="00CB1266">
        <w:rPr>
          <w:rFonts w:eastAsiaTheme="minorHAnsi" w:cs="Arial"/>
          <w:sz w:val="20"/>
          <w:szCs w:val="20"/>
        </w:rPr>
        <w:t xml:space="preserve">, </w:t>
      </w:r>
      <w:r w:rsidR="00CB1266" w:rsidRPr="006B15A5">
        <w:rPr>
          <w:rFonts w:eastAsiaTheme="minorHAnsi" w:cs="Arial"/>
          <w:sz w:val="20"/>
          <w:szCs w:val="20"/>
        </w:rPr>
        <w:t xml:space="preserve">the experimental design can </w:t>
      </w:r>
      <w:r w:rsidR="00CB1266">
        <w:rPr>
          <w:rFonts w:eastAsiaTheme="minorHAnsi" w:cs="Arial"/>
          <w:sz w:val="20"/>
          <w:szCs w:val="20"/>
        </w:rPr>
        <w:t>test</w:t>
      </w:r>
      <w:r w:rsidR="00CB1266" w:rsidRPr="006B15A5">
        <w:rPr>
          <w:rFonts w:eastAsiaTheme="minorHAnsi" w:cs="Arial"/>
          <w:sz w:val="20"/>
          <w:szCs w:val="20"/>
        </w:rPr>
        <w:t xml:space="preserve"> the hypothesis </w:t>
      </w:r>
      <w:r w:rsidR="00CD2FD7">
        <w:rPr>
          <w:rFonts w:eastAsiaTheme="minorHAnsi" w:cs="Arial"/>
          <w:sz w:val="20"/>
          <w:szCs w:val="20"/>
        </w:rPr>
        <w:t xml:space="preserve">whether </w:t>
      </w:r>
      <w:r w:rsidR="00CB1266">
        <w:rPr>
          <w:rFonts w:eastAsiaTheme="minorHAnsi" w:cs="Arial"/>
          <w:sz w:val="20"/>
          <w:szCs w:val="20"/>
        </w:rPr>
        <w:t xml:space="preserve">the reports </w:t>
      </w:r>
      <w:r w:rsidR="00CD2FD7">
        <w:rPr>
          <w:rFonts w:eastAsiaTheme="minorHAnsi" w:cs="Arial"/>
          <w:sz w:val="20"/>
          <w:szCs w:val="20"/>
        </w:rPr>
        <w:t xml:space="preserve">cause </w:t>
      </w:r>
      <w:r w:rsidR="00CB1266" w:rsidRPr="006B15A5">
        <w:rPr>
          <w:rFonts w:eastAsiaTheme="minorHAnsi" w:cs="Arial"/>
          <w:sz w:val="20"/>
          <w:szCs w:val="20"/>
        </w:rPr>
        <w:t>energy savings</w:t>
      </w:r>
      <w:r w:rsidR="00DC1EC8">
        <w:rPr>
          <w:rFonts w:eastAsiaTheme="minorHAnsi" w:cs="Arial"/>
          <w:sz w:val="20"/>
          <w:szCs w:val="20"/>
        </w:rPr>
        <w:t xml:space="preserve"> and peak demand reduction</w:t>
      </w:r>
      <w:r w:rsidR="00CB1266" w:rsidRPr="006B15A5">
        <w:rPr>
          <w:rFonts w:eastAsiaTheme="minorHAnsi" w:cs="Arial"/>
          <w:sz w:val="20"/>
          <w:szCs w:val="20"/>
        </w:rPr>
        <w:t xml:space="preserve"> in the treatment group</w:t>
      </w:r>
      <w:r w:rsidR="00CB1266">
        <w:rPr>
          <w:rFonts w:eastAsiaTheme="minorHAnsi" w:cs="Arial"/>
          <w:sz w:val="20"/>
          <w:szCs w:val="20"/>
        </w:rPr>
        <w:t>.</w:t>
      </w:r>
      <w:r w:rsidR="00CB1266" w:rsidRPr="006B15A5">
        <w:rPr>
          <w:rFonts w:eastAsiaTheme="minorHAnsi" w:cs="Arial"/>
          <w:sz w:val="20"/>
          <w:szCs w:val="20"/>
        </w:rPr>
        <w:t xml:space="preserve"> </w:t>
      </w:r>
      <w:r w:rsidR="00CB0D2B">
        <w:rPr>
          <w:rFonts w:eastAsiaTheme="minorHAnsi" w:cs="Arial"/>
          <w:sz w:val="20"/>
          <w:szCs w:val="20"/>
        </w:rPr>
        <w:t>The r</w:t>
      </w:r>
      <w:r w:rsidR="00CB1266">
        <w:rPr>
          <w:rFonts w:eastAsiaTheme="minorHAnsi" w:cs="Arial"/>
          <w:sz w:val="20"/>
          <w:szCs w:val="20"/>
        </w:rPr>
        <w:t xml:space="preserve">andomized control </w:t>
      </w:r>
      <w:r w:rsidR="00CB0D2B">
        <w:rPr>
          <w:rFonts w:eastAsiaTheme="minorHAnsi" w:cs="Arial"/>
          <w:sz w:val="20"/>
          <w:szCs w:val="20"/>
        </w:rPr>
        <w:t xml:space="preserve">trial methodology </w:t>
      </w:r>
      <w:r w:rsidR="00CB1266">
        <w:rPr>
          <w:rFonts w:eastAsiaTheme="minorHAnsi" w:cs="Arial"/>
          <w:sz w:val="20"/>
          <w:szCs w:val="20"/>
        </w:rPr>
        <w:t>provides a comparison group so that the effectiveness of the treatment can be determined with precision.</w:t>
      </w:r>
      <w:r w:rsidR="00C76F0C">
        <w:rPr>
          <w:rFonts w:eastAsiaTheme="minorHAnsi" w:cs="Arial"/>
          <w:sz w:val="20"/>
          <w:szCs w:val="20"/>
        </w:rPr>
        <w:t xml:space="preserve"> </w:t>
      </w:r>
      <w:r w:rsidR="00E321C0">
        <w:rPr>
          <w:rFonts w:eastAsiaTheme="minorHAnsi" w:cs="Arial"/>
          <w:sz w:val="20"/>
          <w:szCs w:val="20"/>
        </w:rPr>
        <w:t>Since the set of household’s</w:t>
      </w:r>
      <w:r w:rsidR="00C76F0C">
        <w:rPr>
          <w:rFonts w:eastAsiaTheme="minorHAnsi" w:cs="Arial"/>
          <w:sz w:val="20"/>
          <w:szCs w:val="20"/>
        </w:rPr>
        <w:t xml:space="preserve"> character</w:t>
      </w:r>
      <w:r w:rsidR="00C76F0C" w:rsidRPr="00407069">
        <w:rPr>
          <w:rFonts w:eastAsiaTheme="minorHAnsi" w:cs="Arial"/>
          <w:sz w:val="20"/>
          <w:szCs w:val="20"/>
        </w:rPr>
        <w:t xml:space="preserve">istics of each </w:t>
      </w:r>
      <w:r w:rsidR="00CD2FD7" w:rsidRPr="00407069">
        <w:rPr>
          <w:rFonts w:eastAsiaTheme="minorHAnsi" w:cs="Arial"/>
          <w:sz w:val="20"/>
          <w:szCs w:val="20"/>
        </w:rPr>
        <w:t>control group</w:t>
      </w:r>
      <w:r w:rsidR="00C76F0C" w:rsidRPr="00407069">
        <w:rPr>
          <w:rFonts w:eastAsiaTheme="minorHAnsi" w:cs="Arial"/>
          <w:sz w:val="20"/>
          <w:szCs w:val="20"/>
        </w:rPr>
        <w:t xml:space="preserve"> </w:t>
      </w:r>
      <w:r w:rsidR="00E321C0" w:rsidRPr="00407069">
        <w:rPr>
          <w:rFonts w:eastAsiaTheme="minorHAnsi" w:cs="Arial"/>
          <w:sz w:val="20"/>
          <w:szCs w:val="20"/>
        </w:rPr>
        <w:t>is unique</w:t>
      </w:r>
      <w:r w:rsidR="00C76F0C" w:rsidRPr="00407069">
        <w:rPr>
          <w:rFonts w:eastAsiaTheme="minorHAnsi" w:cs="Arial"/>
          <w:sz w:val="20"/>
          <w:szCs w:val="20"/>
        </w:rPr>
        <w:t xml:space="preserve">, savings for each experiment must be calculated </w:t>
      </w:r>
      <w:r w:rsidR="00CD2FD7" w:rsidRPr="00407069">
        <w:rPr>
          <w:rFonts w:eastAsiaTheme="minorHAnsi" w:cs="Arial"/>
          <w:sz w:val="20"/>
          <w:szCs w:val="20"/>
        </w:rPr>
        <w:t xml:space="preserve">independently and </w:t>
      </w:r>
      <w:r w:rsidR="00C76F0C" w:rsidRPr="00407069">
        <w:rPr>
          <w:rFonts w:eastAsiaTheme="minorHAnsi" w:cs="Arial"/>
          <w:sz w:val="20"/>
          <w:szCs w:val="20"/>
        </w:rPr>
        <w:t xml:space="preserve">on an </w:t>
      </w:r>
      <w:r w:rsidR="00C76F0C" w:rsidRPr="00407069">
        <w:rPr>
          <w:rFonts w:eastAsiaTheme="minorHAnsi" w:cs="Arial"/>
          <w:i/>
          <w:sz w:val="20"/>
          <w:szCs w:val="20"/>
        </w:rPr>
        <w:t>ex</w:t>
      </w:r>
      <w:r w:rsidR="00CD2FD7" w:rsidRPr="00407069">
        <w:rPr>
          <w:rFonts w:eastAsiaTheme="minorHAnsi" w:cs="Arial"/>
          <w:i/>
          <w:sz w:val="20"/>
          <w:szCs w:val="20"/>
        </w:rPr>
        <w:t>-</w:t>
      </w:r>
      <w:r w:rsidR="00C76F0C" w:rsidRPr="00407069">
        <w:rPr>
          <w:rFonts w:eastAsiaTheme="minorHAnsi" w:cs="Arial"/>
          <w:i/>
          <w:sz w:val="20"/>
          <w:szCs w:val="20"/>
        </w:rPr>
        <w:t>post</w:t>
      </w:r>
      <w:r w:rsidR="00C76F0C" w:rsidRPr="00407069">
        <w:rPr>
          <w:rFonts w:eastAsiaTheme="minorHAnsi" w:cs="Arial"/>
          <w:sz w:val="20"/>
          <w:szCs w:val="20"/>
        </w:rPr>
        <w:t xml:space="preserve"> basis.</w:t>
      </w:r>
    </w:p>
    <w:p w:rsidR="00CB1266" w:rsidRPr="00407069" w:rsidRDefault="00CB1266" w:rsidP="00CB1266">
      <w:pPr>
        <w:rPr>
          <w:rFonts w:eastAsiaTheme="minorHAnsi" w:cs="Arial"/>
          <w:sz w:val="20"/>
          <w:szCs w:val="20"/>
        </w:rPr>
      </w:pPr>
    </w:p>
    <w:p w:rsidR="006B15A5" w:rsidRPr="00CB0D2B" w:rsidRDefault="006B15A5" w:rsidP="00771691">
      <w:pPr>
        <w:rPr>
          <w:rFonts w:eastAsiaTheme="minorHAnsi" w:cs="Arial"/>
          <w:sz w:val="20"/>
          <w:szCs w:val="20"/>
        </w:rPr>
      </w:pPr>
      <w:r w:rsidRPr="00407069">
        <w:rPr>
          <w:rFonts w:eastAsiaTheme="minorHAnsi" w:cs="Arial"/>
          <w:sz w:val="20"/>
          <w:szCs w:val="20"/>
        </w:rPr>
        <w:t xml:space="preserve">A number of independent evaluations of comparative usage programs around the country </w:t>
      </w:r>
      <w:r w:rsidR="005A1336" w:rsidRPr="00407069">
        <w:rPr>
          <w:rFonts w:eastAsiaTheme="minorHAnsi" w:cs="Arial"/>
          <w:sz w:val="20"/>
          <w:szCs w:val="20"/>
        </w:rPr>
        <w:t>provide</w:t>
      </w:r>
      <w:r w:rsidR="00CB1266" w:rsidRPr="00407069">
        <w:rPr>
          <w:rFonts w:eastAsiaTheme="minorHAnsi" w:cs="Arial"/>
          <w:sz w:val="20"/>
          <w:szCs w:val="20"/>
        </w:rPr>
        <w:t xml:space="preserve"> evidence of their effectiveness in </w:t>
      </w:r>
      <w:r w:rsidRPr="00407069">
        <w:rPr>
          <w:rFonts w:eastAsiaTheme="minorHAnsi" w:cs="Arial"/>
          <w:sz w:val="20"/>
          <w:szCs w:val="20"/>
        </w:rPr>
        <w:t xml:space="preserve">reducing energy </w:t>
      </w:r>
      <w:r w:rsidR="00C76F0C" w:rsidRPr="00407069">
        <w:rPr>
          <w:rFonts w:eastAsiaTheme="minorHAnsi" w:cs="Arial"/>
          <w:sz w:val="20"/>
          <w:szCs w:val="20"/>
        </w:rPr>
        <w:t xml:space="preserve">use and peak </w:t>
      </w:r>
      <w:r w:rsidRPr="00407069">
        <w:rPr>
          <w:rFonts w:eastAsiaTheme="minorHAnsi" w:cs="Arial"/>
          <w:sz w:val="20"/>
          <w:szCs w:val="20"/>
        </w:rPr>
        <w:t xml:space="preserve">demand. </w:t>
      </w:r>
      <w:r w:rsidR="00CB1266" w:rsidRPr="00407069">
        <w:rPr>
          <w:rFonts w:eastAsiaTheme="minorHAnsi" w:cs="Arial"/>
          <w:sz w:val="20"/>
          <w:szCs w:val="20"/>
        </w:rPr>
        <w:t>A meta-analysis of HER programs conducted by</w:t>
      </w:r>
      <w:r w:rsidR="00E321C0" w:rsidRPr="00407069">
        <w:rPr>
          <w:rFonts w:eastAsiaTheme="minorHAnsi" w:cs="Arial"/>
          <w:sz w:val="20"/>
          <w:szCs w:val="20"/>
        </w:rPr>
        <w:t xml:space="preserve"> the</w:t>
      </w:r>
      <w:r w:rsidR="00CB1266" w:rsidRPr="00407069">
        <w:rPr>
          <w:rFonts w:eastAsiaTheme="minorHAnsi" w:cs="Arial"/>
          <w:sz w:val="20"/>
          <w:szCs w:val="20"/>
        </w:rPr>
        <w:t xml:space="preserve"> Environmental Defense Fund demonstrates that households receiving the reports </w:t>
      </w:r>
      <w:r w:rsidRPr="00407069">
        <w:rPr>
          <w:rFonts w:eastAsiaTheme="minorHAnsi" w:cs="Arial"/>
          <w:sz w:val="20"/>
          <w:szCs w:val="20"/>
        </w:rPr>
        <w:t>reduce energy demand by 1.8% on average, with the effectiveness of individual programs ranging from 0.9% to 2.9%.</w:t>
      </w:r>
    </w:p>
    <w:p w:rsidR="00CB1266" w:rsidRPr="006B15A5" w:rsidRDefault="00CB1266" w:rsidP="00771691">
      <w:pPr>
        <w:rPr>
          <w:rFonts w:eastAsiaTheme="minorHAnsi" w:cs="Arial"/>
          <w:sz w:val="20"/>
          <w:szCs w:val="20"/>
        </w:rPr>
      </w:pPr>
    </w:p>
    <w:p w:rsidR="006B15A5" w:rsidRPr="006B15A5" w:rsidRDefault="006B15A5" w:rsidP="00771691">
      <w:pPr>
        <w:rPr>
          <w:rFonts w:eastAsiaTheme="minorHAnsi" w:cs="Arial"/>
          <w:sz w:val="20"/>
          <w:szCs w:val="20"/>
        </w:rPr>
      </w:pPr>
      <w:r w:rsidRPr="006B15A5">
        <w:rPr>
          <w:rFonts w:eastAsiaTheme="minorHAnsi" w:cs="Arial"/>
          <w:sz w:val="20"/>
          <w:szCs w:val="20"/>
        </w:rPr>
        <w:t xml:space="preserve">The </w:t>
      </w:r>
      <w:r w:rsidR="00CB1266">
        <w:rPr>
          <w:rFonts w:eastAsiaTheme="minorHAnsi" w:cs="Arial"/>
          <w:sz w:val="20"/>
          <w:szCs w:val="20"/>
        </w:rPr>
        <w:t xml:space="preserve">HER </w:t>
      </w:r>
      <w:r w:rsidRPr="006B15A5">
        <w:rPr>
          <w:rFonts w:eastAsiaTheme="minorHAnsi" w:cs="Arial"/>
          <w:sz w:val="20"/>
          <w:szCs w:val="20"/>
        </w:rPr>
        <w:t>experiments are keyed to accounts</w:t>
      </w:r>
      <w:r w:rsidR="00A932F7">
        <w:rPr>
          <w:rFonts w:eastAsiaTheme="minorHAnsi" w:cs="Arial"/>
          <w:sz w:val="20"/>
          <w:szCs w:val="20"/>
        </w:rPr>
        <w:t xml:space="preserve"> and premises</w:t>
      </w:r>
      <w:r w:rsidR="00CB0D2B">
        <w:rPr>
          <w:rFonts w:eastAsiaTheme="minorHAnsi" w:cs="Arial"/>
          <w:sz w:val="20"/>
          <w:szCs w:val="20"/>
        </w:rPr>
        <w:t>,</w:t>
      </w:r>
      <w:r w:rsidRPr="006B15A5">
        <w:rPr>
          <w:rFonts w:eastAsiaTheme="minorHAnsi" w:cs="Arial"/>
          <w:sz w:val="20"/>
          <w:szCs w:val="20"/>
        </w:rPr>
        <w:t xml:space="preserve"> not meters</w:t>
      </w:r>
      <w:r w:rsidR="00CB0D2B">
        <w:rPr>
          <w:rFonts w:eastAsiaTheme="minorHAnsi" w:cs="Arial"/>
          <w:sz w:val="20"/>
          <w:szCs w:val="20"/>
        </w:rPr>
        <w:t>,</w:t>
      </w:r>
      <w:r w:rsidRPr="006B15A5">
        <w:rPr>
          <w:rFonts w:eastAsiaTheme="minorHAnsi" w:cs="Arial"/>
          <w:sz w:val="20"/>
          <w:szCs w:val="20"/>
        </w:rPr>
        <w:t xml:space="preserve"> so that attrition among participants can be taken into account.</w:t>
      </w:r>
      <w:r w:rsidR="00E321C0">
        <w:rPr>
          <w:rFonts w:eastAsiaTheme="minorHAnsi" w:cs="Arial"/>
          <w:sz w:val="20"/>
          <w:szCs w:val="20"/>
        </w:rPr>
        <w:t xml:space="preserve"> Attrition has two origins</w:t>
      </w:r>
      <w:r w:rsidR="004F7E62">
        <w:rPr>
          <w:rFonts w:eastAsiaTheme="minorHAnsi" w:cs="Arial"/>
          <w:sz w:val="20"/>
          <w:szCs w:val="20"/>
        </w:rPr>
        <w:t>:</w:t>
      </w:r>
    </w:p>
    <w:p w:rsidR="00B87004" w:rsidRDefault="00E321C0" w:rsidP="00771691">
      <w:pPr>
        <w:numPr>
          <w:ilvl w:val="0"/>
          <w:numId w:val="27"/>
        </w:numPr>
        <w:contextualSpacing/>
        <w:rPr>
          <w:rFonts w:eastAsiaTheme="minorHAnsi" w:cs="Arial"/>
          <w:sz w:val="20"/>
          <w:szCs w:val="20"/>
        </w:rPr>
      </w:pPr>
      <w:r>
        <w:rPr>
          <w:rFonts w:eastAsiaTheme="minorHAnsi" w:cs="Arial"/>
          <w:sz w:val="20"/>
          <w:szCs w:val="20"/>
        </w:rPr>
        <w:t>“Opt-outs”, i.e. h</w:t>
      </w:r>
      <w:r w:rsidR="004F7E62">
        <w:rPr>
          <w:rFonts w:eastAsiaTheme="minorHAnsi" w:cs="Arial"/>
          <w:sz w:val="20"/>
          <w:szCs w:val="20"/>
        </w:rPr>
        <w:t>ouseholds requesting not to receive the reports</w:t>
      </w:r>
      <w:r w:rsidR="00D21B0A">
        <w:rPr>
          <w:rFonts w:eastAsiaTheme="minorHAnsi" w:cs="Arial"/>
          <w:sz w:val="20"/>
          <w:szCs w:val="20"/>
        </w:rPr>
        <w:t xml:space="preserve"> any longer</w:t>
      </w:r>
      <w:r w:rsidR="004F7E62">
        <w:rPr>
          <w:rFonts w:eastAsiaTheme="minorHAnsi" w:cs="Arial"/>
          <w:sz w:val="20"/>
          <w:szCs w:val="20"/>
        </w:rPr>
        <w:t>. The HER experiments are</w:t>
      </w:r>
      <w:r w:rsidR="00BF0815">
        <w:rPr>
          <w:rFonts w:eastAsiaTheme="minorHAnsi" w:cs="Arial"/>
          <w:sz w:val="20"/>
          <w:szCs w:val="20"/>
        </w:rPr>
        <w:t xml:space="preserve"> indeed</w:t>
      </w:r>
      <w:r w:rsidR="004F7E62">
        <w:rPr>
          <w:rFonts w:eastAsiaTheme="minorHAnsi" w:cs="Arial"/>
          <w:sz w:val="20"/>
          <w:szCs w:val="20"/>
        </w:rPr>
        <w:t xml:space="preserve"> run on an opt-out basis. </w:t>
      </w:r>
      <w:r w:rsidR="00BF0815">
        <w:rPr>
          <w:rFonts w:eastAsiaTheme="minorHAnsi" w:cs="Arial"/>
          <w:sz w:val="20"/>
          <w:szCs w:val="20"/>
        </w:rPr>
        <w:t xml:space="preserve">A </w:t>
      </w:r>
      <w:r w:rsidR="004F7E62">
        <w:rPr>
          <w:rFonts w:eastAsiaTheme="minorHAnsi" w:cs="Arial"/>
          <w:sz w:val="20"/>
          <w:szCs w:val="20"/>
        </w:rPr>
        <w:t xml:space="preserve">group of </w:t>
      </w:r>
      <w:r w:rsidR="00BF0815">
        <w:rPr>
          <w:rFonts w:eastAsiaTheme="minorHAnsi" w:cs="Arial"/>
          <w:sz w:val="20"/>
          <w:szCs w:val="20"/>
        </w:rPr>
        <w:t xml:space="preserve">eligible </w:t>
      </w:r>
      <w:r w:rsidR="00CB0D2B">
        <w:rPr>
          <w:rFonts w:eastAsiaTheme="minorHAnsi" w:cs="Arial"/>
          <w:sz w:val="20"/>
          <w:szCs w:val="20"/>
        </w:rPr>
        <w:t xml:space="preserve">residential customers </w:t>
      </w:r>
      <w:r w:rsidR="00BF0815">
        <w:rPr>
          <w:rFonts w:eastAsiaTheme="minorHAnsi" w:cs="Arial"/>
          <w:sz w:val="20"/>
          <w:szCs w:val="20"/>
        </w:rPr>
        <w:t xml:space="preserve">is </w:t>
      </w:r>
      <w:r w:rsidR="004F7E62">
        <w:rPr>
          <w:rFonts w:eastAsiaTheme="minorHAnsi" w:cs="Arial"/>
          <w:sz w:val="20"/>
          <w:szCs w:val="20"/>
        </w:rPr>
        <w:t>randomly assigned to either treatment or control conditions</w:t>
      </w:r>
      <w:r w:rsidR="004404CA">
        <w:rPr>
          <w:rFonts w:eastAsiaTheme="minorHAnsi" w:cs="Arial"/>
          <w:sz w:val="20"/>
          <w:szCs w:val="20"/>
        </w:rPr>
        <w:t xml:space="preserve"> without th</w:t>
      </w:r>
      <w:r w:rsidR="00BF0815">
        <w:rPr>
          <w:rFonts w:eastAsiaTheme="minorHAnsi" w:cs="Arial"/>
          <w:sz w:val="20"/>
          <w:szCs w:val="20"/>
        </w:rPr>
        <w:t xml:space="preserve">eir prior knowledge or approval. However, they </w:t>
      </w:r>
      <w:r w:rsidR="004404CA">
        <w:rPr>
          <w:rFonts w:eastAsiaTheme="minorHAnsi" w:cs="Arial"/>
          <w:sz w:val="20"/>
          <w:szCs w:val="20"/>
        </w:rPr>
        <w:t>are allowed to opt-out when desired (</w:t>
      </w:r>
      <w:r w:rsidR="00CC230F">
        <w:rPr>
          <w:rFonts w:eastAsiaTheme="minorHAnsi" w:cs="Arial"/>
          <w:sz w:val="20"/>
          <w:szCs w:val="20"/>
        </w:rPr>
        <w:t xml:space="preserve">i.e. </w:t>
      </w:r>
      <w:r w:rsidR="004404CA">
        <w:rPr>
          <w:rFonts w:eastAsiaTheme="minorHAnsi" w:cs="Arial"/>
          <w:sz w:val="20"/>
          <w:szCs w:val="20"/>
        </w:rPr>
        <w:t>reports are stopped being sent)</w:t>
      </w:r>
      <w:r w:rsidR="004F7E62">
        <w:rPr>
          <w:rFonts w:eastAsiaTheme="minorHAnsi" w:cs="Arial"/>
          <w:sz w:val="20"/>
          <w:szCs w:val="20"/>
        </w:rPr>
        <w:t xml:space="preserve">. </w:t>
      </w:r>
      <w:r w:rsidR="00BE0E3A">
        <w:rPr>
          <w:rFonts w:eastAsiaTheme="minorHAnsi" w:cs="Arial"/>
          <w:sz w:val="20"/>
          <w:szCs w:val="20"/>
        </w:rPr>
        <w:t>As of February 2017, a total of a</w:t>
      </w:r>
      <w:r w:rsidR="004F7E62">
        <w:rPr>
          <w:rFonts w:eastAsiaTheme="minorHAnsi" w:cs="Arial"/>
          <w:sz w:val="20"/>
          <w:szCs w:val="20"/>
        </w:rPr>
        <w:t xml:space="preserve">bout half </w:t>
      </w:r>
      <w:r w:rsidR="00D21B0A">
        <w:rPr>
          <w:rFonts w:eastAsiaTheme="minorHAnsi" w:cs="Arial"/>
          <w:sz w:val="20"/>
          <w:szCs w:val="20"/>
        </w:rPr>
        <w:t xml:space="preserve">a </w:t>
      </w:r>
      <w:r w:rsidR="004F7E62">
        <w:rPr>
          <w:rFonts w:eastAsiaTheme="minorHAnsi" w:cs="Arial"/>
          <w:sz w:val="20"/>
          <w:szCs w:val="20"/>
        </w:rPr>
        <w:t>percent (</w:t>
      </w:r>
      <w:r w:rsidR="00CB1266">
        <w:rPr>
          <w:rFonts w:eastAsiaTheme="minorHAnsi" w:cs="Arial"/>
          <w:sz w:val="20"/>
          <w:szCs w:val="20"/>
        </w:rPr>
        <w:t>0.5%</w:t>
      </w:r>
      <w:r w:rsidR="004F7E62">
        <w:rPr>
          <w:rFonts w:eastAsiaTheme="minorHAnsi" w:cs="Arial"/>
          <w:sz w:val="20"/>
          <w:szCs w:val="20"/>
        </w:rPr>
        <w:t xml:space="preserve">) of treatment households </w:t>
      </w:r>
      <w:r w:rsidR="00CC230F">
        <w:rPr>
          <w:rFonts w:eastAsiaTheme="minorHAnsi" w:cs="Arial"/>
          <w:sz w:val="20"/>
          <w:szCs w:val="20"/>
        </w:rPr>
        <w:t xml:space="preserve">had </w:t>
      </w:r>
      <w:r w:rsidR="00BE0E3A">
        <w:rPr>
          <w:rFonts w:eastAsiaTheme="minorHAnsi" w:cs="Arial"/>
          <w:sz w:val="20"/>
          <w:szCs w:val="20"/>
        </w:rPr>
        <w:t>opted-out</w:t>
      </w:r>
      <w:r w:rsidR="007B0C91">
        <w:rPr>
          <w:rFonts w:eastAsiaTheme="minorHAnsi" w:cs="Arial"/>
          <w:sz w:val="20"/>
          <w:szCs w:val="20"/>
        </w:rPr>
        <w:t xml:space="preserve"> since the inception of the program</w:t>
      </w:r>
      <w:r w:rsidR="006B15A5" w:rsidRPr="006B15A5">
        <w:rPr>
          <w:rFonts w:eastAsiaTheme="minorHAnsi" w:cs="Arial"/>
          <w:sz w:val="20"/>
          <w:szCs w:val="20"/>
        </w:rPr>
        <w:t xml:space="preserve">. </w:t>
      </w:r>
      <w:r w:rsidR="00B87004">
        <w:rPr>
          <w:rFonts w:eastAsiaTheme="minorHAnsi" w:cs="Arial"/>
          <w:sz w:val="20"/>
          <w:szCs w:val="20"/>
        </w:rPr>
        <w:t xml:space="preserve">Since households opting out of the program </w:t>
      </w:r>
      <w:r w:rsidR="00F9529D">
        <w:rPr>
          <w:rFonts w:eastAsiaTheme="minorHAnsi" w:cs="Arial"/>
          <w:sz w:val="20"/>
          <w:szCs w:val="20"/>
        </w:rPr>
        <w:t xml:space="preserve">have </w:t>
      </w:r>
      <w:r w:rsidR="00B87004">
        <w:rPr>
          <w:rFonts w:eastAsiaTheme="minorHAnsi" w:cs="Arial"/>
          <w:sz w:val="20"/>
          <w:szCs w:val="20"/>
        </w:rPr>
        <w:t>receive</w:t>
      </w:r>
      <w:r w:rsidR="00F9529D">
        <w:rPr>
          <w:rFonts w:eastAsiaTheme="minorHAnsi" w:cs="Arial"/>
          <w:sz w:val="20"/>
          <w:szCs w:val="20"/>
        </w:rPr>
        <w:t>d</w:t>
      </w:r>
      <w:r w:rsidR="00B87004">
        <w:rPr>
          <w:rFonts w:eastAsiaTheme="minorHAnsi" w:cs="Arial"/>
          <w:sz w:val="20"/>
          <w:szCs w:val="20"/>
        </w:rPr>
        <w:t xml:space="preserve"> at least one report, they are </w:t>
      </w:r>
      <w:r w:rsidR="004F7E62">
        <w:rPr>
          <w:rFonts w:eastAsiaTheme="minorHAnsi" w:cs="Arial"/>
          <w:sz w:val="20"/>
          <w:szCs w:val="20"/>
        </w:rPr>
        <w:t xml:space="preserve">considered to have </w:t>
      </w:r>
      <w:r w:rsidR="007D5024">
        <w:rPr>
          <w:rFonts w:eastAsiaTheme="minorHAnsi" w:cs="Arial"/>
          <w:sz w:val="20"/>
          <w:szCs w:val="20"/>
        </w:rPr>
        <w:t xml:space="preserve">been treated. Therefore, </w:t>
      </w:r>
      <w:r w:rsidR="004F7E62">
        <w:rPr>
          <w:rFonts w:eastAsiaTheme="minorHAnsi" w:cs="Arial"/>
          <w:sz w:val="20"/>
          <w:szCs w:val="20"/>
        </w:rPr>
        <w:t xml:space="preserve">they are </w:t>
      </w:r>
      <w:r w:rsidR="00B87004">
        <w:rPr>
          <w:rFonts w:eastAsiaTheme="minorHAnsi" w:cs="Arial"/>
          <w:sz w:val="20"/>
          <w:szCs w:val="20"/>
        </w:rPr>
        <w:t>retained in the experiment</w:t>
      </w:r>
      <w:r w:rsidR="004F7E62">
        <w:rPr>
          <w:rFonts w:eastAsiaTheme="minorHAnsi" w:cs="Arial"/>
          <w:sz w:val="20"/>
          <w:szCs w:val="20"/>
        </w:rPr>
        <w:t xml:space="preserve"> </w:t>
      </w:r>
      <w:r w:rsidR="007D5024">
        <w:rPr>
          <w:rFonts w:eastAsiaTheme="minorHAnsi" w:cs="Arial"/>
          <w:sz w:val="20"/>
          <w:szCs w:val="20"/>
        </w:rPr>
        <w:t xml:space="preserve">and are </w:t>
      </w:r>
      <w:r w:rsidR="004F7E62">
        <w:rPr>
          <w:rFonts w:eastAsiaTheme="minorHAnsi" w:cs="Arial"/>
          <w:sz w:val="20"/>
          <w:szCs w:val="20"/>
        </w:rPr>
        <w:t xml:space="preserve">included in the treatment group for the </w:t>
      </w:r>
      <w:r w:rsidR="004F7E62" w:rsidRPr="00916A9C">
        <w:rPr>
          <w:rFonts w:eastAsiaTheme="minorHAnsi" w:cs="Arial"/>
          <w:i/>
          <w:sz w:val="20"/>
          <w:szCs w:val="20"/>
        </w:rPr>
        <w:t>ex</w:t>
      </w:r>
      <w:r w:rsidR="007D5024" w:rsidRPr="00916A9C">
        <w:rPr>
          <w:rFonts w:eastAsiaTheme="minorHAnsi" w:cs="Arial"/>
          <w:i/>
          <w:sz w:val="20"/>
          <w:szCs w:val="20"/>
        </w:rPr>
        <w:t>-</w:t>
      </w:r>
      <w:r w:rsidR="004F7E62" w:rsidRPr="00916A9C">
        <w:rPr>
          <w:rFonts w:eastAsiaTheme="minorHAnsi" w:cs="Arial"/>
          <w:i/>
          <w:sz w:val="20"/>
          <w:szCs w:val="20"/>
        </w:rPr>
        <w:t>post</w:t>
      </w:r>
      <w:r w:rsidR="004F7E62">
        <w:rPr>
          <w:rFonts w:eastAsiaTheme="minorHAnsi" w:cs="Arial"/>
          <w:sz w:val="20"/>
          <w:szCs w:val="20"/>
        </w:rPr>
        <w:t xml:space="preserve"> billing analysis</w:t>
      </w:r>
      <w:r w:rsidR="00664D52">
        <w:rPr>
          <w:rFonts w:eastAsiaTheme="minorHAnsi" w:cs="Arial"/>
          <w:sz w:val="20"/>
          <w:szCs w:val="20"/>
        </w:rPr>
        <w:t xml:space="preserve"> until they move </w:t>
      </w:r>
      <w:r w:rsidR="00A06021">
        <w:rPr>
          <w:rFonts w:eastAsiaTheme="minorHAnsi" w:cs="Arial"/>
          <w:sz w:val="20"/>
          <w:szCs w:val="20"/>
        </w:rPr>
        <w:t xml:space="preserve">away </w:t>
      </w:r>
      <w:r w:rsidR="00664D52">
        <w:rPr>
          <w:rFonts w:eastAsiaTheme="minorHAnsi" w:cs="Arial"/>
          <w:sz w:val="20"/>
          <w:szCs w:val="20"/>
        </w:rPr>
        <w:t>from their residence (“move-outs”);</w:t>
      </w:r>
    </w:p>
    <w:p w:rsidR="006B15A5" w:rsidRPr="00616BCC" w:rsidRDefault="004F7E62" w:rsidP="00616BCC">
      <w:pPr>
        <w:numPr>
          <w:ilvl w:val="0"/>
          <w:numId w:val="27"/>
        </w:numPr>
        <w:contextualSpacing/>
        <w:rPr>
          <w:rFonts w:eastAsiaTheme="minorHAnsi" w:cs="Arial"/>
          <w:sz w:val="20"/>
          <w:szCs w:val="20"/>
        </w:rPr>
      </w:pPr>
      <w:r w:rsidRPr="00616BCC">
        <w:rPr>
          <w:rFonts w:eastAsiaTheme="minorHAnsi" w:cs="Arial"/>
          <w:sz w:val="20"/>
          <w:szCs w:val="20"/>
        </w:rPr>
        <w:t>General attrition</w:t>
      </w:r>
      <w:r w:rsidR="00186C16" w:rsidRPr="00616BCC">
        <w:rPr>
          <w:rFonts w:eastAsiaTheme="minorHAnsi" w:cs="Arial"/>
          <w:sz w:val="20"/>
          <w:szCs w:val="20"/>
        </w:rPr>
        <w:t xml:space="preserve"> is based on customers </w:t>
      </w:r>
      <w:r w:rsidRPr="00616BCC">
        <w:rPr>
          <w:rFonts w:eastAsiaTheme="minorHAnsi" w:cs="Arial"/>
          <w:sz w:val="20"/>
          <w:szCs w:val="20"/>
        </w:rPr>
        <w:t xml:space="preserve">that move away from their residence (e.g., </w:t>
      </w:r>
      <w:r w:rsidR="006B15A5" w:rsidRPr="00616BCC">
        <w:rPr>
          <w:rFonts w:eastAsiaTheme="minorHAnsi" w:cs="Arial"/>
          <w:sz w:val="20"/>
          <w:szCs w:val="20"/>
        </w:rPr>
        <w:t xml:space="preserve">moving, change of </w:t>
      </w:r>
      <w:r w:rsidRPr="00616BCC">
        <w:rPr>
          <w:rFonts w:eastAsiaTheme="minorHAnsi" w:cs="Arial"/>
          <w:sz w:val="20"/>
          <w:szCs w:val="20"/>
        </w:rPr>
        <w:t xml:space="preserve">utility billing address). </w:t>
      </w:r>
      <w:r w:rsidR="00186C16" w:rsidRPr="00616BCC">
        <w:rPr>
          <w:rFonts w:eastAsiaTheme="minorHAnsi" w:cs="Arial"/>
          <w:sz w:val="20"/>
          <w:szCs w:val="20"/>
        </w:rPr>
        <w:t xml:space="preserve">The observed annual attrition rate </w:t>
      </w:r>
      <w:r w:rsidR="00616BCC" w:rsidRPr="00616BCC">
        <w:rPr>
          <w:rFonts w:eastAsiaTheme="minorHAnsi" w:cs="Arial"/>
          <w:sz w:val="20"/>
          <w:szCs w:val="20"/>
        </w:rPr>
        <w:t xml:space="preserve">of the treatment group </w:t>
      </w:r>
      <w:r w:rsidR="00186C16" w:rsidRPr="009226B9">
        <w:rPr>
          <w:rFonts w:eastAsiaTheme="minorHAnsi" w:cs="Arial"/>
          <w:sz w:val="20"/>
          <w:szCs w:val="20"/>
        </w:rPr>
        <w:t>in PG&amp;E</w:t>
      </w:r>
      <w:r w:rsidR="00616BCC" w:rsidRPr="009226B9">
        <w:rPr>
          <w:rFonts w:eastAsiaTheme="minorHAnsi" w:cs="Arial"/>
          <w:sz w:val="20"/>
          <w:szCs w:val="20"/>
        </w:rPr>
        <w:t>’s</w:t>
      </w:r>
      <w:r w:rsidR="00186C16" w:rsidRPr="009226B9">
        <w:rPr>
          <w:rFonts w:eastAsiaTheme="minorHAnsi" w:cs="Arial"/>
          <w:sz w:val="20"/>
          <w:szCs w:val="20"/>
        </w:rPr>
        <w:t xml:space="preserve"> experiments is </w:t>
      </w:r>
      <w:r w:rsidR="00616BCC" w:rsidRPr="00015D8B">
        <w:rPr>
          <w:rFonts w:eastAsiaTheme="minorHAnsi" w:cs="Arial"/>
          <w:sz w:val="20"/>
          <w:szCs w:val="20"/>
        </w:rPr>
        <w:t xml:space="preserve">between </w:t>
      </w:r>
      <w:r w:rsidR="00186C16" w:rsidRPr="00015D8B">
        <w:rPr>
          <w:rFonts w:eastAsiaTheme="minorHAnsi" w:cs="Arial"/>
          <w:sz w:val="20"/>
          <w:szCs w:val="20"/>
        </w:rPr>
        <w:t>7</w:t>
      </w:r>
      <w:r w:rsidR="00616BCC" w:rsidRPr="00015D8B">
        <w:rPr>
          <w:rFonts w:eastAsiaTheme="minorHAnsi" w:cs="Arial"/>
          <w:sz w:val="20"/>
          <w:szCs w:val="20"/>
        </w:rPr>
        <w:t xml:space="preserve">% and </w:t>
      </w:r>
      <w:r w:rsidR="00186C16" w:rsidRPr="00015D8B">
        <w:rPr>
          <w:rFonts w:eastAsiaTheme="minorHAnsi" w:cs="Arial"/>
          <w:sz w:val="20"/>
          <w:szCs w:val="20"/>
        </w:rPr>
        <w:t>13% per year and is consistent with the U.S.</w:t>
      </w:r>
      <w:r w:rsidR="006C0648">
        <w:rPr>
          <w:rFonts w:eastAsiaTheme="minorHAnsi" w:cs="Arial"/>
          <w:sz w:val="20"/>
          <w:szCs w:val="20"/>
        </w:rPr>
        <w:t xml:space="preserve"> Department of the Census data</w:t>
      </w:r>
      <w:r w:rsidR="00186C16" w:rsidRPr="00015D8B">
        <w:rPr>
          <w:rFonts w:eastAsiaTheme="minorHAnsi" w:cs="Arial"/>
          <w:sz w:val="20"/>
          <w:szCs w:val="20"/>
        </w:rPr>
        <w:t>.</w:t>
      </w:r>
      <w:r w:rsidR="00CB0D2B" w:rsidRPr="00FF35E7">
        <w:rPr>
          <w:rFonts w:eastAsiaTheme="minorHAnsi" w:cs="Arial"/>
          <w:sz w:val="20"/>
          <w:szCs w:val="20"/>
        </w:rPr>
        <w:t xml:space="preserve"> </w:t>
      </w:r>
      <w:r w:rsidR="00616BCC" w:rsidRPr="00BB3308">
        <w:rPr>
          <w:rFonts w:eastAsiaTheme="minorHAnsi" w:cs="Arial"/>
          <w:sz w:val="20"/>
          <w:szCs w:val="20"/>
        </w:rPr>
        <w:t>Attrition</w:t>
      </w:r>
      <w:r w:rsidR="00AE5880">
        <w:rPr>
          <w:rFonts w:eastAsiaTheme="minorHAnsi" w:cs="Arial"/>
          <w:sz w:val="20"/>
          <w:szCs w:val="20"/>
        </w:rPr>
        <w:t xml:space="preserve"> rate</w:t>
      </w:r>
      <w:r w:rsidR="00616BCC" w:rsidRPr="00BB3308">
        <w:rPr>
          <w:rFonts w:eastAsiaTheme="minorHAnsi" w:cs="Arial"/>
          <w:sz w:val="20"/>
          <w:szCs w:val="20"/>
        </w:rPr>
        <w:t xml:space="preserve"> </w:t>
      </w:r>
      <w:r w:rsidR="00CB0D2B" w:rsidRPr="00BB3308">
        <w:rPr>
          <w:rFonts w:eastAsiaTheme="minorHAnsi" w:cs="Arial"/>
          <w:sz w:val="20"/>
          <w:szCs w:val="20"/>
        </w:rPr>
        <w:t>depend</w:t>
      </w:r>
      <w:r w:rsidR="00965E8C">
        <w:rPr>
          <w:rFonts w:eastAsiaTheme="minorHAnsi" w:cs="Arial"/>
          <w:sz w:val="20"/>
          <w:szCs w:val="20"/>
        </w:rPr>
        <w:t>s</w:t>
      </w:r>
      <w:r w:rsidR="00CB0D2B" w:rsidRPr="00BB3308">
        <w:rPr>
          <w:rFonts w:eastAsiaTheme="minorHAnsi" w:cs="Arial"/>
          <w:sz w:val="20"/>
          <w:szCs w:val="20"/>
        </w:rPr>
        <w:t xml:space="preserve"> on the precise customer characteristics that define each experiment</w:t>
      </w:r>
      <w:r w:rsidR="006B15A5" w:rsidRPr="00BB3308">
        <w:rPr>
          <w:rFonts w:eastAsiaTheme="minorHAnsi" w:cs="Arial"/>
          <w:sz w:val="20"/>
          <w:szCs w:val="20"/>
        </w:rPr>
        <w:t xml:space="preserve">. </w:t>
      </w:r>
      <w:r w:rsidR="00AE5880">
        <w:rPr>
          <w:rFonts w:eastAsiaTheme="minorHAnsi" w:cs="Arial"/>
          <w:sz w:val="20"/>
          <w:szCs w:val="20"/>
        </w:rPr>
        <w:t xml:space="preserve">Experiments targeting electric-only customers show </w:t>
      </w:r>
      <w:r w:rsidR="003D6883">
        <w:rPr>
          <w:rFonts w:eastAsiaTheme="minorHAnsi" w:cs="Arial"/>
          <w:sz w:val="20"/>
          <w:szCs w:val="20"/>
        </w:rPr>
        <w:t>higher attrition rate</w:t>
      </w:r>
      <w:r w:rsidR="00AE5880">
        <w:rPr>
          <w:rFonts w:eastAsiaTheme="minorHAnsi" w:cs="Arial"/>
          <w:sz w:val="20"/>
          <w:szCs w:val="20"/>
        </w:rPr>
        <w:t xml:space="preserve"> </w:t>
      </w:r>
      <w:r w:rsidR="003D6883">
        <w:rPr>
          <w:rFonts w:eastAsiaTheme="minorHAnsi" w:cs="Arial"/>
          <w:sz w:val="20"/>
          <w:szCs w:val="20"/>
        </w:rPr>
        <w:t xml:space="preserve">when compared with </w:t>
      </w:r>
      <w:r w:rsidR="00AE5880">
        <w:rPr>
          <w:rFonts w:eastAsiaTheme="minorHAnsi" w:cs="Arial"/>
          <w:sz w:val="20"/>
          <w:szCs w:val="20"/>
        </w:rPr>
        <w:t>experiments targeting dual-fuel households</w:t>
      </w:r>
      <w:r w:rsidR="003D6883">
        <w:rPr>
          <w:rFonts w:eastAsiaTheme="minorHAnsi" w:cs="Arial"/>
          <w:sz w:val="20"/>
          <w:szCs w:val="20"/>
        </w:rPr>
        <w:t xml:space="preserve">. This may be partly explained by the greater proportion of renters </w:t>
      </w:r>
      <w:r w:rsidR="00424602">
        <w:rPr>
          <w:rFonts w:eastAsiaTheme="minorHAnsi" w:cs="Arial"/>
          <w:sz w:val="20"/>
          <w:szCs w:val="20"/>
        </w:rPr>
        <w:t>in the electric-only customer segment</w:t>
      </w:r>
      <w:r w:rsidR="00AE5880">
        <w:rPr>
          <w:rFonts w:eastAsiaTheme="minorHAnsi" w:cs="Arial"/>
          <w:sz w:val="20"/>
          <w:szCs w:val="20"/>
        </w:rPr>
        <w:t>.</w:t>
      </w:r>
      <w:r w:rsidR="006B15A5" w:rsidRPr="00BB3308">
        <w:rPr>
          <w:rFonts w:eastAsiaTheme="minorHAnsi" w:cs="Arial"/>
          <w:sz w:val="20"/>
          <w:szCs w:val="20"/>
        </w:rPr>
        <w:t xml:space="preserve"> </w:t>
      </w:r>
      <w:proofErr w:type="spellStart"/>
      <w:r w:rsidR="00CB0D2B" w:rsidRPr="00BB3308">
        <w:rPr>
          <w:rFonts w:eastAsiaTheme="minorHAnsi" w:cs="Arial"/>
          <w:sz w:val="20"/>
          <w:szCs w:val="20"/>
        </w:rPr>
        <w:t>Attriting</w:t>
      </w:r>
      <w:proofErr w:type="spellEnd"/>
      <w:r w:rsidR="00CB0D2B" w:rsidRPr="00BB3308">
        <w:rPr>
          <w:rFonts w:eastAsiaTheme="minorHAnsi" w:cs="Arial"/>
          <w:sz w:val="20"/>
          <w:szCs w:val="20"/>
        </w:rPr>
        <w:t xml:space="preserve"> </w:t>
      </w:r>
      <w:r w:rsidR="006B15A5" w:rsidRPr="00BB3308">
        <w:rPr>
          <w:rFonts w:eastAsiaTheme="minorHAnsi" w:cs="Arial"/>
          <w:sz w:val="20"/>
          <w:szCs w:val="20"/>
        </w:rPr>
        <w:t xml:space="preserve">accounts are kept in the </w:t>
      </w:r>
      <w:r w:rsidR="00D967B1" w:rsidRPr="00BB3308">
        <w:rPr>
          <w:rFonts w:eastAsiaTheme="minorHAnsi" w:cs="Arial"/>
          <w:sz w:val="20"/>
          <w:szCs w:val="20"/>
        </w:rPr>
        <w:t xml:space="preserve">experiment </w:t>
      </w:r>
      <w:r w:rsidR="006B15A5" w:rsidRPr="00BB3308">
        <w:rPr>
          <w:rFonts w:eastAsiaTheme="minorHAnsi" w:cs="Arial"/>
          <w:sz w:val="20"/>
          <w:szCs w:val="20"/>
        </w:rPr>
        <w:t xml:space="preserve">until the meter is “stopped” at account closing. </w:t>
      </w:r>
      <w:r w:rsidR="00616BCC" w:rsidRPr="00616BCC">
        <w:rPr>
          <w:rFonts w:eastAsiaTheme="minorHAnsi" w:cs="Arial"/>
          <w:sz w:val="20"/>
          <w:szCs w:val="20"/>
        </w:rPr>
        <w:t>Existing studies have shown that:</w:t>
      </w:r>
      <w:r w:rsidR="00616BCC">
        <w:rPr>
          <w:rFonts w:eastAsiaTheme="minorHAnsi" w:cs="Arial"/>
          <w:sz w:val="20"/>
          <w:szCs w:val="20"/>
        </w:rPr>
        <w:t xml:space="preserve"> (1) the home energy reports</w:t>
      </w:r>
      <w:r w:rsidR="00616BCC" w:rsidRPr="00616BCC">
        <w:rPr>
          <w:rFonts w:eastAsiaTheme="minorHAnsi" w:cs="Arial"/>
          <w:sz w:val="20"/>
          <w:szCs w:val="20"/>
        </w:rPr>
        <w:t xml:space="preserve"> do not cause attrition</w:t>
      </w:r>
      <w:r w:rsidR="00616BCC">
        <w:rPr>
          <w:rFonts w:eastAsiaTheme="minorHAnsi" w:cs="Arial"/>
          <w:sz w:val="20"/>
          <w:szCs w:val="20"/>
        </w:rPr>
        <w:t xml:space="preserve"> and (2)</w:t>
      </w:r>
      <w:r w:rsidR="00616BCC" w:rsidRPr="00616BCC">
        <w:rPr>
          <w:rFonts w:eastAsiaTheme="minorHAnsi" w:cs="Arial"/>
          <w:sz w:val="20"/>
          <w:szCs w:val="20"/>
        </w:rPr>
        <w:t xml:space="preserve"> </w:t>
      </w:r>
      <w:r w:rsidR="00616BCC">
        <w:rPr>
          <w:rFonts w:eastAsiaTheme="minorHAnsi" w:cs="Arial"/>
          <w:sz w:val="20"/>
          <w:szCs w:val="20"/>
        </w:rPr>
        <w:t>c</w:t>
      </w:r>
      <w:r w:rsidR="00616BCC" w:rsidRPr="00616BCC">
        <w:rPr>
          <w:rFonts w:eastAsiaTheme="minorHAnsi" w:cs="Arial"/>
          <w:sz w:val="20"/>
          <w:szCs w:val="20"/>
        </w:rPr>
        <w:t>ontrol and treatment groups keep similar characteristics over time.</w:t>
      </w:r>
    </w:p>
    <w:p w:rsidR="004F7E62" w:rsidRDefault="004F7E62" w:rsidP="00771691">
      <w:pPr>
        <w:rPr>
          <w:rFonts w:eastAsiaTheme="minorHAnsi" w:cs="Arial"/>
          <w:sz w:val="20"/>
          <w:szCs w:val="20"/>
        </w:rPr>
      </w:pPr>
    </w:p>
    <w:p w:rsidR="00424602" w:rsidRDefault="00424602" w:rsidP="00771691">
      <w:pPr>
        <w:rPr>
          <w:rFonts w:eastAsiaTheme="minorHAnsi" w:cs="Arial"/>
          <w:sz w:val="20"/>
          <w:szCs w:val="20"/>
        </w:rPr>
      </w:pPr>
      <w:r>
        <w:rPr>
          <w:rFonts w:eastAsiaTheme="minorHAnsi" w:cs="Arial"/>
          <w:sz w:val="20"/>
          <w:szCs w:val="20"/>
        </w:rPr>
        <w:t>T</w:t>
      </w:r>
      <w:r w:rsidR="00322D0C">
        <w:rPr>
          <w:rFonts w:eastAsiaTheme="minorHAnsi" w:cs="Arial"/>
          <w:sz w:val="20"/>
          <w:szCs w:val="20"/>
        </w:rPr>
        <w:t xml:space="preserve">he HER program </w:t>
      </w:r>
      <w:r>
        <w:rPr>
          <w:rFonts w:eastAsiaTheme="minorHAnsi" w:cs="Arial"/>
          <w:sz w:val="20"/>
          <w:szCs w:val="20"/>
        </w:rPr>
        <w:t xml:space="preserve">may </w:t>
      </w:r>
      <w:r w:rsidR="00322D0C">
        <w:rPr>
          <w:rFonts w:eastAsiaTheme="minorHAnsi" w:cs="Arial"/>
          <w:sz w:val="20"/>
          <w:szCs w:val="20"/>
        </w:rPr>
        <w:t xml:space="preserve">increase rebate activity in other PG&amp;E’s energy efficiency programs. </w:t>
      </w:r>
      <w:r w:rsidR="004F7E62">
        <w:rPr>
          <w:rFonts w:eastAsiaTheme="minorHAnsi" w:cs="Arial"/>
          <w:sz w:val="20"/>
          <w:szCs w:val="20"/>
        </w:rPr>
        <w:t xml:space="preserve">To ensure that the energy </w:t>
      </w:r>
      <w:r w:rsidR="00DC1EC8">
        <w:rPr>
          <w:rFonts w:eastAsiaTheme="minorHAnsi" w:cs="Arial"/>
          <w:sz w:val="20"/>
          <w:szCs w:val="20"/>
        </w:rPr>
        <w:t xml:space="preserve">and peak </w:t>
      </w:r>
      <w:r>
        <w:rPr>
          <w:rFonts w:eastAsiaTheme="minorHAnsi" w:cs="Arial"/>
          <w:sz w:val="20"/>
          <w:szCs w:val="20"/>
        </w:rPr>
        <w:t xml:space="preserve">demand savings </w:t>
      </w:r>
      <w:r w:rsidR="004F7E62">
        <w:rPr>
          <w:rFonts w:eastAsiaTheme="minorHAnsi" w:cs="Arial"/>
          <w:sz w:val="20"/>
          <w:szCs w:val="20"/>
        </w:rPr>
        <w:t xml:space="preserve">claimed by </w:t>
      </w:r>
      <w:r w:rsidR="0005669F">
        <w:rPr>
          <w:rFonts w:eastAsiaTheme="minorHAnsi" w:cs="Arial"/>
          <w:sz w:val="20"/>
          <w:szCs w:val="20"/>
        </w:rPr>
        <w:t xml:space="preserve">the </w:t>
      </w:r>
      <w:r w:rsidR="004F7E62">
        <w:rPr>
          <w:rFonts w:eastAsiaTheme="minorHAnsi" w:cs="Arial"/>
          <w:sz w:val="20"/>
          <w:szCs w:val="20"/>
        </w:rPr>
        <w:t xml:space="preserve">HER </w:t>
      </w:r>
      <w:r w:rsidR="0005669F">
        <w:rPr>
          <w:rFonts w:eastAsiaTheme="minorHAnsi" w:cs="Arial"/>
          <w:sz w:val="20"/>
          <w:szCs w:val="20"/>
        </w:rPr>
        <w:t xml:space="preserve">program </w:t>
      </w:r>
      <w:r w:rsidR="004F7E62">
        <w:rPr>
          <w:rFonts w:eastAsiaTheme="minorHAnsi" w:cs="Arial"/>
          <w:sz w:val="20"/>
          <w:szCs w:val="20"/>
        </w:rPr>
        <w:t xml:space="preserve">is not duplicative of savings claimed </w:t>
      </w:r>
      <w:r w:rsidR="000575B2">
        <w:rPr>
          <w:rFonts w:eastAsiaTheme="minorHAnsi" w:cs="Arial"/>
          <w:sz w:val="20"/>
          <w:szCs w:val="20"/>
        </w:rPr>
        <w:t xml:space="preserve">by </w:t>
      </w:r>
      <w:r>
        <w:rPr>
          <w:rFonts w:eastAsiaTheme="minorHAnsi" w:cs="Arial"/>
          <w:sz w:val="20"/>
          <w:szCs w:val="20"/>
        </w:rPr>
        <w:t>other</w:t>
      </w:r>
      <w:r w:rsidR="00322D0C">
        <w:rPr>
          <w:rFonts w:eastAsiaTheme="minorHAnsi" w:cs="Arial"/>
          <w:sz w:val="20"/>
          <w:szCs w:val="20"/>
        </w:rPr>
        <w:t xml:space="preserve"> programs</w:t>
      </w:r>
      <w:r w:rsidR="004F7E62">
        <w:rPr>
          <w:rFonts w:eastAsiaTheme="minorHAnsi" w:cs="Arial"/>
          <w:sz w:val="20"/>
          <w:szCs w:val="20"/>
        </w:rPr>
        <w:t xml:space="preserve">, </w:t>
      </w:r>
      <w:r w:rsidR="002B5102">
        <w:rPr>
          <w:rFonts w:eastAsiaTheme="minorHAnsi" w:cs="Arial"/>
          <w:sz w:val="20"/>
          <w:szCs w:val="20"/>
        </w:rPr>
        <w:t xml:space="preserve">it is essential to estimate </w:t>
      </w:r>
      <w:r w:rsidR="005D0117">
        <w:rPr>
          <w:rFonts w:eastAsiaTheme="minorHAnsi" w:cs="Arial"/>
          <w:sz w:val="20"/>
          <w:szCs w:val="20"/>
        </w:rPr>
        <w:t>savings overlap</w:t>
      </w:r>
      <w:r>
        <w:rPr>
          <w:rFonts w:eastAsiaTheme="minorHAnsi" w:cs="Arial"/>
          <w:sz w:val="20"/>
          <w:szCs w:val="20"/>
        </w:rPr>
        <w:t>s</w:t>
      </w:r>
      <w:r w:rsidR="005D0117">
        <w:rPr>
          <w:rFonts w:cs="Arial"/>
          <w:sz w:val="20"/>
          <w:szCs w:val="20"/>
        </w:rPr>
        <w:t xml:space="preserve"> and subtract these</w:t>
      </w:r>
      <w:r w:rsidR="002B5102">
        <w:rPr>
          <w:rFonts w:cs="Arial"/>
          <w:sz w:val="20"/>
          <w:szCs w:val="20"/>
        </w:rPr>
        <w:t xml:space="preserve"> </w:t>
      </w:r>
      <w:r w:rsidR="004304EB">
        <w:rPr>
          <w:rFonts w:cs="Arial"/>
          <w:sz w:val="20"/>
          <w:szCs w:val="20"/>
        </w:rPr>
        <w:t xml:space="preserve">joint-savings </w:t>
      </w:r>
      <w:r w:rsidR="002B5102">
        <w:rPr>
          <w:rFonts w:cs="Arial"/>
          <w:sz w:val="20"/>
          <w:szCs w:val="20"/>
        </w:rPr>
        <w:t xml:space="preserve">from the HER savings claims </w:t>
      </w:r>
      <w:r w:rsidR="004304EB">
        <w:rPr>
          <w:rFonts w:cs="Arial"/>
          <w:sz w:val="20"/>
          <w:szCs w:val="20"/>
        </w:rPr>
        <w:t xml:space="preserve">in order </w:t>
      </w:r>
      <w:r w:rsidR="002B5102">
        <w:rPr>
          <w:rFonts w:cs="Arial"/>
          <w:sz w:val="20"/>
          <w:szCs w:val="20"/>
        </w:rPr>
        <w:t>to avoid double counting</w:t>
      </w:r>
      <w:r w:rsidR="007D1A1F">
        <w:rPr>
          <w:rFonts w:cs="Arial"/>
          <w:sz w:val="20"/>
          <w:szCs w:val="20"/>
        </w:rPr>
        <w:t xml:space="preserve">. </w:t>
      </w:r>
      <w:r w:rsidR="00224E77">
        <w:rPr>
          <w:rFonts w:eastAsiaTheme="minorHAnsi" w:cs="Arial"/>
          <w:sz w:val="20"/>
          <w:szCs w:val="20"/>
        </w:rPr>
        <w:t>It is important to note that these joint-savings are an added benefit of the HER program and the subtraction of the savings overlaps is to ensure that these joint-savings are only reported once. The simplest and most common approach is to remove all joint-savings from the HER program rather than remove program-specific joint savings from all of the associated rebate programs.</w:t>
      </w:r>
    </w:p>
    <w:p w:rsidR="00424602" w:rsidRDefault="00424602" w:rsidP="00771691">
      <w:pPr>
        <w:rPr>
          <w:rFonts w:eastAsiaTheme="minorHAnsi" w:cs="Arial"/>
          <w:sz w:val="20"/>
          <w:szCs w:val="20"/>
        </w:rPr>
      </w:pPr>
    </w:p>
    <w:p w:rsidR="006B15A5" w:rsidRPr="006B15A5" w:rsidRDefault="007D1A1F" w:rsidP="00771691">
      <w:pPr>
        <w:rPr>
          <w:rFonts w:eastAsiaTheme="minorHAnsi" w:cs="Arial"/>
          <w:sz w:val="20"/>
          <w:szCs w:val="20"/>
        </w:rPr>
      </w:pPr>
      <w:r>
        <w:rPr>
          <w:rFonts w:eastAsiaTheme="minorHAnsi" w:cs="Arial"/>
          <w:sz w:val="20"/>
          <w:szCs w:val="20"/>
        </w:rPr>
        <w:lastRenderedPageBreak/>
        <w:t xml:space="preserve">Two </w:t>
      </w:r>
      <w:r w:rsidR="0082356A">
        <w:rPr>
          <w:rFonts w:eastAsiaTheme="minorHAnsi" w:cs="Arial"/>
          <w:sz w:val="20"/>
          <w:szCs w:val="20"/>
        </w:rPr>
        <w:t xml:space="preserve">analyses </w:t>
      </w:r>
      <w:r w:rsidR="0005669F">
        <w:rPr>
          <w:rFonts w:eastAsiaTheme="minorHAnsi" w:cs="Arial"/>
          <w:sz w:val="20"/>
          <w:szCs w:val="20"/>
        </w:rPr>
        <w:t xml:space="preserve">are </w:t>
      </w:r>
      <w:r w:rsidR="004F7E62">
        <w:rPr>
          <w:rFonts w:eastAsiaTheme="minorHAnsi" w:cs="Arial"/>
          <w:sz w:val="20"/>
          <w:szCs w:val="20"/>
        </w:rPr>
        <w:t>undertaken</w:t>
      </w:r>
      <w:r w:rsidR="000F32B7">
        <w:rPr>
          <w:rFonts w:eastAsiaTheme="minorHAnsi" w:cs="Arial"/>
          <w:sz w:val="20"/>
          <w:szCs w:val="20"/>
        </w:rPr>
        <w:t xml:space="preserve"> to estimate </w:t>
      </w:r>
      <w:r w:rsidR="00424602">
        <w:rPr>
          <w:rFonts w:eastAsiaTheme="minorHAnsi" w:cs="Arial"/>
          <w:sz w:val="20"/>
          <w:szCs w:val="20"/>
        </w:rPr>
        <w:t>joint-</w:t>
      </w:r>
      <w:r w:rsidR="000F32B7">
        <w:rPr>
          <w:rFonts w:eastAsiaTheme="minorHAnsi" w:cs="Arial"/>
          <w:sz w:val="20"/>
          <w:szCs w:val="20"/>
        </w:rPr>
        <w:t>savings</w:t>
      </w:r>
      <w:r w:rsidR="00424602">
        <w:rPr>
          <w:rFonts w:eastAsiaTheme="minorHAnsi" w:cs="Arial"/>
          <w:sz w:val="20"/>
          <w:szCs w:val="20"/>
        </w:rPr>
        <w:t xml:space="preserve"> and calculate adjusted savings</w:t>
      </w:r>
      <w:r w:rsidR="000F32B7">
        <w:rPr>
          <w:rStyle w:val="FootnoteReference"/>
          <w:rFonts w:eastAsiaTheme="minorHAnsi" w:cs="Arial"/>
          <w:sz w:val="20"/>
          <w:szCs w:val="20"/>
        </w:rPr>
        <w:footnoteReference w:id="1"/>
      </w:r>
      <w:r w:rsidR="006B15A5" w:rsidRPr="006B15A5">
        <w:rPr>
          <w:rFonts w:eastAsiaTheme="minorHAnsi" w:cs="Arial"/>
          <w:sz w:val="20"/>
          <w:szCs w:val="20"/>
        </w:rPr>
        <w:t>:</w:t>
      </w:r>
      <w:r w:rsidR="00AB76DE">
        <w:rPr>
          <w:rFonts w:eastAsiaTheme="minorHAnsi" w:cs="Arial"/>
          <w:sz w:val="20"/>
          <w:szCs w:val="20"/>
        </w:rPr>
        <w:t xml:space="preserve"> These estimates have been verified by the CPUC-managed impact evaluator. Beginning with the 2015 impact evaluation, these estimates will be incorporated into the CPUC-man</w:t>
      </w:r>
      <w:r w:rsidR="00B1289B">
        <w:rPr>
          <w:rFonts w:eastAsiaTheme="minorHAnsi" w:cs="Arial"/>
          <w:sz w:val="20"/>
          <w:szCs w:val="20"/>
        </w:rPr>
        <w:t>a</w:t>
      </w:r>
      <w:r w:rsidR="00AB76DE">
        <w:rPr>
          <w:rFonts w:eastAsiaTheme="minorHAnsi" w:cs="Arial"/>
          <w:sz w:val="20"/>
          <w:szCs w:val="20"/>
        </w:rPr>
        <w:t>ged impact evaluations.</w:t>
      </w:r>
    </w:p>
    <w:p w:rsidR="00F264A5" w:rsidRPr="00CF277F" w:rsidRDefault="004F7E62" w:rsidP="00CF277F">
      <w:pPr>
        <w:numPr>
          <w:ilvl w:val="0"/>
          <w:numId w:val="28"/>
        </w:numPr>
        <w:autoSpaceDE w:val="0"/>
        <w:autoSpaceDN w:val="0"/>
        <w:adjustRightInd w:val="0"/>
        <w:contextualSpacing/>
        <w:rPr>
          <w:rFonts w:cs="Arial"/>
          <w:sz w:val="20"/>
          <w:szCs w:val="20"/>
        </w:rPr>
      </w:pPr>
      <w:r w:rsidRPr="00DB29E2">
        <w:rPr>
          <w:rFonts w:eastAsiaTheme="minorHAnsi" w:cs="Arial"/>
          <w:sz w:val="20"/>
          <w:szCs w:val="20"/>
        </w:rPr>
        <w:t>Assessment of participation in direct rebate programs (“downstream” measures). A comparison of the relative up</w:t>
      </w:r>
      <w:r w:rsidRPr="00BD1629">
        <w:rPr>
          <w:rFonts w:eastAsiaTheme="minorHAnsi" w:cs="Arial"/>
          <w:sz w:val="20"/>
          <w:szCs w:val="20"/>
        </w:rPr>
        <w:t xml:space="preserve">take of downstream measures between treatment and control groups </w:t>
      </w:r>
      <w:r w:rsidR="00350BAA" w:rsidRPr="00DB29E2">
        <w:rPr>
          <w:rFonts w:eastAsiaTheme="minorHAnsi" w:cs="Arial"/>
          <w:sz w:val="20"/>
          <w:szCs w:val="20"/>
        </w:rPr>
        <w:t>using PG&amp;E’s rebate program tracking databases</w:t>
      </w:r>
      <w:r w:rsidR="00350BAA" w:rsidRPr="00BD1629" w:rsidDel="009226B9">
        <w:rPr>
          <w:rFonts w:eastAsiaTheme="minorHAnsi" w:cs="Arial"/>
          <w:sz w:val="20"/>
          <w:szCs w:val="20"/>
        </w:rPr>
        <w:t xml:space="preserve"> </w:t>
      </w:r>
      <w:r w:rsidR="009226B9" w:rsidRPr="00BD1629">
        <w:rPr>
          <w:rFonts w:eastAsiaTheme="minorHAnsi" w:cs="Arial"/>
          <w:sz w:val="20"/>
          <w:szCs w:val="20"/>
        </w:rPr>
        <w:t xml:space="preserve">is </w:t>
      </w:r>
      <w:r w:rsidRPr="0090145B">
        <w:rPr>
          <w:rFonts w:eastAsiaTheme="minorHAnsi" w:cs="Arial"/>
          <w:sz w:val="20"/>
          <w:szCs w:val="20"/>
        </w:rPr>
        <w:t xml:space="preserve">undertaken to determine whether </w:t>
      </w:r>
      <w:r w:rsidR="00350BAA">
        <w:rPr>
          <w:rFonts w:eastAsiaTheme="minorHAnsi" w:cs="Arial"/>
          <w:sz w:val="20"/>
          <w:szCs w:val="20"/>
        </w:rPr>
        <w:t>the HER program has an impact</w:t>
      </w:r>
      <w:r w:rsidR="0058455C">
        <w:rPr>
          <w:rFonts w:eastAsiaTheme="minorHAnsi" w:cs="Arial"/>
          <w:sz w:val="20"/>
          <w:szCs w:val="20"/>
        </w:rPr>
        <w:t xml:space="preserve"> on participation in these programs</w:t>
      </w:r>
      <w:r w:rsidR="00C52701" w:rsidRPr="00C01E10">
        <w:rPr>
          <w:rFonts w:eastAsiaTheme="minorHAnsi" w:cs="Arial"/>
          <w:sz w:val="20"/>
          <w:szCs w:val="20"/>
        </w:rPr>
        <w:t>.</w:t>
      </w:r>
      <w:r w:rsidR="00350BAA">
        <w:rPr>
          <w:rFonts w:eastAsiaTheme="minorHAnsi" w:cs="Arial"/>
          <w:sz w:val="20"/>
          <w:szCs w:val="20"/>
        </w:rPr>
        <w:t xml:space="preserve"> </w:t>
      </w:r>
      <w:r w:rsidR="00636861">
        <w:rPr>
          <w:rFonts w:cs="Arial"/>
          <w:sz w:val="20"/>
          <w:szCs w:val="20"/>
        </w:rPr>
        <w:t xml:space="preserve">To estimate </w:t>
      </w:r>
      <w:r w:rsidR="00DB29E2" w:rsidRPr="00DB29E2">
        <w:rPr>
          <w:rFonts w:cs="Arial"/>
          <w:sz w:val="20"/>
          <w:szCs w:val="20"/>
        </w:rPr>
        <w:t>joint-savings</w:t>
      </w:r>
      <w:r w:rsidR="00636861">
        <w:rPr>
          <w:rFonts w:cs="Arial"/>
          <w:sz w:val="20"/>
          <w:szCs w:val="20"/>
        </w:rPr>
        <w:t>,</w:t>
      </w:r>
      <w:r w:rsidR="00DB29E2" w:rsidRPr="00DB29E2">
        <w:rPr>
          <w:rFonts w:cs="Arial"/>
          <w:sz w:val="20"/>
          <w:szCs w:val="20"/>
        </w:rPr>
        <w:t xml:space="preserve"> </w:t>
      </w:r>
      <w:r w:rsidR="00F264A5" w:rsidRPr="00CF277F">
        <w:rPr>
          <w:rFonts w:cs="Arial"/>
          <w:sz w:val="20"/>
          <w:szCs w:val="20"/>
        </w:rPr>
        <w:t xml:space="preserve">the deemed annual savings values </w:t>
      </w:r>
      <w:r w:rsidR="00636861">
        <w:rPr>
          <w:rFonts w:cs="Arial"/>
          <w:sz w:val="20"/>
          <w:szCs w:val="20"/>
        </w:rPr>
        <w:t xml:space="preserve">are transformed </w:t>
      </w:r>
      <w:r w:rsidR="00F264A5" w:rsidRPr="00CF277F">
        <w:rPr>
          <w:rFonts w:cs="Arial"/>
          <w:sz w:val="20"/>
          <w:szCs w:val="20"/>
        </w:rPr>
        <w:t>into realistic day-to-day</w:t>
      </w:r>
      <w:r w:rsidR="00DB29E2" w:rsidRPr="00DB29E2">
        <w:rPr>
          <w:rFonts w:cs="Arial"/>
          <w:sz w:val="20"/>
          <w:szCs w:val="20"/>
        </w:rPr>
        <w:t xml:space="preserve"> </w:t>
      </w:r>
      <w:r w:rsidR="00F264A5" w:rsidRPr="00CF277F">
        <w:rPr>
          <w:rFonts w:cs="Arial"/>
          <w:sz w:val="20"/>
          <w:szCs w:val="20"/>
        </w:rPr>
        <w:t>savings values upon the installation of that measure</w:t>
      </w:r>
      <w:r w:rsidR="00DB29E2" w:rsidRPr="00DB29E2">
        <w:rPr>
          <w:rFonts w:cs="Arial"/>
          <w:sz w:val="20"/>
          <w:szCs w:val="20"/>
        </w:rPr>
        <w:t xml:space="preserve">, the </w:t>
      </w:r>
      <w:r w:rsidR="00F264A5" w:rsidRPr="00CF277F">
        <w:rPr>
          <w:rFonts w:cs="Arial"/>
          <w:sz w:val="20"/>
          <w:szCs w:val="20"/>
        </w:rPr>
        <w:t xml:space="preserve">daily share of annual savings </w:t>
      </w:r>
      <w:r w:rsidR="00DB29E2" w:rsidRPr="00DB29E2">
        <w:rPr>
          <w:rFonts w:cs="Arial"/>
          <w:sz w:val="20"/>
          <w:szCs w:val="20"/>
        </w:rPr>
        <w:t xml:space="preserve">being determined by using </w:t>
      </w:r>
      <w:r w:rsidR="00636861" w:rsidRPr="00683395">
        <w:rPr>
          <w:rFonts w:cs="Arial"/>
          <w:sz w:val="20"/>
          <w:szCs w:val="20"/>
        </w:rPr>
        <w:t>hourly 2011</w:t>
      </w:r>
      <w:r w:rsidR="00F264A5" w:rsidRPr="00CF277F">
        <w:rPr>
          <w:rFonts w:cs="Arial"/>
          <w:sz w:val="20"/>
          <w:szCs w:val="20"/>
        </w:rPr>
        <w:t xml:space="preserve">DEER load shapes. These load shapes </w:t>
      </w:r>
      <w:r w:rsidR="00DB29E2" w:rsidRPr="00DB29E2">
        <w:rPr>
          <w:rFonts w:cs="Arial"/>
          <w:sz w:val="20"/>
          <w:szCs w:val="20"/>
        </w:rPr>
        <w:t xml:space="preserve">indeed </w:t>
      </w:r>
      <w:r w:rsidR="00F264A5" w:rsidRPr="00CF277F">
        <w:rPr>
          <w:rFonts w:cs="Arial"/>
          <w:sz w:val="20"/>
          <w:szCs w:val="20"/>
        </w:rPr>
        <w:t>indicate when a measure is used</w:t>
      </w:r>
      <w:r w:rsidR="00DB29E2">
        <w:rPr>
          <w:rFonts w:cs="Arial"/>
          <w:sz w:val="20"/>
          <w:szCs w:val="20"/>
        </w:rPr>
        <w:t xml:space="preserve"> </w:t>
      </w:r>
      <w:r w:rsidR="00F264A5" w:rsidRPr="00CF277F">
        <w:rPr>
          <w:rFonts w:cs="Arial"/>
          <w:sz w:val="20"/>
          <w:szCs w:val="20"/>
        </w:rPr>
        <w:t>during the year and, by proxy, when efficiency savings would occur.</w:t>
      </w:r>
      <w:r w:rsidR="002B4B14">
        <w:rPr>
          <w:rFonts w:cs="Arial"/>
          <w:sz w:val="20"/>
          <w:szCs w:val="20"/>
        </w:rPr>
        <w:t xml:space="preserve"> A </w:t>
      </w:r>
      <w:r w:rsidR="00922C35">
        <w:rPr>
          <w:rFonts w:cs="Arial"/>
          <w:sz w:val="20"/>
          <w:szCs w:val="20"/>
        </w:rPr>
        <w:t>more detailed description is presented in PG&amp;E’s impact evaluation</w:t>
      </w:r>
      <w:r w:rsidR="00BD1629">
        <w:rPr>
          <w:rFonts w:cs="Arial"/>
          <w:sz w:val="20"/>
          <w:szCs w:val="20"/>
        </w:rPr>
        <w:t>s</w:t>
      </w:r>
      <w:r w:rsidR="00766954">
        <w:rPr>
          <w:rFonts w:cs="Arial"/>
          <w:sz w:val="20"/>
          <w:szCs w:val="20"/>
        </w:rPr>
        <w:t>;</w:t>
      </w:r>
    </w:p>
    <w:p w:rsidR="005963DB" w:rsidRPr="00C159ED" w:rsidRDefault="00FC4515" w:rsidP="00683395">
      <w:pPr>
        <w:numPr>
          <w:ilvl w:val="0"/>
          <w:numId w:val="28"/>
        </w:numPr>
        <w:contextualSpacing/>
        <w:rPr>
          <w:rFonts w:eastAsiaTheme="minorHAnsi" w:cs="Arial"/>
          <w:sz w:val="20"/>
          <w:szCs w:val="20"/>
        </w:rPr>
      </w:pPr>
      <w:r w:rsidRPr="00BD1629">
        <w:rPr>
          <w:rFonts w:eastAsiaTheme="minorHAnsi" w:cs="Arial"/>
          <w:sz w:val="20"/>
          <w:szCs w:val="20"/>
        </w:rPr>
        <w:t>Assessment of participation in ma</w:t>
      </w:r>
      <w:r w:rsidRPr="005963DB">
        <w:rPr>
          <w:rFonts w:eastAsiaTheme="minorHAnsi" w:cs="Arial"/>
          <w:sz w:val="20"/>
          <w:szCs w:val="20"/>
        </w:rPr>
        <w:t>nufacturer and reseller rebate programs (“upstream” measures).</w:t>
      </w:r>
      <w:r w:rsidR="005963DB" w:rsidRPr="00683395">
        <w:rPr>
          <w:rFonts w:eastAsiaTheme="minorHAnsi" w:cs="Arial"/>
          <w:sz w:val="20"/>
          <w:szCs w:val="20"/>
        </w:rPr>
        <w:t>The main upstream program considered is the Upstream Lighting P</w:t>
      </w:r>
      <w:r w:rsidR="005963DB" w:rsidRPr="002C4373">
        <w:rPr>
          <w:rFonts w:eastAsiaTheme="minorHAnsi" w:cs="Arial"/>
          <w:sz w:val="20"/>
          <w:szCs w:val="20"/>
        </w:rPr>
        <w:t>rogram (ULP), which rebates compact fluorescent lamps (CFL</w:t>
      </w:r>
      <w:r w:rsidR="005963DB" w:rsidRPr="002914EA">
        <w:rPr>
          <w:rFonts w:eastAsiaTheme="minorHAnsi" w:cs="Arial"/>
          <w:sz w:val="20"/>
          <w:szCs w:val="20"/>
        </w:rPr>
        <w:t xml:space="preserve">s) and </w:t>
      </w:r>
      <w:r w:rsidR="005963DB" w:rsidRPr="00152FC2">
        <w:rPr>
          <w:sz w:val="20"/>
          <w:szCs w:val="20"/>
        </w:rPr>
        <w:t>light emitting diodes (LED</w:t>
      </w:r>
      <w:r w:rsidR="005963DB" w:rsidRPr="009D7D4E">
        <w:rPr>
          <w:sz w:val="20"/>
          <w:szCs w:val="20"/>
        </w:rPr>
        <w:t>s</w:t>
      </w:r>
      <w:r w:rsidR="005963DB" w:rsidRPr="00683395">
        <w:rPr>
          <w:sz w:val="20"/>
          <w:szCs w:val="20"/>
        </w:rPr>
        <w:t>). The methodology to estimate the lighting savings overlap between the HER program and the ULP is described in a study published by TRC</w:t>
      </w:r>
      <w:r w:rsidR="00AD032D">
        <w:rPr>
          <w:sz w:val="20"/>
          <w:szCs w:val="20"/>
        </w:rPr>
        <w:t xml:space="preserve"> Energy Services</w:t>
      </w:r>
      <w:r w:rsidR="005963DB">
        <w:rPr>
          <w:rStyle w:val="EndnoteReference"/>
          <w:rFonts w:eastAsiaTheme="minorHAnsi" w:cs="Arial"/>
          <w:sz w:val="20"/>
          <w:szCs w:val="20"/>
        </w:rPr>
        <w:endnoteReference w:id="1"/>
      </w:r>
      <w:r w:rsidR="005963DB" w:rsidRPr="00683395">
        <w:rPr>
          <w:sz w:val="20"/>
          <w:szCs w:val="20"/>
        </w:rPr>
        <w:t xml:space="preserve"> and was </w:t>
      </w:r>
      <w:r w:rsidR="005963DB" w:rsidRPr="002C4373">
        <w:rPr>
          <w:sz w:val="20"/>
          <w:szCs w:val="20"/>
        </w:rPr>
        <w:t xml:space="preserve">applied during </w:t>
      </w:r>
      <w:r w:rsidR="005A3D78">
        <w:rPr>
          <w:sz w:val="20"/>
          <w:szCs w:val="20"/>
        </w:rPr>
        <w:t xml:space="preserve">subsequent </w:t>
      </w:r>
      <w:r w:rsidR="005963DB" w:rsidRPr="002C4373">
        <w:rPr>
          <w:sz w:val="20"/>
          <w:szCs w:val="20"/>
        </w:rPr>
        <w:t>impact evaluation</w:t>
      </w:r>
      <w:r w:rsidR="005A3D78">
        <w:rPr>
          <w:sz w:val="20"/>
          <w:szCs w:val="20"/>
        </w:rPr>
        <w:t>s</w:t>
      </w:r>
      <w:r w:rsidR="005963DB" w:rsidRPr="002C4373">
        <w:rPr>
          <w:sz w:val="20"/>
          <w:szCs w:val="20"/>
        </w:rPr>
        <w:t xml:space="preserve"> of PG&amp;E’s HER program</w:t>
      </w:r>
      <w:r w:rsidR="0082356A" w:rsidRPr="00683395">
        <w:rPr>
          <w:sz w:val="20"/>
          <w:szCs w:val="20"/>
        </w:rPr>
        <w:t xml:space="preserve">. </w:t>
      </w:r>
      <w:r w:rsidR="002C4373">
        <w:rPr>
          <w:sz w:val="20"/>
          <w:szCs w:val="20"/>
        </w:rPr>
        <w:t xml:space="preserve">The estimation </w:t>
      </w:r>
      <w:r w:rsidR="0082356A" w:rsidRPr="00683395">
        <w:rPr>
          <w:sz w:val="20"/>
          <w:szCs w:val="20"/>
        </w:rPr>
        <w:t>is based on the following equations:</w:t>
      </w:r>
    </w:p>
    <w:p w:rsidR="005963DB" w:rsidRDefault="005963DB" w:rsidP="005963DB">
      <w:pPr>
        <w:pStyle w:val="ListParagraph"/>
        <w:numPr>
          <w:ilvl w:val="0"/>
          <w:numId w:val="35"/>
        </w:numPr>
        <w:rPr>
          <w:sz w:val="20"/>
          <w:szCs w:val="20"/>
        </w:rPr>
      </w:pPr>
      <w:r w:rsidRPr="00553709">
        <w:rPr>
          <w:sz w:val="20"/>
          <w:szCs w:val="20"/>
        </w:rPr>
        <w:t>Equation 1: kWh attributable to the HER program and the ULP per household</w:t>
      </w:r>
      <w:r>
        <w:rPr>
          <w:sz w:val="20"/>
          <w:szCs w:val="20"/>
        </w:rPr>
        <w:t xml:space="preserve"> for CFLs</w:t>
      </w:r>
      <w:r w:rsidRPr="00D62002">
        <w:rPr>
          <w:sz w:val="20"/>
          <w:szCs w:val="20"/>
        </w:rPr>
        <w:t>:</w:t>
      </w:r>
    </w:p>
    <w:p w:rsidR="005963DB" w:rsidRDefault="005963DB" w:rsidP="005963DB">
      <w:pPr>
        <w:pStyle w:val="ListParagraph"/>
        <w:ind w:left="1440"/>
        <w:rPr>
          <w:sz w:val="20"/>
          <w:szCs w:val="20"/>
        </w:rPr>
      </w:pPr>
      <w:r w:rsidRPr="00D62002">
        <w:rPr>
          <w:sz w:val="20"/>
          <w:szCs w:val="20"/>
        </w:rPr>
        <w:t xml:space="preserve">= CFLs installed due to HER x </w:t>
      </w:r>
      <w:r w:rsidR="005B0D6D">
        <w:rPr>
          <w:sz w:val="20"/>
          <w:szCs w:val="20"/>
        </w:rPr>
        <w:t>Y</w:t>
      </w:r>
      <w:r w:rsidRPr="00D62002">
        <w:rPr>
          <w:sz w:val="20"/>
          <w:szCs w:val="20"/>
        </w:rPr>
        <w:t>ears CFLs have been installed x (</w:t>
      </w:r>
      <w:r w:rsidR="005B0D6D">
        <w:rPr>
          <w:sz w:val="20"/>
          <w:szCs w:val="20"/>
        </w:rPr>
        <w:t>R</w:t>
      </w:r>
      <w:r w:rsidRPr="00D62002">
        <w:rPr>
          <w:sz w:val="20"/>
          <w:szCs w:val="20"/>
        </w:rPr>
        <w:t xml:space="preserve">ebated CFLs / </w:t>
      </w:r>
      <w:r w:rsidR="005B0D6D">
        <w:rPr>
          <w:sz w:val="20"/>
          <w:szCs w:val="20"/>
        </w:rPr>
        <w:t>T</w:t>
      </w:r>
      <w:r w:rsidRPr="00D62002">
        <w:rPr>
          <w:sz w:val="20"/>
          <w:szCs w:val="20"/>
        </w:rPr>
        <w:t xml:space="preserve">otal CFLs) x (CFLs attributable to ULP / </w:t>
      </w:r>
      <w:r w:rsidR="005B0D6D">
        <w:rPr>
          <w:sz w:val="20"/>
          <w:szCs w:val="20"/>
        </w:rPr>
        <w:t>R</w:t>
      </w:r>
      <w:r w:rsidRPr="00D62002">
        <w:rPr>
          <w:sz w:val="20"/>
          <w:szCs w:val="20"/>
        </w:rPr>
        <w:t>ebated CFLs) x Installation Rate x Savings per CFL per year</w:t>
      </w:r>
    </w:p>
    <w:p w:rsidR="005963DB" w:rsidRDefault="005963DB" w:rsidP="005963DB">
      <w:pPr>
        <w:pStyle w:val="ListParagraph"/>
        <w:numPr>
          <w:ilvl w:val="0"/>
          <w:numId w:val="35"/>
        </w:numPr>
        <w:rPr>
          <w:sz w:val="20"/>
          <w:szCs w:val="20"/>
        </w:rPr>
      </w:pPr>
      <w:r w:rsidRPr="00553709">
        <w:rPr>
          <w:sz w:val="20"/>
          <w:szCs w:val="20"/>
        </w:rPr>
        <w:t>Equation 2</w:t>
      </w:r>
      <w:r w:rsidRPr="00D62002">
        <w:rPr>
          <w:sz w:val="20"/>
          <w:szCs w:val="20"/>
        </w:rPr>
        <w:t>:</w:t>
      </w:r>
      <w:r>
        <w:rPr>
          <w:sz w:val="20"/>
          <w:szCs w:val="20"/>
        </w:rPr>
        <w:t xml:space="preserve"> </w:t>
      </w:r>
      <w:r w:rsidRPr="00D62002">
        <w:rPr>
          <w:sz w:val="20"/>
          <w:szCs w:val="20"/>
        </w:rPr>
        <w:t xml:space="preserve">kWh attributable to </w:t>
      </w:r>
      <w:r>
        <w:rPr>
          <w:sz w:val="20"/>
          <w:szCs w:val="20"/>
        </w:rPr>
        <w:t xml:space="preserve">the HER program and the ULP </w:t>
      </w:r>
      <w:r w:rsidRPr="00D62002">
        <w:rPr>
          <w:sz w:val="20"/>
          <w:szCs w:val="20"/>
        </w:rPr>
        <w:t>per h</w:t>
      </w:r>
      <w:r>
        <w:rPr>
          <w:sz w:val="20"/>
          <w:szCs w:val="20"/>
        </w:rPr>
        <w:t>ousehold for LEDs</w:t>
      </w:r>
    </w:p>
    <w:p w:rsidR="005963DB" w:rsidRDefault="005963DB" w:rsidP="005963DB">
      <w:pPr>
        <w:pStyle w:val="ListParagraph"/>
        <w:ind w:left="1440"/>
        <w:rPr>
          <w:sz w:val="20"/>
          <w:szCs w:val="20"/>
        </w:rPr>
      </w:pPr>
      <w:r w:rsidRPr="00D62002">
        <w:rPr>
          <w:sz w:val="20"/>
          <w:szCs w:val="20"/>
        </w:rPr>
        <w:t xml:space="preserve">= LEDs installed due to HERs x </w:t>
      </w:r>
      <w:r w:rsidR="005B0D6D">
        <w:rPr>
          <w:sz w:val="20"/>
          <w:szCs w:val="20"/>
        </w:rPr>
        <w:t>Y</w:t>
      </w:r>
      <w:r w:rsidRPr="00D62002">
        <w:rPr>
          <w:sz w:val="20"/>
          <w:szCs w:val="20"/>
        </w:rPr>
        <w:t>ears LEDs have been installed x (</w:t>
      </w:r>
      <w:r w:rsidR="005B0D6D">
        <w:rPr>
          <w:sz w:val="20"/>
          <w:szCs w:val="20"/>
        </w:rPr>
        <w:t>R</w:t>
      </w:r>
      <w:r w:rsidRPr="00D62002">
        <w:rPr>
          <w:sz w:val="20"/>
          <w:szCs w:val="20"/>
        </w:rPr>
        <w:t xml:space="preserve">ebated LEDs / </w:t>
      </w:r>
      <w:r w:rsidR="005B0D6D">
        <w:rPr>
          <w:sz w:val="20"/>
          <w:szCs w:val="20"/>
        </w:rPr>
        <w:t>T</w:t>
      </w:r>
      <w:r w:rsidRPr="00D62002">
        <w:rPr>
          <w:sz w:val="20"/>
          <w:szCs w:val="20"/>
        </w:rPr>
        <w:t xml:space="preserve">otal LEDs) x (LEDs attributable to ULP / </w:t>
      </w:r>
      <w:r w:rsidR="005B0D6D">
        <w:rPr>
          <w:sz w:val="20"/>
          <w:szCs w:val="20"/>
        </w:rPr>
        <w:t>R</w:t>
      </w:r>
      <w:r w:rsidRPr="00D62002">
        <w:rPr>
          <w:sz w:val="20"/>
          <w:szCs w:val="20"/>
        </w:rPr>
        <w:t>ebated LEDs) x Installation Rate x Savings per LED per y</w:t>
      </w:r>
      <w:r w:rsidR="00566407">
        <w:rPr>
          <w:sz w:val="20"/>
          <w:szCs w:val="20"/>
        </w:rPr>
        <w:t>ea</w:t>
      </w:r>
      <w:r w:rsidRPr="00D62002">
        <w:rPr>
          <w:sz w:val="20"/>
          <w:szCs w:val="20"/>
        </w:rPr>
        <w:t>r</w:t>
      </w:r>
    </w:p>
    <w:p w:rsidR="005963DB" w:rsidRDefault="005963DB" w:rsidP="005963DB">
      <w:pPr>
        <w:pStyle w:val="ListParagraph"/>
        <w:numPr>
          <w:ilvl w:val="0"/>
          <w:numId w:val="35"/>
        </w:numPr>
        <w:rPr>
          <w:sz w:val="20"/>
          <w:szCs w:val="20"/>
        </w:rPr>
      </w:pPr>
      <w:r w:rsidRPr="00553709">
        <w:rPr>
          <w:sz w:val="20"/>
          <w:szCs w:val="20"/>
        </w:rPr>
        <w:t>Equation 3</w:t>
      </w:r>
      <w:r w:rsidRPr="00F6579B">
        <w:rPr>
          <w:sz w:val="20"/>
          <w:szCs w:val="20"/>
        </w:rPr>
        <w:t>: Lighting Savings Overlap for each Treatment group (</w:t>
      </w:r>
      <w:proofErr w:type="spellStart"/>
      <w:r w:rsidRPr="00F6579B">
        <w:rPr>
          <w:sz w:val="20"/>
          <w:szCs w:val="20"/>
        </w:rPr>
        <w:t>GWh</w:t>
      </w:r>
      <w:proofErr w:type="spellEnd"/>
      <w:r w:rsidRPr="00F6579B">
        <w:rPr>
          <w:sz w:val="20"/>
          <w:szCs w:val="20"/>
        </w:rPr>
        <w:t>/</w:t>
      </w:r>
      <w:proofErr w:type="spellStart"/>
      <w:r w:rsidRPr="00F6579B">
        <w:rPr>
          <w:sz w:val="20"/>
          <w:szCs w:val="20"/>
        </w:rPr>
        <w:t>yr</w:t>
      </w:r>
      <w:proofErr w:type="spellEnd"/>
      <w:r w:rsidRPr="00F6579B">
        <w:rPr>
          <w:sz w:val="20"/>
          <w:szCs w:val="20"/>
        </w:rPr>
        <w:t>)</w:t>
      </w:r>
    </w:p>
    <w:p w:rsidR="005963DB" w:rsidRDefault="005963DB" w:rsidP="005963DB">
      <w:pPr>
        <w:pStyle w:val="ListParagraph"/>
        <w:ind w:left="1440"/>
        <w:rPr>
          <w:sz w:val="20"/>
          <w:szCs w:val="20"/>
        </w:rPr>
      </w:pPr>
      <w:r w:rsidRPr="00F6579B">
        <w:rPr>
          <w:sz w:val="20"/>
          <w:szCs w:val="20"/>
        </w:rPr>
        <w:t xml:space="preserve">= Number of households in </w:t>
      </w:r>
      <w:r w:rsidR="00566407">
        <w:rPr>
          <w:sz w:val="20"/>
          <w:szCs w:val="20"/>
        </w:rPr>
        <w:t xml:space="preserve">the </w:t>
      </w:r>
      <w:r w:rsidRPr="00F6579B">
        <w:rPr>
          <w:sz w:val="20"/>
          <w:szCs w:val="20"/>
        </w:rPr>
        <w:t xml:space="preserve">Treatment group </w:t>
      </w:r>
      <w:r w:rsidR="00566407">
        <w:rPr>
          <w:sz w:val="20"/>
          <w:szCs w:val="20"/>
        </w:rPr>
        <w:t xml:space="preserve">of an experiment </w:t>
      </w:r>
      <w:r w:rsidRPr="00F6579B">
        <w:rPr>
          <w:sz w:val="20"/>
          <w:szCs w:val="20"/>
        </w:rPr>
        <w:t xml:space="preserve">x (kWh attributable to HER program and ULP per household for CFLs + kWh attributable to HER program and ULP per household for LEDs) x 1 </w:t>
      </w:r>
      <w:proofErr w:type="spellStart"/>
      <w:r w:rsidRPr="00F6579B">
        <w:rPr>
          <w:sz w:val="20"/>
          <w:szCs w:val="20"/>
        </w:rPr>
        <w:t>GWh</w:t>
      </w:r>
      <w:proofErr w:type="spellEnd"/>
      <w:r w:rsidRPr="00F6579B">
        <w:rPr>
          <w:sz w:val="20"/>
          <w:szCs w:val="20"/>
        </w:rPr>
        <w:t>/10</w:t>
      </w:r>
      <w:r w:rsidRPr="00553709">
        <w:rPr>
          <w:sz w:val="20"/>
          <w:szCs w:val="20"/>
          <w:vertAlign w:val="superscript"/>
        </w:rPr>
        <w:t>6</w:t>
      </w:r>
      <w:r w:rsidRPr="00F6579B">
        <w:rPr>
          <w:sz w:val="20"/>
          <w:szCs w:val="20"/>
        </w:rPr>
        <w:t xml:space="preserve"> kWh</w:t>
      </w:r>
    </w:p>
    <w:p w:rsidR="00184ABD" w:rsidRPr="00F6579B" w:rsidRDefault="00184ABD" w:rsidP="005963DB">
      <w:pPr>
        <w:pStyle w:val="ListParagraph"/>
        <w:ind w:left="1440"/>
        <w:rPr>
          <w:sz w:val="20"/>
          <w:szCs w:val="20"/>
        </w:rPr>
      </w:pPr>
    </w:p>
    <w:p w:rsidR="00184ABD" w:rsidRDefault="005963DB" w:rsidP="00C159ED">
      <w:pPr>
        <w:ind w:left="720"/>
        <w:contextualSpacing/>
        <w:rPr>
          <w:sz w:val="20"/>
          <w:szCs w:val="20"/>
        </w:rPr>
      </w:pPr>
      <w:r w:rsidRPr="00DB2F92">
        <w:rPr>
          <w:sz w:val="20"/>
          <w:szCs w:val="20"/>
        </w:rPr>
        <w:t>TRC</w:t>
      </w:r>
      <w:r w:rsidR="005D0539">
        <w:rPr>
          <w:sz w:val="20"/>
          <w:szCs w:val="20"/>
        </w:rPr>
        <w:t xml:space="preserve"> Energy Services</w:t>
      </w:r>
      <w:r w:rsidRPr="00DB2F92">
        <w:rPr>
          <w:sz w:val="20"/>
          <w:szCs w:val="20"/>
        </w:rPr>
        <w:t xml:space="preserve"> obtained many of the values </w:t>
      </w:r>
      <w:r w:rsidR="002B4B14">
        <w:rPr>
          <w:sz w:val="20"/>
          <w:szCs w:val="20"/>
        </w:rPr>
        <w:t xml:space="preserve">for the abovementioned parameters </w:t>
      </w:r>
      <w:r w:rsidRPr="00DB2F92">
        <w:rPr>
          <w:sz w:val="20"/>
          <w:szCs w:val="20"/>
        </w:rPr>
        <w:t xml:space="preserve">from </w:t>
      </w:r>
      <w:r w:rsidR="002B4B14">
        <w:rPr>
          <w:sz w:val="20"/>
          <w:szCs w:val="20"/>
        </w:rPr>
        <w:t xml:space="preserve">PG&amp;E’s </w:t>
      </w:r>
      <w:r>
        <w:rPr>
          <w:sz w:val="20"/>
          <w:szCs w:val="20"/>
        </w:rPr>
        <w:t>2010-12 ULP impact evaluation</w:t>
      </w:r>
      <w:r w:rsidRPr="00DB2F92">
        <w:rPr>
          <w:sz w:val="20"/>
          <w:szCs w:val="20"/>
        </w:rPr>
        <w:t xml:space="preserve">. </w:t>
      </w:r>
      <w:r>
        <w:rPr>
          <w:sz w:val="20"/>
          <w:szCs w:val="20"/>
        </w:rPr>
        <w:t>E</w:t>
      </w:r>
      <w:r w:rsidRPr="00DB2F92">
        <w:rPr>
          <w:sz w:val="20"/>
          <w:szCs w:val="20"/>
        </w:rPr>
        <w:t xml:space="preserve">stimates for excess </w:t>
      </w:r>
      <w:r w:rsidR="002B4B14">
        <w:rPr>
          <w:sz w:val="20"/>
          <w:szCs w:val="20"/>
        </w:rPr>
        <w:t xml:space="preserve">efficient </w:t>
      </w:r>
      <w:r w:rsidRPr="00DB2F92">
        <w:rPr>
          <w:sz w:val="20"/>
          <w:szCs w:val="20"/>
        </w:rPr>
        <w:t xml:space="preserve">lamps (CFLs and LEDs) </w:t>
      </w:r>
      <w:r w:rsidR="00F31A69">
        <w:rPr>
          <w:sz w:val="20"/>
          <w:szCs w:val="20"/>
        </w:rPr>
        <w:t>are</w:t>
      </w:r>
      <w:r>
        <w:rPr>
          <w:sz w:val="20"/>
          <w:szCs w:val="20"/>
        </w:rPr>
        <w:t xml:space="preserve"> based on</w:t>
      </w:r>
      <w:r w:rsidRPr="00CE6DAC">
        <w:rPr>
          <w:sz w:val="20"/>
          <w:szCs w:val="20"/>
        </w:rPr>
        <w:t xml:space="preserve"> results of the 2012 </w:t>
      </w:r>
      <w:r w:rsidRPr="0077653A">
        <w:rPr>
          <w:rFonts w:eastAsiaTheme="minorHAnsi" w:cs="Arial"/>
          <w:sz w:val="20"/>
          <w:szCs w:val="20"/>
        </w:rPr>
        <w:t xml:space="preserve">home inventory </w:t>
      </w:r>
      <w:r>
        <w:rPr>
          <w:rFonts w:eastAsiaTheme="minorHAnsi" w:cs="Arial"/>
          <w:sz w:val="20"/>
          <w:szCs w:val="20"/>
        </w:rPr>
        <w:t>survey</w:t>
      </w:r>
      <w:r w:rsidRPr="00CC7985">
        <w:rPr>
          <w:rStyle w:val="EndnoteReference"/>
          <w:bCs/>
          <w:sz w:val="20"/>
          <w:szCs w:val="20"/>
        </w:rPr>
        <w:t xml:space="preserve"> </w:t>
      </w:r>
      <w:r w:rsidRPr="00CC7985">
        <w:rPr>
          <w:rStyle w:val="EndnoteReference"/>
          <w:bCs/>
          <w:sz w:val="20"/>
          <w:szCs w:val="20"/>
        </w:rPr>
        <w:endnoteReference w:id="2"/>
      </w:r>
      <w:r w:rsidR="0058234E">
        <w:rPr>
          <w:sz w:val="20"/>
          <w:szCs w:val="20"/>
        </w:rPr>
        <w:t xml:space="preserve"> done for the 2012 HER program evaluation,</w:t>
      </w:r>
      <w:r w:rsidRPr="00CE6DAC">
        <w:rPr>
          <w:sz w:val="20"/>
          <w:szCs w:val="20"/>
        </w:rPr>
        <w:t xml:space="preserve"> as well as results from </w:t>
      </w:r>
      <w:r>
        <w:rPr>
          <w:sz w:val="20"/>
          <w:szCs w:val="20"/>
        </w:rPr>
        <w:t>the 2014</w:t>
      </w:r>
      <w:r w:rsidRPr="00CE6DAC">
        <w:rPr>
          <w:sz w:val="20"/>
          <w:szCs w:val="20"/>
        </w:rPr>
        <w:t xml:space="preserve"> phone survey conducted for </w:t>
      </w:r>
      <w:r w:rsidR="0058234E">
        <w:rPr>
          <w:sz w:val="20"/>
          <w:szCs w:val="20"/>
        </w:rPr>
        <w:t>the 2014</w:t>
      </w:r>
      <w:r w:rsidRPr="00CE6DAC">
        <w:rPr>
          <w:sz w:val="20"/>
          <w:szCs w:val="20"/>
        </w:rPr>
        <w:t xml:space="preserve"> Puget Sound Energy</w:t>
      </w:r>
      <w:r w:rsidR="0058234E">
        <w:rPr>
          <w:sz w:val="20"/>
          <w:szCs w:val="20"/>
        </w:rPr>
        <w:t>’s</w:t>
      </w:r>
      <w:r w:rsidRPr="00CE6DAC">
        <w:rPr>
          <w:sz w:val="20"/>
          <w:szCs w:val="20"/>
        </w:rPr>
        <w:t xml:space="preserve"> evaluation</w:t>
      </w:r>
      <w:r w:rsidR="0058234E">
        <w:rPr>
          <w:sz w:val="20"/>
          <w:szCs w:val="20"/>
        </w:rPr>
        <w:t>.</w:t>
      </w:r>
    </w:p>
    <w:p w:rsidR="00184ABD" w:rsidRDefault="0058234E" w:rsidP="00C159ED">
      <w:pPr>
        <w:ind w:left="720"/>
        <w:contextualSpacing/>
        <w:rPr>
          <w:sz w:val="20"/>
          <w:szCs w:val="20"/>
        </w:rPr>
      </w:pPr>
      <w:r>
        <w:rPr>
          <w:rFonts w:eastAsiaTheme="minorHAnsi" w:cs="Arial"/>
          <w:sz w:val="20"/>
          <w:szCs w:val="20"/>
        </w:rPr>
        <w:t xml:space="preserve">During </w:t>
      </w:r>
      <w:r w:rsidR="005963DB" w:rsidRPr="0077653A">
        <w:rPr>
          <w:rFonts w:eastAsiaTheme="minorHAnsi" w:cs="Arial"/>
          <w:sz w:val="20"/>
          <w:szCs w:val="20"/>
        </w:rPr>
        <w:t xml:space="preserve">the 2012 </w:t>
      </w:r>
      <w:r>
        <w:rPr>
          <w:rFonts w:eastAsiaTheme="minorHAnsi" w:cs="Arial"/>
          <w:sz w:val="20"/>
          <w:szCs w:val="20"/>
        </w:rPr>
        <w:t>home inventory</w:t>
      </w:r>
      <w:r w:rsidR="005963DB" w:rsidRPr="0077653A">
        <w:rPr>
          <w:rFonts w:eastAsiaTheme="minorHAnsi" w:cs="Arial"/>
          <w:sz w:val="20"/>
          <w:szCs w:val="20"/>
        </w:rPr>
        <w:t xml:space="preserve">, evaluators </w:t>
      </w:r>
      <w:r>
        <w:rPr>
          <w:rFonts w:eastAsiaTheme="minorHAnsi" w:cs="Arial"/>
          <w:sz w:val="20"/>
          <w:szCs w:val="20"/>
        </w:rPr>
        <w:t>surveye</w:t>
      </w:r>
      <w:r w:rsidR="00AD71FB">
        <w:rPr>
          <w:rFonts w:eastAsiaTheme="minorHAnsi" w:cs="Arial"/>
          <w:sz w:val="20"/>
          <w:szCs w:val="20"/>
        </w:rPr>
        <w:t>d</w:t>
      </w:r>
      <w:r>
        <w:rPr>
          <w:rFonts w:eastAsiaTheme="minorHAnsi" w:cs="Arial"/>
          <w:sz w:val="20"/>
          <w:szCs w:val="20"/>
        </w:rPr>
        <w:t xml:space="preserve"> </w:t>
      </w:r>
      <w:r w:rsidR="005963DB" w:rsidRPr="0077653A">
        <w:rPr>
          <w:rFonts w:eastAsiaTheme="minorHAnsi" w:cs="Arial"/>
          <w:sz w:val="20"/>
          <w:szCs w:val="20"/>
        </w:rPr>
        <w:t>702 homes (approximately half in treatment and half in control conditions)</w:t>
      </w:r>
      <w:r w:rsidR="005963DB" w:rsidRPr="00D62002">
        <w:rPr>
          <w:rFonts w:eastAsiaTheme="minorHAnsi" w:cs="Arial"/>
          <w:sz w:val="20"/>
          <w:szCs w:val="20"/>
        </w:rPr>
        <w:t>. This on-site survey found that HER treatment households had installed an average of 0.95 more CFL</w:t>
      </w:r>
      <w:r w:rsidR="00664856">
        <w:rPr>
          <w:rFonts w:eastAsiaTheme="minorHAnsi" w:cs="Arial"/>
          <w:sz w:val="20"/>
          <w:szCs w:val="20"/>
        </w:rPr>
        <w:t>s</w:t>
      </w:r>
      <w:r w:rsidR="005963DB" w:rsidRPr="00D62002">
        <w:rPr>
          <w:rFonts w:eastAsiaTheme="minorHAnsi" w:cs="Arial"/>
          <w:sz w:val="20"/>
          <w:szCs w:val="20"/>
        </w:rPr>
        <w:t xml:space="preserve"> than the control group</w:t>
      </w:r>
      <w:r w:rsidR="005963DB" w:rsidRPr="001D6ECB">
        <w:rPr>
          <w:rFonts w:eastAsiaTheme="minorHAnsi" w:cs="Arial"/>
          <w:sz w:val="20"/>
          <w:szCs w:val="20"/>
        </w:rPr>
        <w:t>. This value of 0.95 CFL had large confidence intervals that included zero – i.e., there may have been no statistical difference in CFL installations between HER and no</w:t>
      </w:r>
      <w:r w:rsidR="00373A84">
        <w:rPr>
          <w:rFonts w:eastAsiaTheme="minorHAnsi" w:cs="Arial"/>
          <w:sz w:val="20"/>
          <w:szCs w:val="20"/>
        </w:rPr>
        <w:t>n-HER households. In addition, the 2014</w:t>
      </w:r>
      <w:r w:rsidR="005963DB" w:rsidRPr="001D6ECB">
        <w:rPr>
          <w:rFonts w:eastAsiaTheme="minorHAnsi" w:cs="Arial"/>
          <w:sz w:val="20"/>
          <w:szCs w:val="20"/>
        </w:rPr>
        <w:t xml:space="preserve"> phone survey of HER treatment households (n = 1,649) and control households (n = 857) found there was no statistical difference in customer self-reported responses to the question of whether they had replaced incandescent lamps with CFLs; control and treatment households responded almost identically</w:t>
      </w:r>
      <w:r w:rsidR="005963DB" w:rsidRPr="00CC7985">
        <w:rPr>
          <w:rStyle w:val="EndnoteReference"/>
          <w:sz w:val="20"/>
          <w:szCs w:val="20"/>
        </w:rPr>
        <w:endnoteReference w:id="3"/>
      </w:r>
      <w:r w:rsidR="005963DB" w:rsidRPr="001D6ECB">
        <w:rPr>
          <w:sz w:val="20"/>
          <w:szCs w:val="20"/>
        </w:rPr>
        <w:t>.</w:t>
      </w:r>
      <w:r w:rsidR="007C66FA">
        <w:rPr>
          <w:sz w:val="20"/>
          <w:szCs w:val="20"/>
        </w:rPr>
        <w:t xml:space="preserve"> The latter study </w:t>
      </w:r>
      <w:r w:rsidR="007C66FA" w:rsidRPr="00CE6DAC">
        <w:rPr>
          <w:sz w:val="20"/>
          <w:szCs w:val="20"/>
        </w:rPr>
        <w:t>estimate</w:t>
      </w:r>
      <w:r w:rsidR="007C66FA">
        <w:rPr>
          <w:sz w:val="20"/>
          <w:szCs w:val="20"/>
        </w:rPr>
        <w:t>d</w:t>
      </w:r>
      <w:r w:rsidR="007C66FA" w:rsidRPr="00CE6DAC">
        <w:rPr>
          <w:sz w:val="20"/>
          <w:szCs w:val="20"/>
        </w:rPr>
        <w:t xml:space="preserve"> 0.95, 0.4, 0.15, and 0.08 excess lamps for the 1</w:t>
      </w:r>
      <w:r w:rsidR="007C66FA" w:rsidRPr="00553709">
        <w:rPr>
          <w:sz w:val="20"/>
          <w:szCs w:val="20"/>
          <w:vertAlign w:val="superscript"/>
        </w:rPr>
        <w:t>st</w:t>
      </w:r>
      <w:r w:rsidR="007C66FA" w:rsidRPr="00CE6DAC">
        <w:rPr>
          <w:sz w:val="20"/>
          <w:szCs w:val="20"/>
        </w:rPr>
        <w:t>, 2</w:t>
      </w:r>
      <w:r w:rsidR="007C66FA" w:rsidRPr="00553709">
        <w:rPr>
          <w:sz w:val="20"/>
          <w:szCs w:val="20"/>
          <w:vertAlign w:val="superscript"/>
        </w:rPr>
        <w:t>nd</w:t>
      </w:r>
      <w:r w:rsidR="007C66FA" w:rsidRPr="00CE6DAC">
        <w:rPr>
          <w:sz w:val="20"/>
          <w:szCs w:val="20"/>
        </w:rPr>
        <w:t>, 3</w:t>
      </w:r>
      <w:r w:rsidR="007C66FA" w:rsidRPr="00553709">
        <w:rPr>
          <w:sz w:val="20"/>
          <w:szCs w:val="20"/>
          <w:vertAlign w:val="superscript"/>
        </w:rPr>
        <w:t>rd</w:t>
      </w:r>
      <w:r w:rsidR="007C66FA">
        <w:rPr>
          <w:sz w:val="20"/>
          <w:szCs w:val="20"/>
        </w:rPr>
        <w:t>, and 4</w:t>
      </w:r>
      <w:r w:rsidR="007C66FA" w:rsidRPr="00553709">
        <w:rPr>
          <w:sz w:val="20"/>
          <w:szCs w:val="20"/>
          <w:vertAlign w:val="superscript"/>
        </w:rPr>
        <w:t>th</w:t>
      </w:r>
      <w:r w:rsidR="007C66FA" w:rsidRPr="00CE6DAC">
        <w:rPr>
          <w:sz w:val="20"/>
          <w:szCs w:val="20"/>
        </w:rPr>
        <w:t xml:space="preserve"> year of HER treatment, respectively.</w:t>
      </w:r>
    </w:p>
    <w:p w:rsidR="005963DB" w:rsidRDefault="005963DB" w:rsidP="00C159ED">
      <w:pPr>
        <w:ind w:left="720"/>
        <w:contextualSpacing/>
        <w:rPr>
          <w:sz w:val="20"/>
          <w:szCs w:val="20"/>
        </w:rPr>
      </w:pPr>
      <w:r w:rsidRPr="00CE6DAC">
        <w:rPr>
          <w:sz w:val="20"/>
          <w:szCs w:val="20"/>
        </w:rPr>
        <w:t xml:space="preserve">For </w:t>
      </w:r>
      <w:r w:rsidR="00AA0A6B">
        <w:rPr>
          <w:sz w:val="20"/>
          <w:szCs w:val="20"/>
        </w:rPr>
        <w:t xml:space="preserve">the </w:t>
      </w:r>
      <w:r w:rsidRPr="00CE6DAC">
        <w:rPr>
          <w:sz w:val="20"/>
          <w:szCs w:val="20"/>
        </w:rPr>
        <w:t>2011-2013</w:t>
      </w:r>
      <w:r w:rsidR="00AA0A6B">
        <w:rPr>
          <w:sz w:val="20"/>
          <w:szCs w:val="20"/>
        </w:rPr>
        <w:t xml:space="preserve"> evaluation</w:t>
      </w:r>
      <w:r w:rsidRPr="00CE6DAC">
        <w:rPr>
          <w:sz w:val="20"/>
          <w:szCs w:val="20"/>
        </w:rPr>
        <w:t xml:space="preserve">, TRC </w:t>
      </w:r>
      <w:r w:rsidR="00AA0A6B">
        <w:rPr>
          <w:sz w:val="20"/>
          <w:szCs w:val="20"/>
        </w:rPr>
        <w:t>Energy Services</w:t>
      </w:r>
      <w:r w:rsidR="009C19D1">
        <w:rPr>
          <w:sz w:val="20"/>
          <w:szCs w:val="20"/>
        </w:rPr>
        <w:t xml:space="preserve"> </w:t>
      </w:r>
      <w:r w:rsidRPr="00CE6DAC">
        <w:rPr>
          <w:sz w:val="20"/>
          <w:szCs w:val="20"/>
        </w:rPr>
        <w:t>assumed that all excess lamps were CFLs. For 2014, TRC assumed that excess lamps were a mix of CFLs and LEDs, reflecting the overall residential market purc</w:t>
      </w:r>
      <w:r w:rsidR="00025E91">
        <w:rPr>
          <w:sz w:val="20"/>
          <w:szCs w:val="20"/>
        </w:rPr>
        <w:t>hases of CFLs and LEDs in 2014.</w:t>
      </w:r>
      <w:r w:rsidR="00BB7A64">
        <w:rPr>
          <w:sz w:val="20"/>
          <w:szCs w:val="20"/>
        </w:rPr>
        <w:t xml:space="preserve"> </w:t>
      </w:r>
      <w:r w:rsidR="00652E41">
        <w:rPr>
          <w:sz w:val="20"/>
          <w:szCs w:val="20"/>
        </w:rPr>
        <w:t xml:space="preserve">The excess lamp estimate is to be </w:t>
      </w:r>
      <w:r>
        <w:rPr>
          <w:sz w:val="20"/>
          <w:szCs w:val="20"/>
        </w:rPr>
        <w:t xml:space="preserve">updated for </w:t>
      </w:r>
      <w:r w:rsidR="00A75B86">
        <w:rPr>
          <w:sz w:val="20"/>
          <w:szCs w:val="20"/>
        </w:rPr>
        <w:t>PG&amp;E’s</w:t>
      </w:r>
      <w:r>
        <w:rPr>
          <w:sz w:val="20"/>
          <w:szCs w:val="20"/>
        </w:rPr>
        <w:t xml:space="preserve"> 2015 impact evaluation based on an online survey to all HER participants who have been treated during two years or more.</w:t>
      </w:r>
    </w:p>
    <w:p w:rsidR="005963DB" w:rsidRDefault="005963DB" w:rsidP="00771691">
      <w:pPr>
        <w:rPr>
          <w:rFonts w:eastAsiaTheme="minorHAnsi" w:cs="Arial"/>
          <w:sz w:val="20"/>
          <w:szCs w:val="20"/>
        </w:rPr>
      </w:pPr>
    </w:p>
    <w:p w:rsidR="00047BF8" w:rsidRDefault="00047BF8" w:rsidP="00771691">
      <w:pPr>
        <w:rPr>
          <w:rFonts w:eastAsiaTheme="minorHAnsi" w:cs="Arial"/>
          <w:sz w:val="20"/>
          <w:szCs w:val="20"/>
        </w:rPr>
      </w:pPr>
      <w:r>
        <w:rPr>
          <w:rFonts w:eastAsiaTheme="minorHAnsi" w:cs="Arial"/>
          <w:sz w:val="20"/>
          <w:szCs w:val="20"/>
        </w:rPr>
        <w:t>Since program inception, the e</w:t>
      </w:r>
      <w:r w:rsidRPr="00047BF8">
        <w:rPr>
          <w:rFonts w:eastAsiaTheme="minorHAnsi" w:cs="Arial"/>
          <w:sz w:val="20"/>
          <w:szCs w:val="20"/>
        </w:rPr>
        <w:t xml:space="preserve">nergy and demand savings overlaps with downstream and upstream programs have been </w:t>
      </w:r>
      <w:r w:rsidR="00025E91">
        <w:rPr>
          <w:rFonts w:eastAsiaTheme="minorHAnsi" w:cs="Arial"/>
          <w:sz w:val="20"/>
          <w:szCs w:val="20"/>
        </w:rPr>
        <w:t xml:space="preserve">limited. Recent estimations show a significant reduction </w:t>
      </w:r>
      <w:r w:rsidR="00E841BE">
        <w:rPr>
          <w:rFonts w:eastAsiaTheme="minorHAnsi" w:cs="Arial"/>
          <w:sz w:val="20"/>
          <w:szCs w:val="20"/>
        </w:rPr>
        <w:t>of joint-savings</w:t>
      </w:r>
      <w:r w:rsidR="00A75B86">
        <w:rPr>
          <w:rFonts w:eastAsiaTheme="minorHAnsi" w:cs="Arial"/>
          <w:sz w:val="20"/>
          <w:szCs w:val="20"/>
        </w:rPr>
        <w:t>,</w:t>
      </w:r>
      <w:r w:rsidR="00E841BE">
        <w:rPr>
          <w:rFonts w:eastAsiaTheme="minorHAnsi" w:cs="Arial"/>
          <w:sz w:val="20"/>
          <w:szCs w:val="20"/>
        </w:rPr>
        <w:t xml:space="preserve"> </w:t>
      </w:r>
      <w:r w:rsidR="00025E91">
        <w:rPr>
          <w:rFonts w:eastAsiaTheme="minorHAnsi" w:cs="Arial"/>
          <w:sz w:val="20"/>
          <w:szCs w:val="20"/>
        </w:rPr>
        <w:t xml:space="preserve">below </w:t>
      </w:r>
      <w:r w:rsidRPr="00047BF8">
        <w:rPr>
          <w:rFonts w:eastAsiaTheme="minorHAnsi" w:cs="Arial"/>
          <w:sz w:val="20"/>
          <w:szCs w:val="20"/>
        </w:rPr>
        <w:t>6% of unadjusted savi</w:t>
      </w:r>
      <w:r>
        <w:rPr>
          <w:rFonts w:eastAsiaTheme="minorHAnsi" w:cs="Arial"/>
          <w:sz w:val="20"/>
          <w:szCs w:val="20"/>
        </w:rPr>
        <w:t>ngs during the 2014 evaluation (</w:t>
      </w:r>
      <w:r w:rsidRPr="00047BF8">
        <w:rPr>
          <w:rFonts w:eastAsiaTheme="minorHAnsi" w:cs="Arial"/>
          <w:sz w:val="20"/>
          <w:szCs w:val="20"/>
        </w:rPr>
        <w:fldChar w:fldCharType="begin"/>
      </w:r>
      <w:r w:rsidRPr="00047BF8">
        <w:rPr>
          <w:rFonts w:eastAsiaTheme="minorHAnsi" w:cs="Arial"/>
          <w:sz w:val="20"/>
          <w:szCs w:val="20"/>
        </w:rPr>
        <w:instrText xml:space="preserve"> REF _Ref473821465 \h </w:instrText>
      </w:r>
      <w:r w:rsidRPr="00C159ED">
        <w:rPr>
          <w:rFonts w:eastAsiaTheme="minorHAnsi" w:cs="Arial"/>
          <w:sz w:val="20"/>
          <w:szCs w:val="20"/>
        </w:rPr>
        <w:instrText xml:space="preserve"> \* MERGEFORMAT </w:instrText>
      </w:r>
      <w:r w:rsidRPr="00047BF8">
        <w:rPr>
          <w:rFonts w:eastAsiaTheme="minorHAnsi" w:cs="Arial"/>
          <w:sz w:val="20"/>
          <w:szCs w:val="20"/>
        </w:rPr>
      </w:r>
      <w:r w:rsidRPr="00047BF8">
        <w:rPr>
          <w:rFonts w:eastAsiaTheme="minorHAnsi" w:cs="Arial"/>
          <w:sz w:val="20"/>
          <w:szCs w:val="20"/>
        </w:rPr>
        <w:fldChar w:fldCharType="separate"/>
      </w:r>
      <w:r w:rsidR="00992DF9" w:rsidRPr="00992DF9">
        <w:rPr>
          <w:sz w:val="20"/>
          <w:szCs w:val="20"/>
        </w:rPr>
        <w:t xml:space="preserve">Table </w:t>
      </w:r>
      <w:r w:rsidR="00992DF9" w:rsidRPr="00992DF9">
        <w:rPr>
          <w:noProof/>
          <w:sz w:val="20"/>
          <w:szCs w:val="20"/>
        </w:rPr>
        <w:t>1</w:t>
      </w:r>
      <w:r w:rsidRPr="00047BF8">
        <w:rPr>
          <w:rFonts w:eastAsiaTheme="minorHAnsi" w:cs="Arial"/>
          <w:sz w:val="20"/>
          <w:szCs w:val="20"/>
        </w:rPr>
        <w:fldChar w:fldCharType="end"/>
      </w:r>
      <w:r>
        <w:rPr>
          <w:rFonts w:eastAsiaTheme="minorHAnsi" w:cs="Arial"/>
          <w:sz w:val="20"/>
          <w:szCs w:val="20"/>
        </w:rPr>
        <w:t>).</w:t>
      </w:r>
      <w:r w:rsidR="00E841BE">
        <w:rPr>
          <w:rFonts w:eastAsiaTheme="minorHAnsi" w:cs="Arial"/>
          <w:sz w:val="20"/>
          <w:szCs w:val="20"/>
        </w:rPr>
        <w:t xml:space="preserve"> This </w:t>
      </w:r>
      <w:r w:rsidR="00A75B86">
        <w:rPr>
          <w:rFonts w:eastAsiaTheme="minorHAnsi" w:cs="Arial"/>
          <w:sz w:val="20"/>
          <w:szCs w:val="20"/>
        </w:rPr>
        <w:t xml:space="preserve">trend </w:t>
      </w:r>
      <w:r w:rsidR="00E841BE">
        <w:rPr>
          <w:rFonts w:eastAsiaTheme="minorHAnsi" w:cs="Arial"/>
          <w:sz w:val="20"/>
          <w:szCs w:val="20"/>
        </w:rPr>
        <w:t xml:space="preserve">mainly comes </w:t>
      </w:r>
      <w:r w:rsidR="00B4098F">
        <w:rPr>
          <w:rFonts w:eastAsiaTheme="minorHAnsi" w:cs="Arial"/>
          <w:sz w:val="20"/>
          <w:szCs w:val="20"/>
        </w:rPr>
        <w:t xml:space="preserve">from </w:t>
      </w:r>
      <w:r w:rsidR="00A75B86">
        <w:rPr>
          <w:rFonts w:eastAsiaTheme="minorHAnsi" w:cs="Arial"/>
          <w:sz w:val="20"/>
          <w:szCs w:val="20"/>
        </w:rPr>
        <w:t xml:space="preserve">a reduction in </w:t>
      </w:r>
      <w:r w:rsidR="00D92694">
        <w:rPr>
          <w:rFonts w:eastAsiaTheme="minorHAnsi" w:cs="Arial"/>
          <w:sz w:val="20"/>
          <w:szCs w:val="20"/>
        </w:rPr>
        <w:t xml:space="preserve">upstream </w:t>
      </w:r>
      <w:r w:rsidR="00A75B86">
        <w:rPr>
          <w:rFonts w:eastAsiaTheme="minorHAnsi" w:cs="Arial"/>
          <w:sz w:val="20"/>
          <w:szCs w:val="20"/>
        </w:rPr>
        <w:t>joint-</w:t>
      </w:r>
      <w:r w:rsidR="00D92694">
        <w:rPr>
          <w:rFonts w:eastAsiaTheme="minorHAnsi" w:cs="Arial"/>
          <w:sz w:val="20"/>
          <w:szCs w:val="20"/>
        </w:rPr>
        <w:t xml:space="preserve">savings and is consistent with PG&amp;E’s upstream lighting program </w:t>
      </w:r>
      <w:r w:rsidR="004D428E">
        <w:rPr>
          <w:rFonts w:eastAsiaTheme="minorHAnsi" w:cs="Arial"/>
          <w:sz w:val="20"/>
          <w:szCs w:val="20"/>
        </w:rPr>
        <w:t xml:space="preserve">being </w:t>
      </w:r>
      <w:r w:rsidR="00D92694">
        <w:rPr>
          <w:rFonts w:eastAsiaTheme="minorHAnsi" w:cs="Arial"/>
          <w:sz w:val="20"/>
          <w:szCs w:val="20"/>
        </w:rPr>
        <w:t>scale</w:t>
      </w:r>
      <w:r w:rsidR="004D428E">
        <w:rPr>
          <w:rFonts w:eastAsiaTheme="minorHAnsi" w:cs="Arial"/>
          <w:sz w:val="20"/>
          <w:szCs w:val="20"/>
        </w:rPr>
        <w:t>d</w:t>
      </w:r>
      <w:r w:rsidR="00D92694">
        <w:rPr>
          <w:rFonts w:eastAsiaTheme="minorHAnsi" w:cs="Arial"/>
          <w:sz w:val="20"/>
          <w:szCs w:val="20"/>
        </w:rPr>
        <w:t xml:space="preserve"> down.</w:t>
      </w:r>
    </w:p>
    <w:p w:rsidR="00047BF8" w:rsidRDefault="00047BF8" w:rsidP="00771691">
      <w:pPr>
        <w:rPr>
          <w:rFonts w:eastAsiaTheme="minorHAnsi" w:cs="Arial"/>
          <w:sz w:val="20"/>
          <w:szCs w:val="20"/>
        </w:rPr>
      </w:pPr>
    </w:p>
    <w:p w:rsidR="00015D8B" w:rsidRPr="003541A6" w:rsidRDefault="00015D8B" w:rsidP="00015D8B">
      <w:pPr>
        <w:pStyle w:val="Caption"/>
        <w:keepNext/>
        <w:rPr>
          <w:rFonts w:ascii="Calibri" w:hAnsi="Calibri" w:cs="Calibri"/>
          <w:sz w:val="26"/>
          <w:szCs w:val="26"/>
        </w:rPr>
      </w:pPr>
      <w:bookmarkStart w:id="34" w:name="_Ref473821465"/>
      <w:bookmarkStart w:id="35" w:name="_Toc476228506"/>
      <w:r w:rsidRPr="003541A6">
        <w:t xml:space="preserve">Table </w:t>
      </w:r>
      <w:r w:rsidR="00B37A08">
        <w:fldChar w:fldCharType="begin"/>
      </w:r>
      <w:r w:rsidR="00B37A08">
        <w:instrText xml:space="preserve"> SEQ Table \* ARABIC </w:instrText>
      </w:r>
      <w:r w:rsidR="00B37A08">
        <w:fldChar w:fldCharType="separate"/>
      </w:r>
      <w:r w:rsidR="00992DF9">
        <w:rPr>
          <w:noProof/>
        </w:rPr>
        <w:t>1</w:t>
      </w:r>
      <w:r w:rsidR="00B37A08">
        <w:rPr>
          <w:noProof/>
        </w:rPr>
        <w:fldChar w:fldCharType="end"/>
      </w:r>
      <w:bookmarkEnd w:id="34"/>
      <w:r w:rsidRPr="003541A6">
        <w:rPr>
          <w:rFonts w:ascii="Calibri" w:hAnsi="Calibri" w:cs="Calibri"/>
          <w:sz w:val="26"/>
          <w:szCs w:val="26"/>
        </w:rPr>
        <w:t xml:space="preserve"> </w:t>
      </w:r>
      <w:r w:rsidR="00A22129">
        <w:rPr>
          <w:rFonts w:cs="Arial"/>
        </w:rPr>
        <w:t>S</w:t>
      </w:r>
      <w:r w:rsidRPr="00015D8B">
        <w:rPr>
          <w:rFonts w:cs="Arial"/>
        </w:rPr>
        <w:t xml:space="preserve">avings </w:t>
      </w:r>
      <w:r w:rsidR="00A22129">
        <w:rPr>
          <w:rFonts w:cs="Arial"/>
        </w:rPr>
        <w:t xml:space="preserve">overlap </w:t>
      </w:r>
      <w:r w:rsidRPr="00015D8B">
        <w:rPr>
          <w:rFonts w:cs="Arial"/>
        </w:rPr>
        <w:t xml:space="preserve">estimates </w:t>
      </w:r>
      <w:r w:rsidR="00A22129">
        <w:rPr>
          <w:rFonts w:cs="Arial"/>
        </w:rPr>
        <w:t xml:space="preserve">between the HER program and </w:t>
      </w:r>
      <w:r w:rsidR="00BD1629">
        <w:rPr>
          <w:rFonts w:cs="Arial"/>
        </w:rPr>
        <w:t>downstream/</w:t>
      </w:r>
      <w:r w:rsidR="00A22129">
        <w:rPr>
          <w:rFonts w:cs="Arial"/>
        </w:rPr>
        <w:t>upstream measures</w:t>
      </w:r>
      <w:r w:rsidR="0090145B">
        <w:rPr>
          <w:rFonts w:cs="Arial"/>
        </w:rPr>
        <w:t xml:space="preserve"> as a percentage of unadjusted electric savings</w:t>
      </w:r>
      <w:bookmarkEnd w:id="35"/>
    </w:p>
    <w:tbl>
      <w:tblPr>
        <w:tblW w:w="0" w:type="auto"/>
        <w:tblInd w:w="108" w:type="dxa"/>
        <w:tblLook w:val="04A0" w:firstRow="1" w:lastRow="0" w:firstColumn="1" w:lastColumn="0" w:noHBand="0" w:noVBand="1"/>
      </w:tblPr>
      <w:tblGrid>
        <w:gridCol w:w="3168"/>
        <w:gridCol w:w="1176"/>
        <w:gridCol w:w="784"/>
        <w:gridCol w:w="672"/>
      </w:tblGrid>
      <w:tr w:rsidR="00FF35E7" w:rsidRPr="00BD02D0" w:rsidTr="00C159ED">
        <w:trPr>
          <w:trHeight w:val="315"/>
        </w:trPr>
        <w:tc>
          <w:tcPr>
            <w:tcW w:w="0" w:type="auto"/>
            <w:tcBorders>
              <w:top w:val="single" w:sz="4" w:space="0" w:color="auto"/>
              <w:left w:val="single" w:sz="4" w:space="0" w:color="auto"/>
              <w:bottom w:val="single" w:sz="8" w:space="0" w:color="auto"/>
              <w:right w:val="nil"/>
            </w:tcBorders>
            <w:shd w:val="clear" w:color="000000" w:fill="D9D9D9"/>
            <w:noWrap/>
            <w:vAlign w:val="center"/>
            <w:hideMark/>
          </w:tcPr>
          <w:p w:rsidR="00FF35E7" w:rsidRPr="00453CE7" w:rsidRDefault="00FF35E7" w:rsidP="00C159ED">
            <w:pPr>
              <w:keepNext/>
              <w:rPr>
                <w:rFonts w:ascii="Calibri" w:hAnsi="Calibri" w:cs="Calibri"/>
                <w:b/>
                <w:color w:val="000000"/>
                <w:szCs w:val="22"/>
              </w:rPr>
            </w:pPr>
            <w:r w:rsidRPr="00015D8B">
              <w:rPr>
                <w:rFonts w:ascii="Calibri" w:hAnsi="Calibri" w:cs="Calibri"/>
                <w:b/>
                <w:color w:val="000000"/>
                <w:szCs w:val="22"/>
              </w:rPr>
              <w:t>% of Unadjusted electric Savings</w:t>
            </w:r>
          </w:p>
        </w:tc>
        <w:tc>
          <w:tcPr>
            <w:tcW w:w="0" w:type="auto"/>
            <w:tcBorders>
              <w:top w:val="single" w:sz="4" w:space="0" w:color="auto"/>
              <w:left w:val="nil"/>
              <w:bottom w:val="single" w:sz="8" w:space="0" w:color="auto"/>
              <w:right w:val="nil"/>
            </w:tcBorders>
            <w:shd w:val="clear" w:color="000000" w:fill="D9D9D9"/>
            <w:noWrap/>
            <w:vAlign w:val="center"/>
            <w:hideMark/>
          </w:tcPr>
          <w:p w:rsidR="00FF35E7" w:rsidRPr="00453CE7" w:rsidRDefault="00FF35E7" w:rsidP="00FF35E7">
            <w:pPr>
              <w:keepNext/>
              <w:jc w:val="center"/>
              <w:rPr>
                <w:rFonts w:ascii="Calibri" w:hAnsi="Calibri" w:cs="Calibri"/>
                <w:b/>
                <w:color w:val="000000"/>
                <w:szCs w:val="22"/>
              </w:rPr>
            </w:pPr>
            <w:r w:rsidRPr="00015D8B">
              <w:rPr>
                <w:rFonts w:ascii="Calibri" w:hAnsi="Calibri" w:cs="Calibri"/>
                <w:b/>
                <w:color w:val="000000"/>
                <w:szCs w:val="22"/>
              </w:rPr>
              <w:t>2010-2012</w:t>
            </w:r>
          </w:p>
        </w:tc>
        <w:tc>
          <w:tcPr>
            <w:tcW w:w="0" w:type="auto"/>
            <w:tcBorders>
              <w:top w:val="single" w:sz="4" w:space="0" w:color="auto"/>
              <w:left w:val="nil"/>
              <w:bottom w:val="single" w:sz="8" w:space="0" w:color="auto"/>
            </w:tcBorders>
            <w:shd w:val="clear" w:color="000000" w:fill="D9D9D9"/>
            <w:noWrap/>
            <w:vAlign w:val="center"/>
            <w:hideMark/>
          </w:tcPr>
          <w:p w:rsidR="00FF35E7" w:rsidRPr="00453CE7" w:rsidRDefault="00FF35E7" w:rsidP="00FF35E7">
            <w:pPr>
              <w:keepNext/>
              <w:jc w:val="center"/>
              <w:rPr>
                <w:rFonts w:ascii="Calibri" w:hAnsi="Calibri" w:cs="Calibri"/>
                <w:b/>
                <w:color w:val="000000"/>
                <w:szCs w:val="22"/>
              </w:rPr>
            </w:pPr>
            <w:r w:rsidRPr="00015D8B">
              <w:rPr>
                <w:rFonts w:ascii="Calibri" w:hAnsi="Calibri" w:cs="Calibri"/>
                <w:b/>
                <w:color w:val="000000"/>
                <w:szCs w:val="22"/>
              </w:rPr>
              <w:t>2013</w:t>
            </w:r>
          </w:p>
        </w:tc>
        <w:tc>
          <w:tcPr>
            <w:tcW w:w="0" w:type="auto"/>
            <w:tcBorders>
              <w:top w:val="single" w:sz="4" w:space="0" w:color="auto"/>
              <w:left w:val="nil"/>
              <w:bottom w:val="single" w:sz="8" w:space="0" w:color="auto"/>
              <w:right w:val="single" w:sz="4" w:space="0" w:color="auto"/>
            </w:tcBorders>
            <w:shd w:val="clear" w:color="000000" w:fill="D9D9D9"/>
            <w:vAlign w:val="center"/>
          </w:tcPr>
          <w:p w:rsidR="00FF35E7" w:rsidRPr="00015D8B" w:rsidRDefault="00FF35E7" w:rsidP="00FF35E7">
            <w:pPr>
              <w:keepNext/>
              <w:jc w:val="center"/>
              <w:rPr>
                <w:rFonts w:ascii="Calibri" w:hAnsi="Calibri" w:cs="Calibri"/>
                <w:b/>
                <w:color w:val="000000"/>
                <w:szCs w:val="22"/>
              </w:rPr>
            </w:pPr>
            <w:r w:rsidRPr="00FF35E7">
              <w:rPr>
                <w:rFonts w:ascii="Calibri" w:hAnsi="Calibri" w:cs="Calibri"/>
                <w:b/>
                <w:color w:val="000000"/>
                <w:szCs w:val="22"/>
              </w:rPr>
              <w:t>201</w:t>
            </w:r>
            <w:r>
              <w:rPr>
                <w:rFonts w:ascii="Calibri" w:hAnsi="Calibri" w:cs="Calibri"/>
                <w:b/>
                <w:color w:val="000000"/>
                <w:szCs w:val="22"/>
              </w:rPr>
              <w:t>4</w:t>
            </w:r>
          </w:p>
        </w:tc>
      </w:tr>
      <w:tr w:rsidR="00FF35E7" w:rsidRPr="00BD02D0" w:rsidTr="00C159ED">
        <w:trPr>
          <w:trHeight w:val="50"/>
        </w:trPr>
        <w:tc>
          <w:tcPr>
            <w:tcW w:w="0" w:type="auto"/>
            <w:tcBorders>
              <w:top w:val="nil"/>
              <w:left w:val="single" w:sz="4" w:space="0" w:color="auto"/>
              <w:bottom w:val="nil"/>
              <w:right w:val="nil"/>
            </w:tcBorders>
            <w:shd w:val="clear" w:color="auto" w:fill="auto"/>
            <w:noWrap/>
            <w:vAlign w:val="center"/>
            <w:hideMark/>
          </w:tcPr>
          <w:p w:rsidR="00FF35E7" w:rsidRPr="00453CE7" w:rsidRDefault="00FF35E7" w:rsidP="00C159ED">
            <w:pPr>
              <w:keepNext/>
              <w:rPr>
                <w:rFonts w:ascii="Calibri" w:hAnsi="Calibri" w:cs="Calibri"/>
                <w:szCs w:val="22"/>
              </w:rPr>
            </w:pPr>
            <w:r w:rsidRPr="00FF35E7">
              <w:rPr>
                <w:rFonts w:ascii="Calibri" w:hAnsi="Calibri" w:cs="Calibri"/>
                <w:szCs w:val="22"/>
              </w:rPr>
              <w:t>Downstream Joint-Savings</w:t>
            </w:r>
          </w:p>
        </w:tc>
        <w:tc>
          <w:tcPr>
            <w:tcW w:w="0" w:type="auto"/>
            <w:tcBorders>
              <w:top w:val="nil"/>
              <w:left w:val="nil"/>
              <w:bottom w:val="nil"/>
              <w:right w:val="nil"/>
            </w:tcBorders>
            <w:shd w:val="clear" w:color="auto" w:fill="auto"/>
            <w:noWrap/>
            <w:vAlign w:val="center"/>
          </w:tcPr>
          <w:p w:rsidR="00FF35E7" w:rsidRPr="00453CE7" w:rsidRDefault="00FF35E7" w:rsidP="00FF35E7">
            <w:pPr>
              <w:keepNext/>
              <w:jc w:val="center"/>
              <w:rPr>
                <w:rFonts w:ascii="Calibri" w:hAnsi="Calibri" w:cs="Calibri"/>
                <w:szCs w:val="22"/>
              </w:rPr>
            </w:pPr>
            <w:r w:rsidRPr="00015D8B">
              <w:rPr>
                <w:rFonts w:eastAsiaTheme="minorHAnsi" w:cs="Arial"/>
                <w:sz w:val="20"/>
                <w:szCs w:val="20"/>
              </w:rPr>
              <w:t>0.4%</w:t>
            </w:r>
          </w:p>
        </w:tc>
        <w:tc>
          <w:tcPr>
            <w:tcW w:w="0" w:type="auto"/>
            <w:tcBorders>
              <w:top w:val="nil"/>
              <w:left w:val="nil"/>
              <w:bottom w:val="nil"/>
            </w:tcBorders>
            <w:shd w:val="clear" w:color="auto" w:fill="auto"/>
            <w:vAlign w:val="center"/>
          </w:tcPr>
          <w:p w:rsidR="00FF35E7" w:rsidRPr="00453CE7" w:rsidRDefault="00FF35E7" w:rsidP="00FF35E7">
            <w:pPr>
              <w:keepNext/>
              <w:jc w:val="center"/>
              <w:rPr>
                <w:rFonts w:ascii="Calibri" w:hAnsi="Calibri" w:cs="Calibri"/>
                <w:i/>
                <w:iCs/>
                <w:szCs w:val="22"/>
              </w:rPr>
            </w:pPr>
            <w:r w:rsidRPr="00015D8B">
              <w:rPr>
                <w:rFonts w:eastAsiaTheme="minorHAnsi" w:cs="Arial"/>
                <w:sz w:val="20"/>
                <w:szCs w:val="20"/>
              </w:rPr>
              <w:t>0.4%</w:t>
            </w:r>
          </w:p>
        </w:tc>
        <w:tc>
          <w:tcPr>
            <w:tcW w:w="0" w:type="auto"/>
            <w:tcBorders>
              <w:top w:val="nil"/>
              <w:left w:val="nil"/>
              <w:bottom w:val="nil"/>
              <w:right w:val="single" w:sz="4" w:space="0" w:color="auto"/>
            </w:tcBorders>
            <w:vAlign w:val="center"/>
          </w:tcPr>
          <w:p w:rsidR="00FF35E7" w:rsidRPr="00453CE7" w:rsidRDefault="00FF35E7" w:rsidP="00FF35E7">
            <w:pPr>
              <w:keepNext/>
              <w:jc w:val="center"/>
              <w:rPr>
                <w:rFonts w:ascii="Calibri" w:hAnsi="Calibri" w:cs="Calibri"/>
                <w:i/>
                <w:iCs/>
                <w:szCs w:val="22"/>
              </w:rPr>
            </w:pPr>
            <w:r w:rsidRPr="00015D8B">
              <w:rPr>
                <w:rFonts w:eastAsiaTheme="minorHAnsi" w:cs="Arial"/>
                <w:sz w:val="20"/>
                <w:szCs w:val="20"/>
              </w:rPr>
              <w:t>1.2%</w:t>
            </w:r>
          </w:p>
        </w:tc>
      </w:tr>
      <w:tr w:rsidR="00FF35E7" w:rsidRPr="00BD02D0" w:rsidTr="00C159ED">
        <w:trPr>
          <w:trHeight w:val="70"/>
        </w:trPr>
        <w:tc>
          <w:tcPr>
            <w:tcW w:w="0" w:type="auto"/>
            <w:tcBorders>
              <w:top w:val="nil"/>
              <w:left w:val="single" w:sz="4" w:space="0" w:color="auto"/>
              <w:bottom w:val="nil"/>
              <w:right w:val="nil"/>
            </w:tcBorders>
            <w:shd w:val="clear" w:color="auto" w:fill="auto"/>
            <w:noWrap/>
            <w:vAlign w:val="center"/>
            <w:hideMark/>
          </w:tcPr>
          <w:p w:rsidR="00FF35E7" w:rsidRPr="00453CE7" w:rsidRDefault="00FF35E7" w:rsidP="00C159ED">
            <w:pPr>
              <w:keepNext/>
              <w:rPr>
                <w:rFonts w:ascii="Calibri" w:hAnsi="Calibri" w:cs="Calibri"/>
                <w:szCs w:val="22"/>
              </w:rPr>
            </w:pPr>
            <w:r w:rsidRPr="00FF35E7">
              <w:rPr>
                <w:rFonts w:ascii="Calibri" w:hAnsi="Calibri" w:cs="Calibri"/>
                <w:szCs w:val="22"/>
              </w:rPr>
              <w:t>Upstream Joint-Savings</w:t>
            </w:r>
          </w:p>
        </w:tc>
        <w:tc>
          <w:tcPr>
            <w:tcW w:w="0" w:type="auto"/>
            <w:tcBorders>
              <w:top w:val="nil"/>
              <w:left w:val="nil"/>
              <w:bottom w:val="nil"/>
              <w:right w:val="nil"/>
            </w:tcBorders>
            <w:shd w:val="clear" w:color="auto" w:fill="auto"/>
            <w:noWrap/>
            <w:vAlign w:val="center"/>
          </w:tcPr>
          <w:p w:rsidR="00FF35E7" w:rsidRPr="00453CE7" w:rsidRDefault="00FF35E7" w:rsidP="00FF35E7">
            <w:pPr>
              <w:keepNext/>
              <w:jc w:val="center"/>
              <w:rPr>
                <w:rFonts w:ascii="Calibri" w:hAnsi="Calibri" w:cs="Calibri"/>
                <w:szCs w:val="22"/>
              </w:rPr>
            </w:pPr>
            <w:r w:rsidRPr="00015D8B">
              <w:rPr>
                <w:rFonts w:eastAsiaTheme="minorHAnsi" w:cs="Arial"/>
                <w:sz w:val="20"/>
                <w:szCs w:val="20"/>
              </w:rPr>
              <w:t>11.6%</w:t>
            </w:r>
          </w:p>
        </w:tc>
        <w:tc>
          <w:tcPr>
            <w:tcW w:w="0" w:type="auto"/>
            <w:tcBorders>
              <w:top w:val="nil"/>
              <w:left w:val="nil"/>
              <w:bottom w:val="nil"/>
            </w:tcBorders>
            <w:shd w:val="clear" w:color="auto" w:fill="auto"/>
            <w:vAlign w:val="center"/>
          </w:tcPr>
          <w:p w:rsidR="00FF35E7" w:rsidRPr="00453CE7" w:rsidRDefault="00FF35E7" w:rsidP="00FF35E7">
            <w:pPr>
              <w:keepNext/>
              <w:jc w:val="center"/>
              <w:rPr>
                <w:rFonts w:ascii="Calibri" w:hAnsi="Calibri" w:cs="Calibri"/>
                <w:i/>
                <w:iCs/>
                <w:szCs w:val="22"/>
              </w:rPr>
            </w:pPr>
            <w:r w:rsidRPr="00015D8B">
              <w:rPr>
                <w:rFonts w:eastAsiaTheme="minorHAnsi" w:cs="Arial"/>
                <w:sz w:val="20"/>
                <w:szCs w:val="20"/>
              </w:rPr>
              <w:t>10.9%</w:t>
            </w:r>
          </w:p>
        </w:tc>
        <w:tc>
          <w:tcPr>
            <w:tcW w:w="0" w:type="auto"/>
            <w:tcBorders>
              <w:top w:val="nil"/>
              <w:left w:val="nil"/>
              <w:bottom w:val="nil"/>
              <w:right w:val="single" w:sz="4" w:space="0" w:color="auto"/>
            </w:tcBorders>
            <w:vAlign w:val="center"/>
          </w:tcPr>
          <w:p w:rsidR="00FF35E7" w:rsidRPr="00453CE7" w:rsidRDefault="00FF35E7" w:rsidP="00FF35E7">
            <w:pPr>
              <w:keepNext/>
              <w:jc w:val="center"/>
              <w:rPr>
                <w:rFonts w:ascii="Calibri" w:hAnsi="Calibri" w:cs="Calibri"/>
                <w:i/>
                <w:iCs/>
                <w:szCs w:val="22"/>
              </w:rPr>
            </w:pPr>
            <w:r w:rsidRPr="00015D8B">
              <w:rPr>
                <w:rFonts w:eastAsiaTheme="minorHAnsi" w:cs="Arial"/>
                <w:sz w:val="20"/>
                <w:szCs w:val="20"/>
              </w:rPr>
              <w:t>4.5%</w:t>
            </w:r>
          </w:p>
        </w:tc>
      </w:tr>
      <w:tr w:rsidR="00FF35E7" w:rsidRPr="00BD02D0" w:rsidTr="00C159ED">
        <w:trPr>
          <w:trHeight w:val="70"/>
        </w:trPr>
        <w:tc>
          <w:tcPr>
            <w:tcW w:w="0" w:type="auto"/>
            <w:tcBorders>
              <w:top w:val="nil"/>
              <w:left w:val="single" w:sz="4" w:space="0" w:color="auto"/>
              <w:bottom w:val="single" w:sz="4" w:space="0" w:color="auto"/>
              <w:right w:val="nil"/>
            </w:tcBorders>
            <w:shd w:val="clear" w:color="auto" w:fill="auto"/>
            <w:noWrap/>
            <w:vAlign w:val="center"/>
            <w:hideMark/>
          </w:tcPr>
          <w:p w:rsidR="00FF35E7" w:rsidRPr="00453CE7" w:rsidRDefault="00FF35E7" w:rsidP="00C159ED">
            <w:pPr>
              <w:rPr>
                <w:rFonts w:ascii="Calibri" w:hAnsi="Calibri" w:cs="Calibri"/>
                <w:szCs w:val="22"/>
              </w:rPr>
            </w:pPr>
            <w:r w:rsidRPr="00FF35E7">
              <w:rPr>
                <w:rFonts w:ascii="Calibri" w:hAnsi="Calibri" w:cs="Calibri"/>
                <w:szCs w:val="22"/>
              </w:rPr>
              <w:t>Total Joint-Savings</w:t>
            </w:r>
          </w:p>
        </w:tc>
        <w:tc>
          <w:tcPr>
            <w:tcW w:w="0" w:type="auto"/>
            <w:tcBorders>
              <w:top w:val="nil"/>
              <w:left w:val="nil"/>
              <w:bottom w:val="single" w:sz="4" w:space="0" w:color="auto"/>
              <w:right w:val="nil"/>
            </w:tcBorders>
            <w:shd w:val="clear" w:color="auto" w:fill="auto"/>
            <w:noWrap/>
            <w:vAlign w:val="center"/>
          </w:tcPr>
          <w:p w:rsidR="00FF35E7" w:rsidRPr="00453CE7" w:rsidRDefault="00FF35E7" w:rsidP="00FF35E7">
            <w:pPr>
              <w:jc w:val="center"/>
              <w:rPr>
                <w:rFonts w:ascii="Calibri" w:hAnsi="Calibri" w:cs="Calibri"/>
                <w:szCs w:val="22"/>
              </w:rPr>
            </w:pPr>
            <w:r w:rsidRPr="00015D8B">
              <w:rPr>
                <w:rFonts w:eastAsiaTheme="minorHAnsi" w:cs="Arial"/>
                <w:sz w:val="20"/>
                <w:szCs w:val="20"/>
              </w:rPr>
              <w:t>12.0%</w:t>
            </w:r>
          </w:p>
        </w:tc>
        <w:tc>
          <w:tcPr>
            <w:tcW w:w="0" w:type="auto"/>
            <w:tcBorders>
              <w:top w:val="nil"/>
              <w:left w:val="nil"/>
              <w:bottom w:val="single" w:sz="4" w:space="0" w:color="auto"/>
            </w:tcBorders>
            <w:shd w:val="clear" w:color="auto" w:fill="auto"/>
            <w:vAlign w:val="center"/>
          </w:tcPr>
          <w:p w:rsidR="00FF35E7" w:rsidRPr="00453CE7" w:rsidRDefault="00FF35E7" w:rsidP="00FF35E7">
            <w:pPr>
              <w:jc w:val="center"/>
              <w:rPr>
                <w:rFonts w:ascii="Calibri" w:hAnsi="Calibri" w:cs="Calibri"/>
                <w:i/>
                <w:iCs/>
                <w:szCs w:val="22"/>
              </w:rPr>
            </w:pPr>
            <w:r w:rsidRPr="00015D8B">
              <w:rPr>
                <w:rFonts w:eastAsiaTheme="minorHAnsi" w:cs="Arial"/>
                <w:sz w:val="20"/>
                <w:szCs w:val="20"/>
              </w:rPr>
              <w:t>11.3%</w:t>
            </w:r>
          </w:p>
        </w:tc>
        <w:tc>
          <w:tcPr>
            <w:tcW w:w="0" w:type="auto"/>
            <w:tcBorders>
              <w:top w:val="nil"/>
              <w:left w:val="nil"/>
              <w:bottom w:val="single" w:sz="4" w:space="0" w:color="auto"/>
              <w:right w:val="single" w:sz="4" w:space="0" w:color="auto"/>
            </w:tcBorders>
            <w:vAlign w:val="center"/>
          </w:tcPr>
          <w:p w:rsidR="00FF35E7" w:rsidRPr="00453CE7" w:rsidRDefault="00FF35E7" w:rsidP="00FF35E7">
            <w:pPr>
              <w:jc w:val="center"/>
              <w:rPr>
                <w:rFonts w:ascii="Calibri" w:hAnsi="Calibri" w:cs="Calibri"/>
                <w:i/>
                <w:iCs/>
                <w:szCs w:val="22"/>
              </w:rPr>
            </w:pPr>
            <w:r w:rsidRPr="00015D8B">
              <w:rPr>
                <w:rFonts w:eastAsiaTheme="minorHAnsi" w:cs="Arial"/>
                <w:sz w:val="20"/>
                <w:szCs w:val="20"/>
              </w:rPr>
              <w:t>5.7%</w:t>
            </w:r>
          </w:p>
        </w:tc>
      </w:tr>
    </w:tbl>
    <w:p w:rsidR="00015D8B" w:rsidRDefault="00015D8B" w:rsidP="00771691">
      <w:pPr>
        <w:rPr>
          <w:rFonts w:eastAsiaTheme="minorHAnsi" w:cs="Arial"/>
          <w:sz w:val="20"/>
          <w:szCs w:val="20"/>
        </w:rPr>
      </w:pPr>
    </w:p>
    <w:p w:rsidR="00FC745C" w:rsidRDefault="00FC745C" w:rsidP="00771691">
      <w:pPr>
        <w:rPr>
          <w:rFonts w:eastAsiaTheme="minorHAnsi" w:cs="Arial"/>
          <w:sz w:val="20"/>
          <w:szCs w:val="20"/>
        </w:rPr>
      </w:pPr>
    </w:p>
    <w:p w:rsidR="00BA2775" w:rsidRPr="009A05DF" w:rsidRDefault="006B15A5" w:rsidP="00EE2E4F">
      <w:pPr>
        <w:rPr>
          <w:sz w:val="20"/>
          <w:szCs w:val="20"/>
        </w:rPr>
      </w:pPr>
      <w:r w:rsidRPr="006B15A5">
        <w:rPr>
          <w:rFonts w:eastAsiaTheme="minorHAnsi" w:cs="Arial"/>
          <w:sz w:val="20"/>
          <w:szCs w:val="20"/>
        </w:rPr>
        <w:t>For the purposes of this work</w:t>
      </w:r>
      <w:r w:rsidR="00C52701">
        <w:rPr>
          <w:rFonts w:eastAsiaTheme="minorHAnsi" w:cs="Arial"/>
          <w:sz w:val="20"/>
          <w:szCs w:val="20"/>
        </w:rPr>
        <w:t xml:space="preserve"> </w:t>
      </w:r>
      <w:r w:rsidRPr="006B15A5">
        <w:rPr>
          <w:rFonts w:eastAsiaTheme="minorHAnsi" w:cs="Arial"/>
          <w:sz w:val="20"/>
          <w:szCs w:val="20"/>
        </w:rPr>
        <w:t>paper, we characterize savings based on kWh, kW or The</w:t>
      </w:r>
      <w:r w:rsidRPr="009A05DF">
        <w:rPr>
          <w:rFonts w:eastAsiaTheme="minorHAnsi" w:cs="Arial"/>
          <w:sz w:val="20"/>
          <w:szCs w:val="20"/>
        </w:rPr>
        <w:t xml:space="preserve">rms per household. </w:t>
      </w:r>
      <w:r w:rsidRPr="001761C3">
        <w:rPr>
          <w:rFonts w:eastAsiaTheme="minorHAnsi" w:cs="Arial"/>
          <w:sz w:val="20"/>
          <w:szCs w:val="20"/>
        </w:rPr>
        <w:t>This provide</w:t>
      </w:r>
      <w:r w:rsidR="00D92F4C">
        <w:rPr>
          <w:rFonts w:eastAsiaTheme="minorHAnsi" w:cs="Arial"/>
          <w:sz w:val="20"/>
          <w:szCs w:val="20"/>
        </w:rPr>
        <w:t>s</w:t>
      </w:r>
      <w:r w:rsidRPr="001761C3">
        <w:rPr>
          <w:rFonts w:eastAsiaTheme="minorHAnsi" w:cs="Arial"/>
          <w:sz w:val="20"/>
          <w:szCs w:val="20"/>
        </w:rPr>
        <w:t xml:space="preserve"> the regulators and others with a value for the program consistent with DEER. </w:t>
      </w:r>
      <w:bookmarkStart w:id="36" w:name="_Toc342311747"/>
      <w:r w:rsidR="00BA7443" w:rsidRPr="00C159ED">
        <w:rPr>
          <w:sz w:val="20"/>
          <w:szCs w:val="20"/>
        </w:rPr>
        <w:t xml:space="preserve">A more thorough explanation of the design approaches and research techniques can be </w:t>
      </w:r>
      <w:r w:rsidR="009A05DF" w:rsidRPr="00C159ED">
        <w:rPr>
          <w:sz w:val="20"/>
          <w:szCs w:val="20"/>
        </w:rPr>
        <w:t xml:space="preserve">found in </w:t>
      </w:r>
      <w:r w:rsidR="00BA7443" w:rsidRPr="009A05DF">
        <w:rPr>
          <w:sz w:val="20"/>
          <w:szCs w:val="20"/>
        </w:rPr>
        <w:t>Neenan and Robinson (EPRI)</w:t>
      </w:r>
      <w:r w:rsidR="00BA7443" w:rsidRPr="00C159ED">
        <w:rPr>
          <w:sz w:val="20"/>
          <w:szCs w:val="20"/>
        </w:rPr>
        <w:t xml:space="preserve"> </w:t>
      </w:r>
      <w:r w:rsidR="000E2194" w:rsidRPr="00C159ED">
        <w:rPr>
          <w:sz w:val="20"/>
          <w:szCs w:val="20"/>
        </w:rPr>
        <w:t xml:space="preserve">and </w:t>
      </w:r>
      <w:r w:rsidR="00475C59" w:rsidRPr="009A05DF">
        <w:rPr>
          <w:sz w:val="20"/>
          <w:szCs w:val="20"/>
        </w:rPr>
        <w:t>State and Local Energy Efficiency Action Network (SEE Action)</w:t>
      </w:r>
      <w:r w:rsidR="006F428D">
        <w:rPr>
          <w:sz w:val="20"/>
          <w:szCs w:val="20"/>
        </w:rPr>
        <w:t>.</w:t>
      </w:r>
      <w:r w:rsidR="006F428D" w:rsidRPr="00C159ED" w:rsidDel="006F428D">
        <w:rPr>
          <w:rStyle w:val="EndnoteReference"/>
          <w:sz w:val="20"/>
          <w:szCs w:val="20"/>
        </w:rPr>
        <w:t xml:space="preserve"> </w:t>
      </w:r>
      <w:bookmarkEnd w:id="36"/>
    </w:p>
    <w:p w:rsidR="00156198" w:rsidRDefault="00156198" w:rsidP="00EE2E4F">
      <w:pPr>
        <w:rPr>
          <w:sz w:val="20"/>
          <w:szCs w:val="20"/>
        </w:rPr>
      </w:pPr>
    </w:p>
    <w:p w:rsidR="00156198" w:rsidRPr="00EE2E4F" w:rsidRDefault="00156198" w:rsidP="00156198">
      <w:pPr>
        <w:rPr>
          <w:rFonts w:eastAsiaTheme="minorHAnsi" w:cs="Arial"/>
          <w:sz w:val="20"/>
          <w:szCs w:val="20"/>
        </w:rPr>
      </w:pPr>
      <w:r>
        <w:rPr>
          <w:rFonts w:eastAsiaTheme="minorHAnsi" w:cs="Arial"/>
          <w:sz w:val="20"/>
          <w:szCs w:val="20"/>
        </w:rPr>
        <w:t>Decision 09-09-047</w:t>
      </w:r>
      <w:r w:rsidR="00C83F0A">
        <w:rPr>
          <w:rFonts w:eastAsiaTheme="minorHAnsi" w:cs="Arial"/>
          <w:sz w:val="20"/>
          <w:szCs w:val="20"/>
        </w:rPr>
        <w:t xml:space="preserve"> </w:t>
      </w:r>
      <w:r>
        <w:rPr>
          <w:rFonts w:eastAsiaTheme="minorHAnsi" w:cs="Arial"/>
          <w:sz w:val="20"/>
          <w:szCs w:val="20"/>
        </w:rPr>
        <w:t>(p. 304)</w:t>
      </w:r>
      <w:r w:rsidR="00C83F0A" w:rsidRPr="00096EC2">
        <w:rPr>
          <w:rStyle w:val="EndnoteReference"/>
          <w:rFonts w:eastAsiaTheme="minorHAnsi" w:cs="Arial"/>
          <w:sz w:val="20"/>
        </w:rPr>
        <w:endnoteReference w:id="4"/>
      </w:r>
      <w:r>
        <w:rPr>
          <w:rFonts w:eastAsiaTheme="minorHAnsi" w:cs="Arial"/>
          <w:sz w:val="20"/>
          <w:szCs w:val="20"/>
        </w:rPr>
        <w:t xml:space="preserve"> authorizes the </w:t>
      </w:r>
      <w:r w:rsidR="00BB29FB" w:rsidRPr="00BB29FB">
        <w:rPr>
          <w:rFonts w:eastAsiaTheme="minorHAnsi" w:cs="Arial"/>
          <w:sz w:val="20"/>
          <w:szCs w:val="20"/>
        </w:rPr>
        <w:t>investor-owned utilit</w:t>
      </w:r>
      <w:r w:rsidR="00BB29FB">
        <w:rPr>
          <w:rFonts w:eastAsiaTheme="minorHAnsi" w:cs="Arial"/>
          <w:sz w:val="20"/>
          <w:szCs w:val="20"/>
        </w:rPr>
        <w:t>ies</w:t>
      </w:r>
      <w:r w:rsidR="00BB29FB" w:rsidRPr="00BB29FB">
        <w:rPr>
          <w:rFonts w:eastAsiaTheme="minorHAnsi" w:cs="Arial"/>
          <w:sz w:val="20"/>
          <w:szCs w:val="20"/>
        </w:rPr>
        <w:t xml:space="preserve"> </w:t>
      </w:r>
      <w:r w:rsidR="00BB29FB">
        <w:rPr>
          <w:rFonts w:eastAsiaTheme="minorHAnsi" w:cs="Arial"/>
          <w:sz w:val="20"/>
          <w:szCs w:val="20"/>
        </w:rPr>
        <w:t>(</w:t>
      </w:r>
      <w:r w:rsidR="00BB29FB" w:rsidRPr="00BB29FB">
        <w:rPr>
          <w:rFonts w:eastAsiaTheme="minorHAnsi" w:cs="Arial"/>
          <w:sz w:val="20"/>
          <w:szCs w:val="20"/>
        </w:rPr>
        <w:t>IOU</w:t>
      </w:r>
      <w:r w:rsidR="00BB29FB">
        <w:rPr>
          <w:rFonts w:eastAsiaTheme="minorHAnsi" w:cs="Arial"/>
          <w:sz w:val="20"/>
          <w:szCs w:val="20"/>
        </w:rPr>
        <w:t xml:space="preserve">s) </w:t>
      </w:r>
      <w:r>
        <w:rPr>
          <w:rFonts w:eastAsiaTheme="minorHAnsi" w:cs="Arial"/>
          <w:sz w:val="20"/>
          <w:szCs w:val="20"/>
        </w:rPr>
        <w:t xml:space="preserve">to make savings claims for </w:t>
      </w:r>
      <w:r w:rsidRPr="00156198">
        <w:rPr>
          <w:rFonts w:eastAsiaTheme="minorHAnsi" w:cs="Arial"/>
          <w:sz w:val="20"/>
          <w:szCs w:val="20"/>
        </w:rPr>
        <w:t xml:space="preserve">interventions </w:t>
      </w:r>
      <w:r>
        <w:rPr>
          <w:rFonts w:eastAsiaTheme="minorHAnsi" w:cs="Arial"/>
          <w:sz w:val="20"/>
          <w:szCs w:val="20"/>
        </w:rPr>
        <w:t xml:space="preserve">that use </w:t>
      </w:r>
      <w:r w:rsidRPr="00156198">
        <w:rPr>
          <w:rFonts w:eastAsiaTheme="minorHAnsi" w:cs="Arial"/>
          <w:sz w:val="20"/>
          <w:szCs w:val="20"/>
        </w:rPr>
        <w:t xml:space="preserve">a “neighbor comparison” approach </w:t>
      </w:r>
      <w:r>
        <w:rPr>
          <w:rFonts w:eastAsiaTheme="minorHAnsi" w:cs="Arial"/>
          <w:sz w:val="20"/>
          <w:szCs w:val="20"/>
        </w:rPr>
        <w:t>and</w:t>
      </w:r>
      <w:r w:rsidRPr="00156198">
        <w:rPr>
          <w:rFonts w:eastAsiaTheme="minorHAnsi" w:cs="Arial"/>
          <w:sz w:val="20"/>
          <w:szCs w:val="20"/>
        </w:rPr>
        <w:t xml:space="preserve"> a randomized control test </w:t>
      </w:r>
      <w:r>
        <w:rPr>
          <w:rFonts w:eastAsiaTheme="minorHAnsi" w:cs="Arial"/>
          <w:sz w:val="20"/>
          <w:szCs w:val="20"/>
        </w:rPr>
        <w:t>(</w:t>
      </w:r>
      <w:r w:rsidRPr="00156198">
        <w:rPr>
          <w:rFonts w:eastAsiaTheme="minorHAnsi" w:cs="Arial"/>
          <w:sz w:val="20"/>
          <w:szCs w:val="20"/>
        </w:rPr>
        <w:t>whereby customers are assigned to either treatment or control conditions</w:t>
      </w:r>
      <w:r>
        <w:rPr>
          <w:rFonts w:eastAsiaTheme="minorHAnsi" w:cs="Arial"/>
          <w:sz w:val="20"/>
          <w:szCs w:val="20"/>
        </w:rPr>
        <w:t>).</w:t>
      </w:r>
      <w:r w:rsidR="00120191">
        <w:rPr>
          <w:rFonts w:eastAsiaTheme="minorHAnsi" w:cs="Arial"/>
          <w:sz w:val="20"/>
          <w:szCs w:val="20"/>
        </w:rPr>
        <w:t xml:space="preserve"> </w:t>
      </w:r>
      <w:r w:rsidRPr="00156198">
        <w:rPr>
          <w:rFonts w:eastAsiaTheme="minorHAnsi" w:cs="Arial"/>
          <w:sz w:val="20"/>
          <w:szCs w:val="20"/>
        </w:rPr>
        <w:t>The decision determining EM&amp;V processes for the 2010-2012 portfolio (D. 10-04-029) provides for savings claims for behavior-based programs based on experimental design (pp. 40-42, see Conclusion of Law 18; OP 13)</w:t>
      </w:r>
      <w:r w:rsidR="00C83F0A">
        <w:rPr>
          <w:rStyle w:val="EndnoteReference"/>
          <w:rFonts w:eastAsiaTheme="minorHAnsi" w:cs="Arial"/>
          <w:sz w:val="20"/>
          <w:szCs w:val="20"/>
        </w:rPr>
        <w:endnoteReference w:id="5"/>
      </w:r>
      <w:r w:rsidRPr="00156198">
        <w:rPr>
          <w:rFonts w:eastAsiaTheme="minorHAnsi" w:cs="Arial"/>
          <w:sz w:val="20"/>
          <w:szCs w:val="20"/>
        </w:rPr>
        <w:t xml:space="preserve">. Based on these decisions, PG&amp;E </w:t>
      </w:r>
      <w:r>
        <w:rPr>
          <w:rFonts w:eastAsiaTheme="minorHAnsi" w:cs="Arial"/>
          <w:sz w:val="20"/>
          <w:szCs w:val="20"/>
        </w:rPr>
        <w:t>make</w:t>
      </w:r>
      <w:r w:rsidR="001761C3">
        <w:rPr>
          <w:rFonts w:eastAsiaTheme="minorHAnsi" w:cs="Arial"/>
          <w:sz w:val="20"/>
          <w:szCs w:val="20"/>
        </w:rPr>
        <w:t>s</w:t>
      </w:r>
      <w:r>
        <w:rPr>
          <w:rFonts w:eastAsiaTheme="minorHAnsi" w:cs="Arial"/>
          <w:sz w:val="20"/>
          <w:szCs w:val="20"/>
        </w:rPr>
        <w:t xml:space="preserve"> </w:t>
      </w:r>
      <w:r w:rsidRPr="00C159ED">
        <w:rPr>
          <w:rFonts w:eastAsiaTheme="minorHAnsi" w:cs="Arial"/>
          <w:i/>
          <w:sz w:val="20"/>
          <w:szCs w:val="20"/>
        </w:rPr>
        <w:t>ex</w:t>
      </w:r>
      <w:r w:rsidR="001761C3" w:rsidRPr="00C159ED">
        <w:rPr>
          <w:rFonts w:eastAsiaTheme="minorHAnsi" w:cs="Arial"/>
          <w:i/>
          <w:sz w:val="20"/>
          <w:szCs w:val="20"/>
        </w:rPr>
        <w:t>-</w:t>
      </w:r>
      <w:r w:rsidRPr="00C159ED">
        <w:rPr>
          <w:rFonts w:eastAsiaTheme="minorHAnsi" w:cs="Arial"/>
          <w:i/>
          <w:sz w:val="20"/>
          <w:szCs w:val="20"/>
        </w:rPr>
        <w:t>post</w:t>
      </w:r>
      <w:r>
        <w:rPr>
          <w:rFonts w:eastAsiaTheme="minorHAnsi" w:cs="Arial"/>
          <w:sz w:val="20"/>
          <w:szCs w:val="20"/>
        </w:rPr>
        <w:t xml:space="preserve"> savings claims for </w:t>
      </w:r>
      <w:r w:rsidR="001761C3">
        <w:rPr>
          <w:rFonts w:eastAsiaTheme="minorHAnsi" w:cs="Arial"/>
          <w:sz w:val="20"/>
          <w:szCs w:val="20"/>
        </w:rPr>
        <w:t xml:space="preserve">the </w:t>
      </w:r>
      <w:r>
        <w:rPr>
          <w:rFonts w:eastAsiaTheme="minorHAnsi" w:cs="Arial"/>
          <w:sz w:val="20"/>
          <w:szCs w:val="20"/>
        </w:rPr>
        <w:t>HER</w:t>
      </w:r>
      <w:r w:rsidR="001761C3">
        <w:rPr>
          <w:rFonts w:eastAsiaTheme="minorHAnsi" w:cs="Arial"/>
          <w:sz w:val="20"/>
          <w:szCs w:val="20"/>
        </w:rPr>
        <w:t xml:space="preserve"> program</w:t>
      </w:r>
      <w:r>
        <w:rPr>
          <w:rFonts w:eastAsiaTheme="minorHAnsi" w:cs="Arial"/>
          <w:sz w:val="20"/>
          <w:szCs w:val="20"/>
        </w:rPr>
        <w:t xml:space="preserve">. </w:t>
      </w:r>
    </w:p>
    <w:p w:rsidR="009C5CA7" w:rsidRDefault="009C5CA7" w:rsidP="009C5CA7">
      <w:pPr>
        <w:pStyle w:val="Heading2"/>
        <w:keepNext w:val="0"/>
      </w:pPr>
      <w:bookmarkStart w:id="37" w:name="_Toc476228485"/>
      <w:r>
        <w:t>1.</w:t>
      </w:r>
      <w:r w:rsidR="00806070">
        <w:t>3</w:t>
      </w:r>
      <w:r>
        <w:t xml:space="preserve"> </w:t>
      </w:r>
      <w:r w:rsidR="002E6162">
        <w:t xml:space="preserve">Measure Application </w:t>
      </w:r>
      <w:bookmarkEnd w:id="31"/>
      <w:r w:rsidR="002E6162">
        <w:t>Type</w:t>
      </w:r>
      <w:bookmarkEnd w:id="32"/>
      <w:bookmarkEnd w:id="33"/>
      <w:bookmarkEnd w:id="37"/>
      <w:r w:rsidR="00FA595F">
        <w:t xml:space="preserve"> </w:t>
      </w:r>
    </w:p>
    <w:p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3" w:history="1">
        <w:r w:rsidR="00F05E83" w:rsidRPr="005376F2">
          <w:rPr>
            <w:rStyle w:val="Hyperlink"/>
            <w:rFonts w:cs="Arial"/>
            <w:sz w:val="20"/>
            <w:szCs w:val="20"/>
          </w:rPr>
          <w:t>www.deeresources.com</w:t>
        </w:r>
      </w:hyperlink>
      <w:r w:rsidR="00F05E83">
        <w:rPr>
          <w:rFonts w:cs="Arial"/>
          <w:sz w:val="20"/>
          <w:szCs w:val="20"/>
        </w:rPr>
        <w:t xml:space="preserve"> </w:t>
      </w:r>
      <w:r w:rsidR="007B2E26">
        <w:rPr>
          <w:rFonts w:cs="Arial"/>
          <w:sz w:val="20"/>
          <w:szCs w:val="20"/>
        </w:rPr>
        <w:t>under</w:t>
      </w:r>
      <w:r w:rsidR="003541A6">
        <w:rPr>
          <w:rFonts w:cs="Arial"/>
          <w:sz w:val="20"/>
          <w:szCs w:val="20"/>
        </w:rPr>
        <w:t xml:space="preserve"> </w:t>
      </w:r>
      <w:r w:rsidR="007B2E26" w:rsidRPr="003541A6">
        <w:rPr>
          <w:rFonts w:cs="Arial"/>
          <w:i/>
          <w:sz w:val="20"/>
          <w:szCs w:val="20"/>
        </w:rPr>
        <w:t>DEER2011 Database Format</w:t>
      </w:r>
      <w:r w:rsidR="007B2E26">
        <w:rPr>
          <w:rFonts w:cs="Arial"/>
          <w:sz w:val="20"/>
          <w:szCs w:val="20"/>
        </w:rPr>
        <w:t xml:space="preserve"> hyperlink</w:t>
      </w:r>
      <w:r w:rsidR="007B2E26" w:rsidRPr="003C61DF">
        <w:rPr>
          <w:rFonts w:cs="Arial"/>
          <w:sz w:val="20"/>
          <w:szCs w:val="20"/>
        </w:rPr>
        <w:t xml:space="preserve">, </w:t>
      </w:r>
      <w:r w:rsidR="007B2E26" w:rsidRPr="003C61DF">
        <w:rPr>
          <w:rStyle w:val="breadcrumbs"/>
          <w:rFonts w:cs="Arial"/>
          <w:color w:val="333333"/>
          <w:sz w:val="20"/>
          <w:szCs w:val="20"/>
          <w:lang w:val="en-GB"/>
        </w:rPr>
        <w:t>DEER2011 for 13-14</w:t>
      </w:r>
      <w:r w:rsidR="003541A6" w:rsidRPr="003C61DF">
        <w:rPr>
          <w:rFonts w:cs="Arial"/>
          <w:color w:val="333333"/>
          <w:sz w:val="20"/>
          <w:szCs w:val="20"/>
          <w:lang w:val="en-GB"/>
        </w:rPr>
        <w:t>,</w:t>
      </w:r>
      <w:r w:rsidRPr="003C61DF">
        <w:rPr>
          <w:rFonts w:cs="Arial"/>
          <w:sz w:val="20"/>
          <w:szCs w:val="20"/>
        </w:rPr>
        <w:t xml:space="preserve"> </w:t>
      </w:r>
      <w:r w:rsidR="007B2E26" w:rsidRPr="003C61DF">
        <w:rPr>
          <w:rFonts w:cs="Arial"/>
          <w:sz w:val="20"/>
          <w:szCs w:val="20"/>
        </w:rPr>
        <w:t>spreadsh</w:t>
      </w:r>
      <w:r w:rsidR="007B2E26">
        <w:rPr>
          <w:rFonts w:cs="Arial"/>
          <w:sz w:val="20"/>
          <w:szCs w:val="20"/>
        </w:rPr>
        <w:t xml:space="preserve">eet </w:t>
      </w:r>
      <w:r w:rsidR="007B2E26" w:rsidRPr="003541A6">
        <w:rPr>
          <w:rFonts w:cs="Arial"/>
          <w:i/>
          <w:sz w:val="20"/>
          <w:szCs w:val="20"/>
        </w:rPr>
        <w:t>SPTdata_format-V0.97.xls</w:t>
      </w:r>
      <w:r w:rsidRPr="00784500">
        <w:rPr>
          <w:rFonts w:cs="Arial"/>
          <w:sz w:val="20"/>
          <w:szCs w:val="20"/>
        </w:rPr>
        <w:t>, defines the terms as follows:</w:t>
      </w:r>
    </w:p>
    <w:p w:rsidR="00BD02D0" w:rsidRPr="003541A6" w:rsidRDefault="00BD02D0" w:rsidP="00BD02D0">
      <w:pPr>
        <w:pStyle w:val="Caption"/>
        <w:keepNext/>
        <w:rPr>
          <w:rFonts w:ascii="Calibri" w:hAnsi="Calibri" w:cs="Calibri"/>
          <w:sz w:val="26"/>
          <w:szCs w:val="26"/>
        </w:rPr>
      </w:pPr>
      <w:bookmarkStart w:id="38" w:name="_Toc476228507"/>
      <w:r w:rsidRPr="003541A6">
        <w:t xml:space="preserve">Table </w:t>
      </w:r>
      <w:r w:rsidR="00B37A08">
        <w:fldChar w:fldCharType="begin"/>
      </w:r>
      <w:r w:rsidR="00B37A08">
        <w:instrText xml:space="preserve"> SEQ Table \* ARABIC </w:instrText>
      </w:r>
      <w:r w:rsidR="00B37A08">
        <w:fldChar w:fldCharType="separate"/>
      </w:r>
      <w:r w:rsidR="00992DF9">
        <w:rPr>
          <w:noProof/>
        </w:rPr>
        <w:t>2</w:t>
      </w:r>
      <w:r w:rsidR="00B37A08">
        <w:rPr>
          <w:noProof/>
        </w:rPr>
        <w:fldChar w:fldCharType="end"/>
      </w:r>
      <w:bookmarkStart w:id="39"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39"/>
      <w:r w:rsidR="00C87539">
        <w:rPr>
          <w:rStyle w:val="EndnoteReference"/>
          <w:rFonts w:cs="Arial"/>
        </w:rPr>
        <w:endnoteReference w:id="6"/>
      </w:r>
      <w:bookmarkEnd w:id="38"/>
    </w:p>
    <w:p w:rsidR="00BD02D0" w:rsidRPr="00BD02D0" w:rsidRDefault="00BD02D0" w:rsidP="00BD02D0">
      <w:pPr>
        <w:keepNext/>
      </w:pPr>
      <w:r>
        <w:rPr>
          <w:rFonts w:ascii="Calibri" w:hAnsi="Calibri" w:cs="Calibri"/>
          <w:i/>
          <w:iCs/>
          <w:szCs w:val="22"/>
        </w:rPr>
        <w:t>I</w:t>
      </w:r>
      <w:r w:rsidRPr="00453CE7">
        <w:rPr>
          <w:rFonts w:ascii="Calibri" w:hAnsi="Calibri" w:cs="Calibri"/>
          <w:i/>
          <w:iCs/>
          <w:szCs w:val="22"/>
        </w:rPr>
        <w:t xml:space="preserve">dentifies the measure application type in the Measure </w:t>
      </w:r>
      <w:r w:rsidR="00D92BFE" w:rsidRPr="00453CE7">
        <w:rPr>
          <w:rFonts w:ascii="Calibri" w:hAnsi="Calibri" w:cs="Calibri"/>
          <w:i/>
          <w:iCs/>
          <w:szCs w:val="22"/>
        </w:rPr>
        <w:t>Implementation</w:t>
      </w:r>
      <w:r w:rsidRPr="00453CE7">
        <w:rPr>
          <w:rFonts w:ascii="Calibri" w:hAnsi="Calibri" w:cs="Calibri"/>
          <w:i/>
          <w:iCs/>
          <w:szCs w:val="22"/>
        </w:rPr>
        <w:t xml:space="preserve"> table</w:t>
      </w:r>
      <w:r w:rsidR="003541A6">
        <w:rPr>
          <w:rFonts w:ascii="Calibri" w:hAnsi="Calibri" w:cs="Calibri"/>
          <w:i/>
          <w:iCs/>
          <w:szCs w:val="22"/>
        </w:rPr>
        <w:t xml:space="preserve"> in DEER2011.</w:t>
      </w:r>
    </w:p>
    <w:tbl>
      <w:tblPr>
        <w:tblW w:w="9090" w:type="dxa"/>
        <w:tblInd w:w="108" w:type="dxa"/>
        <w:tblLook w:val="04A0" w:firstRow="1" w:lastRow="0" w:firstColumn="1" w:lastColumn="0" w:noHBand="0" w:noVBand="1"/>
      </w:tblPr>
      <w:tblGrid>
        <w:gridCol w:w="900"/>
        <w:gridCol w:w="2610"/>
        <w:gridCol w:w="5580"/>
      </w:tblGrid>
      <w:tr w:rsidR="00DC4019" w:rsidRPr="00BD02D0"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rsidTr="003541A6">
        <w:trPr>
          <w:trHeight w:val="600"/>
        </w:trPr>
        <w:tc>
          <w:tcPr>
            <w:tcW w:w="900" w:type="dxa"/>
            <w:tcBorders>
              <w:top w:val="nil"/>
              <w:left w:val="single" w:sz="4" w:space="0" w:color="auto"/>
              <w:bottom w:val="nil"/>
              <w:right w:val="nil"/>
            </w:tcBorders>
            <w:shd w:val="clear" w:color="auto" w:fill="auto"/>
            <w:noWrap/>
            <w:vAlign w:val="center"/>
            <w:hideMark/>
          </w:tcPr>
          <w:p w:rsidR="00544873" w:rsidRPr="00453CE7" w:rsidRDefault="00544873" w:rsidP="00BD02D0">
            <w:pPr>
              <w:keepNext/>
              <w:rPr>
                <w:rFonts w:ascii="Calibri" w:hAnsi="Calibri" w:cs="Calibri"/>
                <w:szCs w:val="22"/>
              </w:rPr>
            </w:pPr>
            <w:r w:rsidRPr="00453CE7">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rsidR="00544873" w:rsidRPr="00453CE7" w:rsidRDefault="00544873" w:rsidP="00BD02D0">
            <w:pPr>
              <w:keepNext/>
              <w:rPr>
                <w:rFonts w:ascii="Calibri" w:hAnsi="Calibri" w:cs="Calibri"/>
                <w:szCs w:val="22"/>
              </w:rPr>
            </w:pPr>
            <w:r w:rsidRPr="00453CE7">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while existing equipment still viable, or retrofit of existing equipment</w:t>
            </w:r>
          </w:p>
        </w:tc>
      </w:tr>
      <w:tr w:rsidR="00BD02D0" w:rsidRPr="00BD02D0" w:rsidTr="003541A6">
        <w:trPr>
          <w:trHeight w:val="600"/>
        </w:trPr>
        <w:tc>
          <w:tcPr>
            <w:tcW w:w="900" w:type="dxa"/>
            <w:tcBorders>
              <w:top w:val="nil"/>
              <w:left w:val="single" w:sz="4" w:space="0" w:color="auto"/>
              <w:bottom w:val="nil"/>
              <w:right w:val="nil"/>
            </w:tcBorders>
            <w:shd w:val="clear" w:color="auto" w:fill="auto"/>
            <w:noWrap/>
            <w:vAlign w:val="center"/>
            <w:hideMark/>
          </w:tcPr>
          <w:p w:rsidR="00544873" w:rsidRPr="00453CE7" w:rsidRDefault="00544873" w:rsidP="00BD02D0">
            <w:pPr>
              <w:keepNext/>
              <w:rPr>
                <w:rFonts w:ascii="Calibri" w:hAnsi="Calibri" w:cs="Calibri"/>
                <w:szCs w:val="22"/>
              </w:rPr>
            </w:pPr>
            <w:r w:rsidRPr="00453CE7">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rsidR="00544873" w:rsidRPr="00453CE7" w:rsidRDefault="00544873" w:rsidP="00BD02D0">
            <w:pPr>
              <w:keepNext/>
              <w:rPr>
                <w:rFonts w:ascii="Calibri" w:hAnsi="Calibri" w:cs="Calibri"/>
                <w:szCs w:val="22"/>
              </w:rPr>
            </w:pPr>
            <w:r w:rsidRPr="00453CE7">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when existing equipment fails or maintenance requires replacement</w:t>
            </w:r>
          </w:p>
        </w:tc>
      </w:tr>
      <w:tr w:rsidR="00BD02D0" w:rsidRPr="00BD02D0" w:rsidTr="003541A6">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544873" w:rsidRPr="00453CE7" w:rsidRDefault="00544873" w:rsidP="00F52572">
            <w:pPr>
              <w:rPr>
                <w:rFonts w:ascii="Calibri" w:hAnsi="Calibri" w:cs="Calibri"/>
                <w:szCs w:val="22"/>
              </w:rPr>
            </w:pPr>
            <w:r w:rsidRPr="00453CE7">
              <w:rPr>
                <w:rFonts w:ascii="Calibri" w:hAnsi="Calibri" w:cs="Calibri"/>
                <w:szCs w:val="22"/>
              </w:rPr>
              <w:t>NC</w:t>
            </w:r>
          </w:p>
        </w:tc>
        <w:tc>
          <w:tcPr>
            <w:tcW w:w="2610" w:type="dxa"/>
            <w:tcBorders>
              <w:top w:val="nil"/>
              <w:left w:val="nil"/>
              <w:bottom w:val="single" w:sz="4" w:space="0" w:color="auto"/>
              <w:right w:val="nil"/>
            </w:tcBorders>
            <w:shd w:val="clear" w:color="auto" w:fill="auto"/>
            <w:noWrap/>
            <w:vAlign w:val="center"/>
            <w:hideMark/>
          </w:tcPr>
          <w:p w:rsidR="00544873" w:rsidRPr="00453CE7" w:rsidRDefault="00544873" w:rsidP="00F52572">
            <w:pPr>
              <w:rPr>
                <w:rFonts w:ascii="Calibri" w:hAnsi="Calibri" w:cs="Calibri"/>
                <w:szCs w:val="22"/>
              </w:rPr>
            </w:pPr>
            <w:r w:rsidRPr="00453CE7">
              <w:rPr>
                <w:rFonts w:ascii="Calibri" w:hAnsi="Calibri" w:cs="Calibri"/>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544873" w:rsidRPr="00453CE7" w:rsidRDefault="00544873" w:rsidP="00F52572">
            <w:pPr>
              <w:rPr>
                <w:rFonts w:ascii="Calibri" w:hAnsi="Calibri" w:cs="Calibri"/>
                <w:i/>
                <w:iCs/>
                <w:szCs w:val="22"/>
              </w:rPr>
            </w:pPr>
            <w:r w:rsidRPr="00453CE7">
              <w:rPr>
                <w:rFonts w:ascii="Calibri" w:hAnsi="Calibri" w:cs="Calibri"/>
                <w:i/>
                <w:iCs/>
                <w:szCs w:val="22"/>
              </w:rPr>
              <w:t>measure applied during construction design phase as an alternative to a code-compliant standard design</w:t>
            </w:r>
          </w:p>
        </w:tc>
      </w:tr>
    </w:tbl>
    <w:p w:rsidR="009C5CA7" w:rsidRPr="00172149" w:rsidRDefault="009C5CA7" w:rsidP="009C5CA7">
      <w:pPr>
        <w:rPr>
          <w:rFonts w:cs="Arial"/>
          <w:i/>
          <w:sz w:val="20"/>
          <w:szCs w:val="20"/>
        </w:rPr>
      </w:pPr>
    </w:p>
    <w:p w:rsidR="00D73550" w:rsidRPr="008F34D9" w:rsidRDefault="0087372C" w:rsidP="002E0043">
      <w:pPr>
        <w:rPr>
          <w:sz w:val="20"/>
          <w:szCs w:val="20"/>
        </w:rPr>
      </w:pPr>
      <w:r w:rsidRPr="008F34D9">
        <w:rPr>
          <w:sz w:val="20"/>
          <w:szCs w:val="20"/>
        </w:rPr>
        <w:t xml:space="preserve">We are </w:t>
      </w:r>
      <w:r w:rsidR="00A75B86">
        <w:rPr>
          <w:sz w:val="20"/>
          <w:szCs w:val="20"/>
        </w:rPr>
        <w:t xml:space="preserve">observing </w:t>
      </w:r>
      <w:r w:rsidR="00F25647">
        <w:rPr>
          <w:sz w:val="20"/>
          <w:szCs w:val="20"/>
        </w:rPr>
        <w:t>that</w:t>
      </w:r>
      <w:r w:rsidR="00F25647" w:rsidRPr="008F34D9">
        <w:rPr>
          <w:sz w:val="20"/>
          <w:szCs w:val="20"/>
        </w:rPr>
        <w:t xml:space="preserve"> </w:t>
      </w:r>
      <w:r w:rsidRPr="008F34D9">
        <w:rPr>
          <w:sz w:val="20"/>
          <w:szCs w:val="20"/>
        </w:rPr>
        <w:t xml:space="preserve">residential customers, on the basis of reports and recommendations sent to their homes, change their operation of energy using devices in their homes </w:t>
      </w:r>
      <w:r w:rsidR="003C61DF">
        <w:rPr>
          <w:sz w:val="20"/>
          <w:szCs w:val="20"/>
        </w:rPr>
        <w:t>and/</w:t>
      </w:r>
      <w:r w:rsidRPr="008F34D9">
        <w:rPr>
          <w:sz w:val="20"/>
          <w:szCs w:val="20"/>
        </w:rPr>
        <w:t>or change to more efficient ones absent participation in PG&amp;E programs aimed at rebating such transactions. This program group of measures being defined as behavioral responses</w:t>
      </w:r>
      <w:r w:rsidR="00F25647">
        <w:rPr>
          <w:sz w:val="20"/>
          <w:szCs w:val="20"/>
        </w:rPr>
        <w:t xml:space="preserve"> </w:t>
      </w:r>
      <w:r w:rsidRPr="008F34D9">
        <w:rPr>
          <w:sz w:val="20"/>
          <w:szCs w:val="20"/>
        </w:rPr>
        <w:t xml:space="preserve">has no corollary in the DEER transaction types. We would go so far as to say that we would require that CPUC develop a behavior modification transaction type to fit this class of measures. For the purposes of </w:t>
      </w:r>
      <w:r w:rsidR="00A75B86">
        <w:rPr>
          <w:sz w:val="20"/>
          <w:szCs w:val="20"/>
        </w:rPr>
        <w:t>this work paper</w:t>
      </w:r>
      <w:r w:rsidRPr="008F34D9">
        <w:rPr>
          <w:sz w:val="20"/>
          <w:szCs w:val="20"/>
        </w:rPr>
        <w:t xml:space="preserve">, we </w:t>
      </w:r>
      <w:r w:rsidR="00BF6985">
        <w:rPr>
          <w:sz w:val="20"/>
          <w:szCs w:val="20"/>
        </w:rPr>
        <w:t xml:space="preserve">are using </w:t>
      </w:r>
      <w:r w:rsidRPr="008F34D9">
        <w:rPr>
          <w:sz w:val="20"/>
          <w:szCs w:val="20"/>
        </w:rPr>
        <w:t xml:space="preserve">the ROB designation as it is the only existing transaction type that approximates the circumstances of these measures.  </w:t>
      </w:r>
    </w:p>
    <w:p w:rsidR="00806070" w:rsidRDefault="00806070" w:rsidP="001248A3">
      <w:pPr>
        <w:pStyle w:val="Heading2"/>
      </w:pPr>
      <w:bookmarkStart w:id="40" w:name="_Toc304800204"/>
      <w:bookmarkStart w:id="41" w:name="_Toc324318340"/>
      <w:bookmarkStart w:id="42" w:name="_Toc324340484"/>
      <w:bookmarkStart w:id="43" w:name="_Toc476228486"/>
      <w:r>
        <w:lastRenderedPageBreak/>
        <w:t>1.4 Product Base Case and Measure Case Data</w:t>
      </w:r>
      <w:bookmarkEnd w:id="40"/>
      <w:bookmarkEnd w:id="41"/>
      <w:bookmarkEnd w:id="42"/>
      <w:bookmarkEnd w:id="43"/>
    </w:p>
    <w:p w:rsidR="00E71EF1" w:rsidRDefault="001248A3" w:rsidP="001248A3">
      <w:pPr>
        <w:pStyle w:val="Heading2"/>
      </w:pPr>
      <w:bookmarkStart w:id="44" w:name="_Toc304800205"/>
      <w:bookmarkStart w:id="45" w:name="_Toc324318341"/>
      <w:bookmarkStart w:id="46" w:name="_Toc324340485"/>
      <w:bookmarkStart w:id="47" w:name="_Toc476228487"/>
      <w:r>
        <w:t>1.</w:t>
      </w:r>
      <w:r w:rsidR="00806070">
        <w:t>4.1</w:t>
      </w:r>
      <w:r w:rsidR="00FA595F">
        <w:t xml:space="preserve"> </w:t>
      </w:r>
      <w:r w:rsidR="00C069A2" w:rsidRPr="001248A3">
        <w:t xml:space="preserve">DEER </w:t>
      </w:r>
      <w:r w:rsidR="008C6AD1">
        <w:t>Base Case and Measure Case Information</w:t>
      </w:r>
      <w:bookmarkEnd w:id="44"/>
      <w:bookmarkEnd w:id="45"/>
      <w:bookmarkEnd w:id="46"/>
      <w:bookmarkEnd w:id="47"/>
      <w:r w:rsidR="008C6AD1">
        <w:t xml:space="preserve"> </w:t>
      </w:r>
    </w:p>
    <w:p w:rsidR="002348AC" w:rsidRPr="009F1859" w:rsidRDefault="00450100" w:rsidP="009C5CA7">
      <w:pPr>
        <w:rPr>
          <w:color w:val="000000" w:themeColor="text1"/>
          <w:sz w:val="20"/>
          <w:szCs w:val="20"/>
        </w:rPr>
      </w:pPr>
      <w:r w:rsidRPr="00450100">
        <w:rPr>
          <w:color w:val="000000" w:themeColor="text1"/>
          <w:sz w:val="20"/>
          <w:szCs w:val="20"/>
        </w:rPr>
        <w:t>The DEER</w:t>
      </w:r>
      <w:r w:rsidR="007D66D9">
        <w:rPr>
          <w:color w:val="000000" w:themeColor="text1"/>
          <w:sz w:val="20"/>
          <w:szCs w:val="20"/>
        </w:rPr>
        <w:t xml:space="preserve"> </w:t>
      </w:r>
      <w:r w:rsidRPr="00450100">
        <w:rPr>
          <w:color w:val="000000" w:themeColor="text1"/>
          <w:sz w:val="20"/>
          <w:szCs w:val="20"/>
        </w:rPr>
        <w:t>Use / Technology Table has no reference that would correctly categorize these program measures.</w:t>
      </w:r>
      <w:r w:rsidRPr="00450100">
        <w:rPr>
          <w:color w:val="FF0000"/>
          <w:sz w:val="20"/>
          <w:szCs w:val="20"/>
        </w:rPr>
        <w:t xml:space="preserve"> </w:t>
      </w:r>
      <w:r w:rsidR="00156198">
        <w:rPr>
          <w:color w:val="000000" w:themeColor="text1"/>
          <w:sz w:val="20"/>
          <w:szCs w:val="20"/>
        </w:rPr>
        <w:t xml:space="preserve">These program measures are being counted as </w:t>
      </w:r>
      <w:r w:rsidR="00156198" w:rsidRPr="00120191">
        <w:rPr>
          <w:i/>
          <w:color w:val="000000" w:themeColor="text1"/>
          <w:sz w:val="20"/>
          <w:szCs w:val="20"/>
        </w:rPr>
        <w:t>ex</w:t>
      </w:r>
      <w:r w:rsidR="00A75B86">
        <w:rPr>
          <w:i/>
          <w:color w:val="000000" w:themeColor="text1"/>
          <w:sz w:val="20"/>
          <w:szCs w:val="20"/>
        </w:rPr>
        <w:t>-</w:t>
      </w:r>
      <w:r w:rsidR="00156198" w:rsidRPr="00120191">
        <w:rPr>
          <w:i/>
          <w:color w:val="000000" w:themeColor="text1"/>
          <w:sz w:val="20"/>
          <w:szCs w:val="20"/>
        </w:rPr>
        <w:t>post</w:t>
      </w:r>
      <w:r w:rsidR="00156198">
        <w:rPr>
          <w:color w:val="000000" w:themeColor="text1"/>
          <w:sz w:val="20"/>
          <w:szCs w:val="20"/>
        </w:rPr>
        <w:t xml:space="preserve"> savings pursuant to the guidance. Consequently</w:t>
      </w:r>
      <w:r w:rsidR="003F502C">
        <w:rPr>
          <w:color w:val="000000" w:themeColor="text1"/>
          <w:sz w:val="20"/>
          <w:szCs w:val="20"/>
        </w:rPr>
        <w:t>,</w:t>
      </w:r>
      <w:r w:rsidR="00156198">
        <w:rPr>
          <w:color w:val="000000" w:themeColor="text1"/>
          <w:sz w:val="20"/>
          <w:szCs w:val="20"/>
        </w:rPr>
        <w:t xml:space="preserve"> the relevance of DEER impacts </w:t>
      </w:r>
      <w:r w:rsidR="0010761F">
        <w:rPr>
          <w:color w:val="000000" w:themeColor="text1"/>
          <w:sz w:val="20"/>
          <w:szCs w:val="20"/>
        </w:rPr>
        <w:t>is</w:t>
      </w:r>
      <w:r w:rsidR="00156198">
        <w:rPr>
          <w:color w:val="000000" w:themeColor="text1"/>
          <w:sz w:val="20"/>
          <w:szCs w:val="20"/>
        </w:rPr>
        <w:t xml:space="preserve"> moot. However, for the purpose of this document, we address these issues to clarify the difference between </w:t>
      </w:r>
      <w:r w:rsidR="00120191">
        <w:rPr>
          <w:color w:val="000000" w:themeColor="text1"/>
          <w:sz w:val="20"/>
          <w:szCs w:val="20"/>
        </w:rPr>
        <w:t xml:space="preserve">this </w:t>
      </w:r>
      <w:r w:rsidR="00156198">
        <w:rPr>
          <w:color w:val="000000" w:themeColor="text1"/>
          <w:sz w:val="20"/>
          <w:szCs w:val="20"/>
        </w:rPr>
        <w:t>program and a</w:t>
      </w:r>
      <w:r w:rsidR="00120191">
        <w:rPr>
          <w:color w:val="000000" w:themeColor="text1"/>
          <w:sz w:val="20"/>
          <w:szCs w:val="20"/>
        </w:rPr>
        <w:t xml:space="preserve">n </w:t>
      </w:r>
      <w:r w:rsidR="00120191" w:rsidRPr="00120191">
        <w:rPr>
          <w:i/>
          <w:color w:val="000000" w:themeColor="text1"/>
          <w:sz w:val="20"/>
          <w:szCs w:val="20"/>
        </w:rPr>
        <w:t>ex</w:t>
      </w:r>
      <w:r w:rsidR="00A75B86">
        <w:rPr>
          <w:i/>
          <w:color w:val="000000" w:themeColor="text1"/>
          <w:sz w:val="20"/>
          <w:szCs w:val="20"/>
        </w:rPr>
        <w:t>-</w:t>
      </w:r>
      <w:r w:rsidR="00120191" w:rsidRPr="00120191">
        <w:rPr>
          <w:i/>
          <w:color w:val="000000" w:themeColor="text1"/>
          <w:sz w:val="20"/>
          <w:szCs w:val="20"/>
        </w:rPr>
        <w:t>ante</w:t>
      </w:r>
      <w:r w:rsidR="00156198">
        <w:rPr>
          <w:color w:val="000000" w:themeColor="text1"/>
          <w:sz w:val="20"/>
          <w:szCs w:val="20"/>
        </w:rPr>
        <w:t xml:space="preserve"> work paper measure.</w:t>
      </w:r>
    </w:p>
    <w:p w:rsidR="00450100" w:rsidRDefault="00450100" w:rsidP="00EB2D3B">
      <w:pPr>
        <w:rPr>
          <w:rFonts w:cs="Arial"/>
          <w:sz w:val="20"/>
          <w:szCs w:val="20"/>
        </w:rPr>
      </w:pPr>
    </w:p>
    <w:p w:rsidR="00EB2D3B" w:rsidRPr="00450100" w:rsidRDefault="00EB2D3B" w:rsidP="00EB2D3B">
      <w:pPr>
        <w:rPr>
          <w:rFonts w:cs="Arial"/>
          <w:i/>
          <w:sz w:val="20"/>
          <w:szCs w:val="20"/>
        </w:rPr>
      </w:pPr>
      <w:r w:rsidRPr="00450100">
        <w:rPr>
          <w:rFonts w:cs="Arial"/>
          <w:i/>
          <w:sz w:val="20"/>
          <w:szCs w:val="20"/>
        </w:rPr>
        <w:t>DEER Values</w:t>
      </w:r>
      <w:r w:rsidR="00450100" w:rsidRPr="00450100">
        <w:rPr>
          <w:rFonts w:cs="Arial"/>
          <w:i/>
          <w:sz w:val="20"/>
          <w:szCs w:val="20"/>
        </w:rPr>
        <w:t xml:space="preserve">: </w:t>
      </w:r>
      <w:r w:rsidRPr="00450100">
        <w:rPr>
          <w:rFonts w:cs="Arial"/>
          <w:i/>
          <w:sz w:val="20"/>
          <w:szCs w:val="20"/>
        </w:rPr>
        <w:t>Measure-specific values found in the database for energy efficient resources</w:t>
      </w:r>
    </w:p>
    <w:p w:rsidR="002348AC" w:rsidRDefault="00EB2D3B" w:rsidP="00EB2D3B">
      <w:pPr>
        <w:rPr>
          <w:b/>
          <w:highlight w:val="cyan"/>
        </w:rPr>
      </w:pPr>
      <w:r w:rsidRPr="00450100">
        <w:rPr>
          <w:rFonts w:cs="Arial"/>
          <w:i/>
          <w:sz w:val="20"/>
          <w:szCs w:val="20"/>
        </w:rPr>
        <w:t>(DEER) including net-to-gross (NTG), estimated useful life (EUL) and unit energy savings (UES) are not applicable to comparative usage programs</w:t>
      </w:r>
      <w:r>
        <w:rPr>
          <w:rStyle w:val="EndnoteReference"/>
          <w:rFonts w:cs="Arial"/>
          <w:sz w:val="20"/>
          <w:szCs w:val="20"/>
        </w:rPr>
        <w:endnoteReference w:id="7"/>
      </w:r>
      <w:r w:rsidRPr="00CC1129">
        <w:rPr>
          <w:rFonts w:cs="Arial"/>
          <w:sz w:val="20"/>
          <w:szCs w:val="20"/>
        </w:rPr>
        <w:t>.</w:t>
      </w:r>
    </w:p>
    <w:p w:rsidR="004734DC" w:rsidRDefault="004734DC" w:rsidP="00C85FC6">
      <w:pPr>
        <w:rPr>
          <w:rFonts w:cs="Arial"/>
          <w:sz w:val="20"/>
          <w:szCs w:val="20"/>
        </w:rPr>
      </w:pPr>
    </w:p>
    <w:p w:rsidR="00AF5B52" w:rsidRPr="00AF5B52" w:rsidRDefault="009A0701" w:rsidP="00C85FC6">
      <w:pPr>
        <w:rPr>
          <w:rFonts w:cs="Arial"/>
          <w:sz w:val="20"/>
          <w:szCs w:val="20"/>
        </w:rPr>
      </w:pPr>
      <w:r>
        <w:rPr>
          <w:rFonts w:cs="Arial"/>
          <w:sz w:val="20"/>
          <w:szCs w:val="20"/>
        </w:rPr>
        <w:t>The HER program</w:t>
      </w:r>
      <w:r w:rsidRPr="00C85FC6">
        <w:rPr>
          <w:rFonts w:cs="Arial"/>
          <w:sz w:val="20"/>
          <w:szCs w:val="20"/>
        </w:rPr>
        <w:t xml:space="preserve"> </w:t>
      </w:r>
      <w:r w:rsidR="00C85FC6" w:rsidRPr="00C85FC6">
        <w:rPr>
          <w:rFonts w:cs="Arial"/>
          <w:sz w:val="20"/>
          <w:szCs w:val="20"/>
        </w:rPr>
        <w:t xml:space="preserve">is </w:t>
      </w:r>
      <w:r>
        <w:rPr>
          <w:rFonts w:cs="Arial"/>
          <w:sz w:val="20"/>
          <w:szCs w:val="20"/>
        </w:rPr>
        <w:t xml:space="preserve">a </w:t>
      </w:r>
      <w:r w:rsidR="00C85FC6">
        <w:rPr>
          <w:rFonts w:cs="Arial"/>
          <w:sz w:val="20"/>
          <w:szCs w:val="20"/>
        </w:rPr>
        <w:t xml:space="preserve">set of measures based on altering customer behavior through a periodic reporting system. It does not involve savings from any installed piece of equipment, control system or building feature. Consequently, </w:t>
      </w:r>
      <w:r w:rsidR="00C85FC6" w:rsidRPr="00C85FC6">
        <w:rPr>
          <w:rFonts w:cs="Arial"/>
          <w:sz w:val="20"/>
          <w:szCs w:val="20"/>
        </w:rPr>
        <w:t>t</w:t>
      </w:r>
      <w:r w:rsidR="009C5CA7" w:rsidRPr="00C85FC6">
        <w:rPr>
          <w:rFonts w:cs="Arial"/>
          <w:sz w:val="20"/>
          <w:szCs w:val="20"/>
        </w:rPr>
        <w:t xml:space="preserve">he DEER data </w:t>
      </w:r>
      <w:r w:rsidR="00AB68E3" w:rsidRPr="00C85FC6">
        <w:rPr>
          <w:rFonts w:cs="Arial"/>
          <w:sz w:val="20"/>
          <w:szCs w:val="20"/>
        </w:rPr>
        <w:t>do</w:t>
      </w:r>
      <w:r w:rsidR="00A172E6" w:rsidRPr="00C85FC6">
        <w:rPr>
          <w:rFonts w:cs="Arial"/>
          <w:sz w:val="20"/>
          <w:szCs w:val="20"/>
        </w:rPr>
        <w:t xml:space="preserve"> not contain </w:t>
      </w:r>
      <w:r w:rsidR="009C5CA7" w:rsidRPr="00C85FC6">
        <w:rPr>
          <w:rFonts w:cs="Arial"/>
          <w:sz w:val="20"/>
          <w:szCs w:val="20"/>
        </w:rPr>
        <w:t>the appropriate information for this (these) measure(s).</w:t>
      </w:r>
      <w:r w:rsidR="00437BE1" w:rsidRPr="00C85FC6">
        <w:rPr>
          <w:rFonts w:cs="Arial"/>
          <w:sz w:val="20"/>
          <w:szCs w:val="20"/>
        </w:rPr>
        <w:t xml:space="preserve"> </w:t>
      </w:r>
    </w:p>
    <w:p w:rsidR="00454DAE" w:rsidRDefault="00454DAE" w:rsidP="00454DAE">
      <w:pPr>
        <w:rPr>
          <w:rFonts w:cs="Arial"/>
          <w:b/>
          <w:sz w:val="20"/>
          <w:szCs w:val="20"/>
        </w:rPr>
      </w:pPr>
      <w:bookmarkStart w:id="48" w:name="Net_to_Gross"/>
    </w:p>
    <w:p w:rsidR="008F48E1" w:rsidRPr="00454DAE" w:rsidRDefault="009C5CA7" w:rsidP="00454DAE">
      <w:pPr>
        <w:pStyle w:val="ListParagraph"/>
        <w:numPr>
          <w:ilvl w:val="0"/>
          <w:numId w:val="22"/>
        </w:numPr>
        <w:rPr>
          <w:rFonts w:cs="Arial"/>
          <w:b/>
          <w:i/>
          <w:sz w:val="20"/>
          <w:szCs w:val="20"/>
        </w:rPr>
      </w:pPr>
      <w:r w:rsidRPr="00454DAE">
        <w:rPr>
          <w:rFonts w:cs="Arial"/>
          <w:b/>
          <w:i/>
          <w:sz w:val="20"/>
          <w:szCs w:val="20"/>
        </w:rPr>
        <w:t>Net-to-Gross</w:t>
      </w:r>
      <w:bookmarkEnd w:id="48"/>
      <w:r w:rsidRPr="00454DAE">
        <w:rPr>
          <w:rFonts w:cs="Arial"/>
          <w:b/>
          <w:i/>
          <w:sz w:val="20"/>
          <w:szCs w:val="20"/>
        </w:rPr>
        <w:t xml:space="preserve"> Assumption:</w:t>
      </w:r>
      <w:r w:rsidR="00437BE1" w:rsidRPr="00454DAE">
        <w:rPr>
          <w:rFonts w:cs="Arial"/>
          <w:b/>
          <w:i/>
          <w:sz w:val="20"/>
          <w:szCs w:val="20"/>
        </w:rPr>
        <w:t xml:space="preserve"> </w:t>
      </w:r>
      <w:r w:rsidR="00454DAE" w:rsidRPr="00454DAE">
        <w:rPr>
          <w:rFonts w:cs="Arial"/>
          <w:b/>
          <w:i/>
          <w:sz w:val="20"/>
          <w:szCs w:val="20"/>
        </w:rPr>
        <w:t>See 1.4.3.</w:t>
      </w:r>
      <w:r w:rsidR="00454DAE">
        <w:rPr>
          <w:rFonts w:cs="Arial"/>
          <w:b/>
          <w:i/>
          <w:sz w:val="20"/>
          <w:szCs w:val="20"/>
        </w:rPr>
        <w:t>2</w:t>
      </w:r>
    </w:p>
    <w:p w:rsidR="008F48E1" w:rsidRPr="00454DAE" w:rsidRDefault="004D7301" w:rsidP="00454DAE">
      <w:pPr>
        <w:pStyle w:val="ListParagraph"/>
        <w:numPr>
          <w:ilvl w:val="0"/>
          <w:numId w:val="22"/>
        </w:numPr>
        <w:rPr>
          <w:rFonts w:cs="Arial"/>
          <w:b/>
          <w:i/>
          <w:color w:val="000000" w:themeColor="text1"/>
        </w:rPr>
      </w:pPr>
      <w:r w:rsidRPr="00454DAE">
        <w:rPr>
          <w:rFonts w:cs="Arial"/>
          <w:b/>
          <w:i/>
          <w:color w:val="000000" w:themeColor="text1"/>
          <w:sz w:val="20"/>
          <w:szCs w:val="20"/>
        </w:rPr>
        <w:t>Effective Useful Life:</w:t>
      </w:r>
      <w:r w:rsidR="00437BE1" w:rsidRPr="00454DAE">
        <w:rPr>
          <w:rFonts w:cs="Arial"/>
          <w:b/>
          <w:i/>
          <w:color w:val="000000" w:themeColor="text1"/>
          <w:sz w:val="20"/>
          <w:szCs w:val="20"/>
        </w:rPr>
        <w:t xml:space="preserve"> </w:t>
      </w:r>
      <w:r w:rsidR="00454DAE" w:rsidRPr="00454DAE">
        <w:rPr>
          <w:rFonts w:cs="Arial"/>
          <w:b/>
          <w:i/>
          <w:color w:val="000000" w:themeColor="text1"/>
          <w:sz w:val="20"/>
          <w:szCs w:val="20"/>
        </w:rPr>
        <w:t>See 1.4.3.</w:t>
      </w:r>
      <w:r w:rsidR="00454DAE">
        <w:rPr>
          <w:rFonts w:cs="Arial"/>
          <w:b/>
          <w:i/>
          <w:color w:val="000000" w:themeColor="text1"/>
          <w:sz w:val="20"/>
          <w:szCs w:val="20"/>
        </w:rPr>
        <w:t>2</w:t>
      </w:r>
      <w:r w:rsidRPr="00454DAE">
        <w:rPr>
          <w:rFonts w:cs="Arial"/>
          <w:b/>
          <w:i/>
          <w:color w:val="000000" w:themeColor="text1"/>
          <w:sz w:val="20"/>
          <w:szCs w:val="20"/>
        </w:rPr>
        <w:t xml:space="preserve"> </w:t>
      </w:r>
    </w:p>
    <w:p w:rsidR="008F48E1" w:rsidRPr="003F502C" w:rsidRDefault="00020042" w:rsidP="00454DAE">
      <w:pPr>
        <w:pStyle w:val="ListParagraph"/>
        <w:numPr>
          <w:ilvl w:val="0"/>
          <w:numId w:val="22"/>
        </w:numPr>
        <w:rPr>
          <w:b/>
          <w:i/>
          <w:sz w:val="20"/>
          <w:szCs w:val="20"/>
        </w:rPr>
      </w:pPr>
      <w:r w:rsidRPr="003F502C">
        <w:rPr>
          <w:rFonts w:cs="Arial"/>
          <w:b/>
          <w:i/>
          <w:sz w:val="20"/>
          <w:szCs w:val="20"/>
        </w:rPr>
        <w:t>In-service rate</w:t>
      </w:r>
      <w:r w:rsidR="00806070" w:rsidRPr="003F502C">
        <w:rPr>
          <w:rFonts w:cs="Arial"/>
          <w:b/>
          <w:i/>
          <w:sz w:val="20"/>
          <w:szCs w:val="20"/>
        </w:rPr>
        <w:t>/first year installation rate</w:t>
      </w:r>
      <w:r w:rsidR="00806070" w:rsidRPr="003F502C">
        <w:rPr>
          <w:b/>
          <w:i/>
          <w:sz w:val="20"/>
          <w:szCs w:val="20"/>
        </w:rPr>
        <w:t>:</w:t>
      </w:r>
      <w:r w:rsidR="00454DAE" w:rsidRPr="003F502C">
        <w:rPr>
          <w:b/>
          <w:i/>
          <w:sz w:val="20"/>
          <w:szCs w:val="20"/>
        </w:rPr>
        <w:t xml:space="preserve"> See 1.4.3.2</w:t>
      </w:r>
    </w:p>
    <w:p w:rsidR="002E0043" w:rsidRPr="002E0043" w:rsidRDefault="001248A3" w:rsidP="002E0043">
      <w:pPr>
        <w:pStyle w:val="Heading2"/>
      </w:pPr>
      <w:bookmarkStart w:id="49" w:name="_Toc304800206"/>
      <w:bookmarkStart w:id="50" w:name="_Toc324318342"/>
      <w:bookmarkStart w:id="51" w:name="_Toc324340486"/>
      <w:bookmarkStart w:id="52" w:name="_Toc476228488"/>
      <w:r>
        <w:t>1.</w:t>
      </w:r>
      <w:r w:rsidR="00FA595F">
        <w:t>4</w:t>
      </w:r>
      <w:r w:rsidR="00793646">
        <w:t>.2</w:t>
      </w:r>
      <w:r w:rsidR="00FA595F">
        <w:t xml:space="preserve"> </w:t>
      </w:r>
      <w:r w:rsidR="00E71EF1" w:rsidRPr="001248A3">
        <w:t xml:space="preserve">Codes &amp; Standards Requirements </w:t>
      </w:r>
      <w:r w:rsidR="009C5CA7">
        <w:t>Base Case and Measure Information</w:t>
      </w:r>
      <w:bookmarkEnd w:id="49"/>
      <w:bookmarkEnd w:id="50"/>
      <w:bookmarkEnd w:id="51"/>
      <w:bookmarkEnd w:id="52"/>
    </w:p>
    <w:p w:rsidR="00D40D17" w:rsidRDefault="009A0701" w:rsidP="00D40D17">
      <w:pPr>
        <w:rPr>
          <w:rFonts w:cs="Arial"/>
          <w:b/>
          <w:i/>
          <w:highlight w:val="yellow"/>
        </w:rPr>
      </w:pPr>
      <w:r>
        <w:rPr>
          <w:rFonts w:cs="Arial"/>
          <w:sz w:val="20"/>
          <w:szCs w:val="20"/>
        </w:rPr>
        <w:t>The HER program</w:t>
      </w:r>
      <w:r w:rsidRPr="00C85FC6">
        <w:rPr>
          <w:rFonts w:cs="Arial"/>
          <w:sz w:val="20"/>
          <w:szCs w:val="20"/>
        </w:rPr>
        <w:t xml:space="preserve"> </w:t>
      </w:r>
      <w:r w:rsidR="00D40D17" w:rsidRPr="00C85FC6">
        <w:rPr>
          <w:rFonts w:cs="Arial"/>
          <w:sz w:val="20"/>
          <w:szCs w:val="20"/>
        </w:rPr>
        <w:t xml:space="preserve">is </w:t>
      </w:r>
      <w:r>
        <w:rPr>
          <w:rFonts w:cs="Arial"/>
          <w:sz w:val="20"/>
          <w:szCs w:val="20"/>
        </w:rPr>
        <w:t xml:space="preserve">a </w:t>
      </w:r>
      <w:r w:rsidR="00D40D17">
        <w:rPr>
          <w:rFonts w:cs="Arial"/>
          <w:sz w:val="20"/>
          <w:szCs w:val="20"/>
        </w:rPr>
        <w:t>set of measures based on altering customer behavior through a periodic reporting system. It does not involve savings from any installed piece of equipment, control system or building feature. Consequently</w:t>
      </w:r>
      <w:r w:rsidR="0010761F">
        <w:rPr>
          <w:rFonts w:cs="Arial"/>
          <w:sz w:val="20"/>
          <w:szCs w:val="20"/>
        </w:rPr>
        <w:t>:</w:t>
      </w:r>
    </w:p>
    <w:p w:rsidR="00D40D17" w:rsidRDefault="00D40D17" w:rsidP="00D40D17">
      <w:pPr>
        <w:rPr>
          <w:rFonts w:cs="Arial"/>
          <w:b/>
          <w:i/>
          <w:highlight w:val="yellow"/>
        </w:rPr>
      </w:pPr>
    </w:p>
    <w:p w:rsidR="00640BB6" w:rsidRPr="00454DAE" w:rsidRDefault="00EE53FF" w:rsidP="00454DAE">
      <w:pPr>
        <w:pStyle w:val="ListParagraph"/>
        <w:numPr>
          <w:ilvl w:val="0"/>
          <w:numId w:val="23"/>
        </w:numPr>
        <w:rPr>
          <w:rFonts w:cs="Arial"/>
          <w:i/>
          <w:sz w:val="20"/>
          <w:szCs w:val="20"/>
        </w:rPr>
      </w:pPr>
      <w:r w:rsidRPr="00454DAE">
        <w:rPr>
          <w:rFonts w:cs="Arial"/>
          <w:b/>
          <w:i/>
        </w:rPr>
        <w:t>Title 20:</w:t>
      </w:r>
      <w:r w:rsidRPr="00454DAE">
        <w:rPr>
          <w:rFonts w:cs="Arial"/>
        </w:rPr>
        <w:t xml:space="preserve"> </w:t>
      </w:r>
      <w:r w:rsidR="00B74917" w:rsidRPr="00454DAE">
        <w:rPr>
          <w:rFonts w:cs="Arial"/>
          <w:sz w:val="20"/>
          <w:szCs w:val="20"/>
        </w:rPr>
        <w:t>Th</w:t>
      </w:r>
      <w:r w:rsidRPr="00454DAE">
        <w:rPr>
          <w:rFonts w:cs="Arial"/>
          <w:sz w:val="20"/>
          <w:szCs w:val="20"/>
        </w:rPr>
        <w:t>ese measures do not fall under Title 20 of the California Energy Regulations.</w:t>
      </w:r>
      <w:r w:rsidR="00437BE1" w:rsidRPr="00454DAE">
        <w:rPr>
          <w:rFonts w:cs="Arial"/>
          <w:sz w:val="20"/>
          <w:szCs w:val="20"/>
        </w:rPr>
        <w:t xml:space="preserve"> </w:t>
      </w:r>
    </w:p>
    <w:p w:rsidR="00640BB6" w:rsidRPr="00454DAE" w:rsidRDefault="00EE53FF" w:rsidP="00454DAE">
      <w:pPr>
        <w:pStyle w:val="ListParagraph"/>
        <w:numPr>
          <w:ilvl w:val="0"/>
          <w:numId w:val="23"/>
        </w:numPr>
        <w:rPr>
          <w:i/>
        </w:rPr>
      </w:pPr>
      <w:r w:rsidRPr="00454DAE">
        <w:rPr>
          <w:rFonts w:cs="Arial"/>
          <w:b/>
          <w:i/>
        </w:rPr>
        <w:t>Title 24:</w:t>
      </w:r>
      <w:r w:rsidRPr="00D40D17">
        <w:t xml:space="preserve"> </w:t>
      </w:r>
      <w:r w:rsidRPr="00454DAE">
        <w:rPr>
          <w:rFonts w:cs="Arial"/>
          <w:sz w:val="20"/>
          <w:szCs w:val="20"/>
        </w:rPr>
        <w:t>These measures do not fall under Title 24 of the California Energy Regulations</w:t>
      </w:r>
      <w:r w:rsidR="00D40D17" w:rsidRPr="00454DAE">
        <w:rPr>
          <w:rFonts w:cs="Arial"/>
          <w:sz w:val="20"/>
          <w:szCs w:val="20"/>
        </w:rPr>
        <w:t>.</w:t>
      </w:r>
    </w:p>
    <w:p w:rsidR="00640BB6" w:rsidRPr="00454DAE" w:rsidRDefault="00EE53FF" w:rsidP="00454DAE">
      <w:pPr>
        <w:pStyle w:val="ListParagraph"/>
        <w:numPr>
          <w:ilvl w:val="0"/>
          <w:numId w:val="23"/>
        </w:numPr>
        <w:rPr>
          <w:rFonts w:cs="Arial"/>
          <w:b/>
          <w:i/>
          <w:color w:val="000000" w:themeColor="text1"/>
          <w:sz w:val="20"/>
          <w:szCs w:val="20"/>
        </w:rPr>
      </w:pPr>
      <w:r w:rsidRPr="00454DAE">
        <w:rPr>
          <w:rFonts w:cs="Arial"/>
          <w:b/>
          <w:i/>
          <w:color w:val="000000" w:themeColor="text1"/>
        </w:rPr>
        <w:t>Federal Standards:</w:t>
      </w:r>
      <w:r w:rsidRPr="00454DAE">
        <w:rPr>
          <w:color w:val="000000" w:themeColor="text1"/>
        </w:rPr>
        <w:t xml:space="preserve"> </w:t>
      </w:r>
      <w:r w:rsidRPr="00454DAE">
        <w:rPr>
          <w:rFonts w:cs="Arial"/>
          <w:color w:val="000000" w:themeColor="text1"/>
          <w:sz w:val="20"/>
          <w:szCs w:val="20"/>
        </w:rPr>
        <w:t>These measures do not fall under Federal DOE or EPA Energy Regulations</w:t>
      </w:r>
      <w:r w:rsidR="00640BB6" w:rsidRPr="00454DAE">
        <w:rPr>
          <w:rFonts w:cs="Arial"/>
          <w:b/>
          <w:i/>
          <w:color w:val="000000" w:themeColor="text1"/>
          <w:sz w:val="20"/>
          <w:szCs w:val="20"/>
        </w:rPr>
        <w:t>.</w:t>
      </w:r>
    </w:p>
    <w:p w:rsidR="002E0043" w:rsidRDefault="001248A3" w:rsidP="002E0043">
      <w:pPr>
        <w:pStyle w:val="Heading2"/>
        <w:keepNext w:val="0"/>
      </w:pPr>
      <w:bookmarkStart w:id="53" w:name="_Toc304800207"/>
      <w:bookmarkStart w:id="54" w:name="_Toc324318343"/>
      <w:bookmarkStart w:id="55" w:name="_Toc324340487"/>
      <w:bookmarkStart w:id="56" w:name="_Toc476228489"/>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53"/>
      <w:bookmarkEnd w:id="54"/>
      <w:bookmarkEnd w:id="55"/>
      <w:bookmarkEnd w:id="56"/>
    </w:p>
    <w:p w:rsidR="009E2964" w:rsidRDefault="009E2964" w:rsidP="00A35CF8">
      <w:pPr>
        <w:rPr>
          <w:rFonts w:cs="Arial"/>
          <w:b/>
          <w:i/>
        </w:rPr>
      </w:pPr>
      <w:r w:rsidRPr="00C80E3F">
        <w:rPr>
          <w:rFonts w:cs="Arial"/>
          <w:b/>
          <w:i/>
        </w:rPr>
        <w:t xml:space="preserve">1.4.3.1 </w:t>
      </w:r>
      <w:r w:rsidR="00E12D94" w:rsidRPr="00E12D94">
        <w:rPr>
          <w:b/>
          <w:i/>
        </w:rPr>
        <w:t>PG&amp;E Home Energy Reports Initiative</w:t>
      </w:r>
      <w:r w:rsidR="00E12D94" w:rsidRPr="00E12D94">
        <w:rPr>
          <w:b/>
        </w:rPr>
        <w:t xml:space="preserve"> </w:t>
      </w:r>
      <w:r w:rsidR="00E12D94" w:rsidRPr="00E12D94">
        <w:rPr>
          <w:b/>
          <w:i/>
        </w:rPr>
        <w:t>Sampling Plan</w:t>
      </w:r>
      <w:bookmarkStart w:id="57" w:name="_Ref474161333"/>
      <w:r w:rsidR="00C80E3F" w:rsidRPr="009F1859">
        <w:rPr>
          <w:rStyle w:val="EndnoteReference"/>
          <w:rFonts w:cs="Arial"/>
          <w:b/>
          <w:i/>
          <w:sz w:val="24"/>
        </w:rPr>
        <w:endnoteReference w:id="8"/>
      </w:r>
      <w:bookmarkEnd w:id="57"/>
    </w:p>
    <w:p w:rsidR="003B62F8" w:rsidRDefault="001C7827" w:rsidP="00CA5803">
      <w:pPr>
        <w:autoSpaceDE w:val="0"/>
        <w:autoSpaceDN w:val="0"/>
        <w:adjustRightInd w:val="0"/>
        <w:rPr>
          <w:rFonts w:cs="Arial"/>
          <w:sz w:val="20"/>
          <w:szCs w:val="20"/>
        </w:rPr>
      </w:pPr>
      <w:r>
        <w:rPr>
          <w:rFonts w:cs="Arial"/>
          <w:sz w:val="20"/>
          <w:szCs w:val="20"/>
        </w:rPr>
        <w:t>This</w:t>
      </w:r>
      <w:r w:rsidR="00DF1B92" w:rsidRPr="00425AF2">
        <w:rPr>
          <w:rFonts w:cs="Arial"/>
          <w:sz w:val="20"/>
          <w:szCs w:val="20"/>
        </w:rPr>
        <w:t xml:space="preserve"> </w:t>
      </w:r>
      <w:r>
        <w:rPr>
          <w:rFonts w:cs="Arial"/>
          <w:sz w:val="20"/>
          <w:szCs w:val="20"/>
        </w:rPr>
        <w:t>document</w:t>
      </w:r>
      <w:r w:rsidR="00DF1B92" w:rsidRPr="00425AF2">
        <w:rPr>
          <w:rFonts w:cs="Arial"/>
          <w:sz w:val="20"/>
          <w:szCs w:val="20"/>
        </w:rPr>
        <w:t xml:space="preserve"> </w:t>
      </w:r>
      <w:r>
        <w:rPr>
          <w:rFonts w:cs="Arial"/>
          <w:sz w:val="20"/>
          <w:szCs w:val="20"/>
        </w:rPr>
        <w:t>describes</w:t>
      </w:r>
      <w:r w:rsidR="00DF1B92" w:rsidRPr="00FC7D3F">
        <w:rPr>
          <w:rFonts w:cs="Arial"/>
          <w:sz w:val="20"/>
          <w:szCs w:val="20"/>
        </w:rPr>
        <w:t xml:space="preserve"> the proposed </w:t>
      </w:r>
      <w:r w:rsidR="00EE2E4F" w:rsidRPr="00FC7D3F">
        <w:rPr>
          <w:rFonts w:cs="Arial"/>
          <w:sz w:val="20"/>
          <w:szCs w:val="20"/>
        </w:rPr>
        <w:t>sample frames for</w:t>
      </w:r>
      <w:r w:rsidR="003E55AA">
        <w:rPr>
          <w:rFonts w:cs="Arial"/>
          <w:sz w:val="20"/>
          <w:szCs w:val="20"/>
        </w:rPr>
        <w:t xml:space="preserve"> PG&amp;E’s two </w:t>
      </w:r>
      <w:r w:rsidR="00DF1B92" w:rsidRPr="00FC7D3F">
        <w:rPr>
          <w:rFonts w:cs="Arial"/>
          <w:sz w:val="20"/>
          <w:szCs w:val="20"/>
        </w:rPr>
        <w:t>initial experiments (Wave Beta</w:t>
      </w:r>
      <w:r>
        <w:rPr>
          <w:rFonts w:cs="Arial"/>
          <w:sz w:val="20"/>
          <w:szCs w:val="20"/>
        </w:rPr>
        <w:t xml:space="preserve"> and</w:t>
      </w:r>
      <w:r w:rsidR="00DF1B92" w:rsidRPr="00FC7D3F">
        <w:rPr>
          <w:rFonts w:cs="Arial"/>
          <w:sz w:val="20"/>
          <w:szCs w:val="20"/>
        </w:rPr>
        <w:t xml:space="preserve"> Wave Gamma)</w:t>
      </w:r>
      <w:r w:rsidR="00EE2E4F" w:rsidRPr="00C01E10">
        <w:rPr>
          <w:rFonts w:cs="Arial"/>
          <w:sz w:val="20"/>
          <w:szCs w:val="20"/>
        </w:rPr>
        <w:t xml:space="preserve">. </w:t>
      </w:r>
      <w:r>
        <w:rPr>
          <w:rFonts w:cs="Arial"/>
          <w:sz w:val="20"/>
          <w:szCs w:val="20"/>
        </w:rPr>
        <w:t xml:space="preserve">It </w:t>
      </w:r>
      <w:r w:rsidR="005847E0">
        <w:rPr>
          <w:rFonts w:cs="Arial"/>
          <w:sz w:val="20"/>
          <w:szCs w:val="20"/>
        </w:rPr>
        <w:t>presents the stratification variables (baseline territory, historical household energy co</w:t>
      </w:r>
      <w:r>
        <w:rPr>
          <w:rFonts w:cs="Arial"/>
          <w:sz w:val="20"/>
          <w:szCs w:val="20"/>
        </w:rPr>
        <w:t>nsumption) used during sampling and</w:t>
      </w:r>
      <w:r w:rsidR="005847E0">
        <w:rPr>
          <w:rFonts w:cs="Arial"/>
          <w:sz w:val="20"/>
          <w:szCs w:val="20"/>
        </w:rPr>
        <w:t xml:space="preserve"> </w:t>
      </w:r>
      <w:r w:rsidR="003B62F8">
        <w:rPr>
          <w:rFonts w:cs="Arial"/>
          <w:sz w:val="20"/>
          <w:szCs w:val="20"/>
        </w:rPr>
        <w:t>also details how sample size influences statistical power and precision. The minimum treatment and control group size to have sufficient statistical power was calculated using a sample design procedure known as “bootstrapping”. It uses Monte Carlo simulations to iteratively solve for the sample size that produces a desired level of statistical precision in model parameter estimates. A typical precis</w:t>
      </w:r>
      <w:r w:rsidR="005847E0">
        <w:rPr>
          <w:rFonts w:cs="Arial"/>
          <w:sz w:val="20"/>
          <w:szCs w:val="20"/>
        </w:rPr>
        <w:t>ion goal</w:t>
      </w:r>
      <w:r w:rsidR="003B62F8">
        <w:rPr>
          <w:rFonts w:cs="Arial"/>
          <w:sz w:val="20"/>
          <w:szCs w:val="20"/>
        </w:rPr>
        <w:t xml:space="preserve"> is to estimate the savings impacts with a 9</w:t>
      </w:r>
      <w:r w:rsidR="003F1480">
        <w:rPr>
          <w:rFonts w:cs="Arial"/>
          <w:sz w:val="20"/>
          <w:szCs w:val="20"/>
        </w:rPr>
        <w:t xml:space="preserve">0% confidence interval of +/- </w:t>
      </w:r>
      <w:r w:rsidR="00121C91">
        <w:rPr>
          <w:rFonts w:cs="Arial"/>
          <w:sz w:val="20"/>
          <w:szCs w:val="20"/>
        </w:rPr>
        <w:t>0.</w:t>
      </w:r>
      <w:r w:rsidR="003F1480">
        <w:rPr>
          <w:rFonts w:cs="Arial"/>
          <w:sz w:val="20"/>
          <w:szCs w:val="20"/>
        </w:rPr>
        <w:t>5</w:t>
      </w:r>
      <w:r w:rsidR="003B62F8">
        <w:rPr>
          <w:rFonts w:cs="Arial"/>
          <w:sz w:val="20"/>
          <w:szCs w:val="20"/>
        </w:rPr>
        <w:t>%.</w:t>
      </w:r>
      <w:r w:rsidR="006B2DB0">
        <w:rPr>
          <w:rFonts w:cs="Arial"/>
          <w:sz w:val="20"/>
          <w:szCs w:val="20"/>
        </w:rPr>
        <w:t xml:space="preserve"> After adjusting for anticipated attrition, the minimum sample size was estimated around 15,000 households.</w:t>
      </w:r>
    </w:p>
    <w:p w:rsidR="003352A0" w:rsidRPr="00425AF2" w:rsidRDefault="003352A0" w:rsidP="003352A0">
      <w:pPr>
        <w:rPr>
          <w:rFonts w:cs="Arial"/>
          <w:sz w:val="20"/>
          <w:szCs w:val="20"/>
          <w:highlight w:val="yellow"/>
        </w:rPr>
      </w:pPr>
    </w:p>
    <w:p w:rsidR="006560BD" w:rsidRDefault="006560BD" w:rsidP="006560BD">
      <w:pPr>
        <w:rPr>
          <w:rFonts w:cs="Arial"/>
          <w:b/>
          <w:i/>
        </w:rPr>
      </w:pPr>
      <w:bookmarkStart w:id="58" w:name="_Toc304800208"/>
      <w:bookmarkStart w:id="59" w:name="_Toc324318344"/>
      <w:bookmarkStart w:id="60" w:name="_Toc324340488"/>
      <w:r w:rsidRPr="00C80E3F">
        <w:rPr>
          <w:rFonts w:cs="Arial"/>
          <w:b/>
          <w:i/>
        </w:rPr>
        <w:t>1.4.3.</w:t>
      </w:r>
      <w:r>
        <w:rPr>
          <w:rFonts w:cs="Arial"/>
          <w:b/>
          <w:i/>
        </w:rPr>
        <w:t>2</w:t>
      </w:r>
      <w:r w:rsidRPr="00C80E3F">
        <w:rPr>
          <w:rFonts w:cs="Arial"/>
          <w:b/>
          <w:i/>
        </w:rPr>
        <w:t xml:space="preserve"> </w:t>
      </w:r>
      <w:r w:rsidR="003352A0" w:rsidRPr="003352A0">
        <w:rPr>
          <w:b/>
          <w:i/>
        </w:rPr>
        <w:t>IOU Proposal for Reporting Energy Savings for Comparative Usage Energy Efficiency Programs</w:t>
      </w:r>
      <w:r>
        <w:t xml:space="preserve"> </w:t>
      </w:r>
      <w:r w:rsidR="000C092B" w:rsidRPr="000C092B">
        <w:rPr>
          <w:b/>
          <w:i/>
        </w:rPr>
        <w:t>May 18, 2012</w:t>
      </w:r>
      <w:r w:rsidRPr="009F1859">
        <w:rPr>
          <w:rStyle w:val="EndnoteReference"/>
          <w:rFonts w:cs="Arial"/>
          <w:b/>
          <w:i/>
          <w:sz w:val="24"/>
        </w:rPr>
        <w:endnoteReference w:id="9"/>
      </w:r>
    </w:p>
    <w:p w:rsidR="00FD30A7" w:rsidRPr="003E55AA" w:rsidRDefault="00FD30A7" w:rsidP="000C092B">
      <w:pPr>
        <w:rPr>
          <w:rFonts w:cs="Arial"/>
          <w:b/>
          <w:sz w:val="20"/>
          <w:szCs w:val="20"/>
        </w:rPr>
      </w:pPr>
    </w:p>
    <w:p w:rsidR="00F51CED" w:rsidRPr="008D0A36" w:rsidRDefault="00F51CED" w:rsidP="000C092B">
      <w:pPr>
        <w:rPr>
          <w:rFonts w:cs="Arial"/>
          <w:b/>
          <w:sz w:val="20"/>
          <w:szCs w:val="20"/>
        </w:rPr>
      </w:pPr>
      <w:r w:rsidRPr="003E55AA">
        <w:rPr>
          <w:rFonts w:cs="Arial"/>
          <w:b/>
          <w:sz w:val="20"/>
          <w:szCs w:val="20"/>
        </w:rPr>
        <w:t xml:space="preserve">This document proposes utility reporting schemes for </w:t>
      </w:r>
      <w:r w:rsidR="00221772" w:rsidRPr="003E55AA">
        <w:rPr>
          <w:rFonts w:cs="Arial"/>
          <w:b/>
          <w:sz w:val="20"/>
          <w:szCs w:val="20"/>
        </w:rPr>
        <w:t>behavior</w:t>
      </w:r>
      <w:r w:rsidR="00221772">
        <w:rPr>
          <w:rFonts w:cs="Arial"/>
          <w:b/>
          <w:sz w:val="20"/>
          <w:szCs w:val="20"/>
        </w:rPr>
        <w:t>-</w:t>
      </w:r>
      <w:r w:rsidRPr="008D0A36">
        <w:rPr>
          <w:rFonts w:cs="Arial"/>
          <w:b/>
          <w:sz w:val="20"/>
          <w:szCs w:val="20"/>
        </w:rPr>
        <w:t>based programs</w:t>
      </w:r>
      <w:r w:rsidR="00FD30A7" w:rsidRPr="008D0A36">
        <w:rPr>
          <w:rFonts w:cs="Arial"/>
          <w:b/>
          <w:sz w:val="20"/>
          <w:szCs w:val="20"/>
        </w:rPr>
        <w:t xml:space="preserve"> and sets the parameters for reporting savings and other inputs to CPUC</w:t>
      </w:r>
      <w:r w:rsidRPr="008D0A36">
        <w:rPr>
          <w:rFonts w:cs="Arial"/>
          <w:b/>
          <w:sz w:val="20"/>
          <w:szCs w:val="20"/>
        </w:rPr>
        <w:t>.</w:t>
      </w:r>
    </w:p>
    <w:p w:rsidR="00987D0F" w:rsidRPr="008D0A36" w:rsidRDefault="00987D0F" w:rsidP="000C092B">
      <w:pPr>
        <w:rPr>
          <w:rFonts w:cs="Arial"/>
          <w:sz w:val="20"/>
          <w:szCs w:val="20"/>
        </w:rPr>
      </w:pPr>
    </w:p>
    <w:p w:rsidR="00987D0F" w:rsidRPr="008D0A36" w:rsidRDefault="000C092B" w:rsidP="00FD30A7">
      <w:pPr>
        <w:rPr>
          <w:rFonts w:cs="Arial"/>
          <w:sz w:val="20"/>
          <w:szCs w:val="20"/>
        </w:rPr>
      </w:pPr>
      <w:r w:rsidRPr="008D0A36">
        <w:rPr>
          <w:rFonts w:cs="Arial"/>
          <w:sz w:val="20"/>
          <w:szCs w:val="20"/>
        </w:rPr>
        <w:lastRenderedPageBreak/>
        <w:t>Impacts of comparative energy usage programs can be assessed using experimental design</w:t>
      </w:r>
      <w:r w:rsidR="00F51CED" w:rsidRPr="008D0A36">
        <w:rPr>
          <w:rFonts w:cs="Arial"/>
          <w:sz w:val="20"/>
          <w:szCs w:val="20"/>
        </w:rPr>
        <w:t xml:space="preserve"> </w:t>
      </w:r>
      <w:r w:rsidRPr="008D0A36">
        <w:rPr>
          <w:rFonts w:cs="Arial"/>
          <w:sz w:val="20"/>
          <w:szCs w:val="20"/>
        </w:rPr>
        <w:t xml:space="preserve">whereby a target group of similar households </w:t>
      </w:r>
      <w:r w:rsidR="00987D0F" w:rsidRPr="008D0A36">
        <w:rPr>
          <w:rFonts w:cs="Arial"/>
          <w:sz w:val="20"/>
          <w:szCs w:val="20"/>
        </w:rPr>
        <w:t xml:space="preserve">is </w:t>
      </w:r>
      <w:r w:rsidRPr="008D0A36">
        <w:rPr>
          <w:rFonts w:cs="Arial"/>
          <w:sz w:val="20"/>
          <w:szCs w:val="20"/>
        </w:rPr>
        <w:t>randomly assigned to receive the reports</w:t>
      </w:r>
      <w:r w:rsidR="00F51CED" w:rsidRPr="008D0A36">
        <w:rPr>
          <w:rFonts w:cs="Arial"/>
          <w:sz w:val="20"/>
          <w:szCs w:val="20"/>
        </w:rPr>
        <w:t xml:space="preserve"> </w:t>
      </w:r>
      <w:r w:rsidRPr="008D0A36">
        <w:rPr>
          <w:rFonts w:cs="Arial"/>
          <w:sz w:val="20"/>
          <w:szCs w:val="20"/>
        </w:rPr>
        <w:t>(“treatment”) or not (“control”). The random assignment ensures that the treatment and control</w:t>
      </w:r>
      <w:r w:rsidR="00F51CED" w:rsidRPr="008D0A36">
        <w:rPr>
          <w:rFonts w:cs="Arial"/>
          <w:sz w:val="20"/>
          <w:szCs w:val="20"/>
        </w:rPr>
        <w:t xml:space="preserve"> </w:t>
      </w:r>
      <w:r w:rsidRPr="008D0A36">
        <w:rPr>
          <w:rFonts w:cs="Arial"/>
          <w:sz w:val="20"/>
          <w:szCs w:val="20"/>
        </w:rPr>
        <w:t>groups are equivalent from a statistical standpoint such that the experimental design establishes</w:t>
      </w:r>
      <w:r w:rsidR="00F51CED" w:rsidRPr="008D0A36">
        <w:rPr>
          <w:rFonts w:cs="Arial"/>
          <w:sz w:val="20"/>
          <w:szCs w:val="20"/>
        </w:rPr>
        <w:t xml:space="preserve"> </w:t>
      </w:r>
      <w:r w:rsidRPr="008D0A36">
        <w:rPr>
          <w:rFonts w:cs="Arial"/>
          <w:sz w:val="20"/>
          <w:szCs w:val="20"/>
        </w:rPr>
        <w:t>whether the desired effects are more likely to occur in the intervention (or treatment) group due</w:t>
      </w:r>
      <w:r w:rsidR="007C55FD" w:rsidRPr="008D0A36">
        <w:rPr>
          <w:rFonts w:cs="Arial"/>
          <w:sz w:val="20"/>
          <w:szCs w:val="20"/>
        </w:rPr>
        <w:t xml:space="preserve"> </w:t>
      </w:r>
      <w:r w:rsidRPr="008D0A36">
        <w:rPr>
          <w:rFonts w:cs="Arial"/>
          <w:sz w:val="20"/>
          <w:szCs w:val="20"/>
        </w:rPr>
        <w:t>to the program. Households in the treatment and control groups are treated in the same fashion</w:t>
      </w:r>
      <w:r w:rsidR="007C55FD" w:rsidRPr="008D0A36">
        <w:rPr>
          <w:rFonts w:cs="Arial"/>
          <w:sz w:val="20"/>
          <w:szCs w:val="20"/>
        </w:rPr>
        <w:t xml:space="preserve"> </w:t>
      </w:r>
      <w:r w:rsidRPr="008D0A36">
        <w:rPr>
          <w:rFonts w:cs="Arial"/>
          <w:sz w:val="20"/>
          <w:szCs w:val="20"/>
        </w:rPr>
        <w:t xml:space="preserve">with respect to utility interactions </w:t>
      </w:r>
      <w:r w:rsidR="00FD30A7" w:rsidRPr="008D0A36">
        <w:rPr>
          <w:rFonts w:cs="Arial"/>
          <w:sz w:val="20"/>
          <w:szCs w:val="20"/>
        </w:rPr>
        <w:t xml:space="preserve">outside of this particular intervention </w:t>
      </w:r>
      <w:r w:rsidRPr="008D0A36">
        <w:rPr>
          <w:rFonts w:cs="Arial"/>
          <w:sz w:val="20"/>
          <w:szCs w:val="20"/>
        </w:rPr>
        <w:t>(such as exposure to marketing programs and recruitment to</w:t>
      </w:r>
      <w:r w:rsidR="007C55FD" w:rsidRPr="008D0A36">
        <w:rPr>
          <w:rFonts w:cs="Arial"/>
          <w:sz w:val="20"/>
          <w:szCs w:val="20"/>
        </w:rPr>
        <w:t xml:space="preserve"> </w:t>
      </w:r>
      <w:r w:rsidRPr="008D0A36">
        <w:rPr>
          <w:rFonts w:cs="Arial"/>
          <w:sz w:val="20"/>
          <w:szCs w:val="20"/>
        </w:rPr>
        <w:t>demand response programs).</w:t>
      </w:r>
    </w:p>
    <w:p w:rsidR="000C092B" w:rsidRPr="008D0A36" w:rsidRDefault="000C092B" w:rsidP="000C092B">
      <w:pPr>
        <w:rPr>
          <w:rFonts w:cs="Arial"/>
          <w:b/>
          <w:sz w:val="20"/>
          <w:szCs w:val="20"/>
        </w:rPr>
      </w:pPr>
    </w:p>
    <w:p w:rsidR="000C092B" w:rsidRPr="008D0A36" w:rsidRDefault="000C092B" w:rsidP="000C092B">
      <w:pPr>
        <w:rPr>
          <w:rFonts w:cs="Arial"/>
          <w:b/>
          <w:sz w:val="20"/>
          <w:szCs w:val="20"/>
        </w:rPr>
      </w:pPr>
      <w:r w:rsidRPr="008D0A36">
        <w:rPr>
          <w:rFonts w:cs="Arial"/>
          <w:b/>
          <w:sz w:val="20"/>
          <w:szCs w:val="20"/>
        </w:rPr>
        <w:t xml:space="preserve">How Energy Savings </w:t>
      </w:r>
      <w:r w:rsidR="00DC1EC8" w:rsidRPr="008D0A36">
        <w:rPr>
          <w:rFonts w:cs="Arial"/>
          <w:b/>
          <w:sz w:val="20"/>
          <w:szCs w:val="20"/>
        </w:rPr>
        <w:t xml:space="preserve">and </w:t>
      </w:r>
      <w:r w:rsidR="00AC4947">
        <w:rPr>
          <w:rFonts w:cs="Arial"/>
          <w:b/>
          <w:sz w:val="20"/>
          <w:szCs w:val="20"/>
        </w:rPr>
        <w:t>P</w:t>
      </w:r>
      <w:r w:rsidR="00AC4947" w:rsidRPr="008D0A36">
        <w:rPr>
          <w:rFonts w:cs="Arial"/>
          <w:b/>
          <w:sz w:val="20"/>
          <w:szCs w:val="20"/>
        </w:rPr>
        <w:t xml:space="preserve">eak </w:t>
      </w:r>
      <w:r w:rsidR="00AC4947">
        <w:rPr>
          <w:rFonts w:cs="Arial"/>
          <w:b/>
          <w:sz w:val="20"/>
          <w:szCs w:val="20"/>
        </w:rPr>
        <w:t>D</w:t>
      </w:r>
      <w:r w:rsidR="00AC4947" w:rsidRPr="008D0A36">
        <w:rPr>
          <w:rFonts w:cs="Arial"/>
          <w:b/>
          <w:sz w:val="20"/>
          <w:szCs w:val="20"/>
        </w:rPr>
        <w:t xml:space="preserve">emand </w:t>
      </w:r>
      <w:r w:rsidR="00AC4947">
        <w:rPr>
          <w:rFonts w:cs="Arial"/>
          <w:b/>
          <w:sz w:val="20"/>
          <w:szCs w:val="20"/>
        </w:rPr>
        <w:t>R</w:t>
      </w:r>
      <w:r w:rsidR="00AC4947" w:rsidRPr="008D0A36">
        <w:rPr>
          <w:rFonts w:cs="Arial"/>
          <w:b/>
          <w:sz w:val="20"/>
          <w:szCs w:val="20"/>
        </w:rPr>
        <w:t xml:space="preserve">eduction </w:t>
      </w:r>
      <w:r w:rsidRPr="008D0A36">
        <w:rPr>
          <w:rFonts w:cs="Arial"/>
          <w:b/>
          <w:sz w:val="20"/>
          <w:szCs w:val="20"/>
        </w:rPr>
        <w:t>Result from Comparative Usage Programs</w:t>
      </w:r>
    </w:p>
    <w:p w:rsidR="00987D0F" w:rsidRPr="00B7077D" w:rsidRDefault="000C092B" w:rsidP="00987D0F">
      <w:pPr>
        <w:rPr>
          <w:rFonts w:cs="Arial"/>
          <w:sz w:val="20"/>
          <w:szCs w:val="20"/>
        </w:rPr>
      </w:pPr>
      <w:r w:rsidRPr="008D0A36">
        <w:rPr>
          <w:rFonts w:cs="Arial"/>
          <w:sz w:val="20"/>
          <w:szCs w:val="20"/>
        </w:rPr>
        <w:t>The impacts of home energy reports have been tested in several jurisdictions across the nation</w:t>
      </w:r>
      <w:r w:rsidR="007C55FD" w:rsidRPr="008D0A36">
        <w:rPr>
          <w:rFonts w:cs="Arial"/>
          <w:sz w:val="20"/>
          <w:szCs w:val="20"/>
        </w:rPr>
        <w:t xml:space="preserve"> </w:t>
      </w:r>
      <w:r w:rsidRPr="008D0A36">
        <w:rPr>
          <w:rFonts w:cs="Arial"/>
          <w:sz w:val="20"/>
          <w:szCs w:val="20"/>
        </w:rPr>
        <w:t xml:space="preserve">by independent evaluators. These findings are based on the results of </w:t>
      </w:r>
      <w:r w:rsidR="00987D0F" w:rsidRPr="008D0A36">
        <w:rPr>
          <w:rFonts w:cs="Arial"/>
          <w:sz w:val="20"/>
          <w:szCs w:val="20"/>
        </w:rPr>
        <w:t>randomized controlled t</w:t>
      </w:r>
      <w:r w:rsidRPr="008D0A36">
        <w:rPr>
          <w:rFonts w:cs="Arial"/>
          <w:sz w:val="20"/>
          <w:szCs w:val="20"/>
        </w:rPr>
        <w:t xml:space="preserve">rial (RCT) experiments </w:t>
      </w:r>
      <w:r w:rsidR="00987D0F" w:rsidRPr="008D0A36">
        <w:rPr>
          <w:rFonts w:cs="Arial"/>
          <w:sz w:val="20"/>
          <w:szCs w:val="20"/>
        </w:rPr>
        <w:t xml:space="preserve">which are considered as the most effective way to establish causality between a treatment and its effect. This experimental design </w:t>
      </w:r>
      <w:r w:rsidR="00585C7D">
        <w:rPr>
          <w:rFonts w:cs="Arial"/>
          <w:sz w:val="20"/>
          <w:szCs w:val="20"/>
        </w:rPr>
        <w:t xml:space="preserve">indeed </w:t>
      </w:r>
      <w:r w:rsidR="00987D0F" w:rsidRPr="00B7077D">
        <w:rPr>
          <w:rFonts w:cs="Arial"/>
          <w:sz w:val="20"/>
          <w:szCs w:val="20"/>
        </w:rPr>
        <w:t>isolates the unique impact of the comparative usage. To reduce sampling error and thereby improve the representativeness of the sample of each of these experiments, PG&amp;E created stratified sample frames for each PG&amp;E baseline territory (akin to climate zones</w:t>
      </w:r>
      <w:r w:rsidR="00857350" w:rsidRPr="00857350">
        <w:rPr>
          <w:rFonts w:cs="Arial"/>
          <w:sz w:val="20"/>
          <w:szCs w:val="20"/>
        </w:rPr>
        <w:t>) and by energy usage quartile</w:t>
      </w:r>
      <w:r w:rsidR="00857350">
        <w:rPr>
          <w:rFonts w:cs="Arial"/>
          <w:sz w:val="20"/>
          <w:szCs w:val="20"/>
        </w:rPr>
        <w:t>. M</w:t>
      </w:r>
      <w:r w:rsidR="00987D0F" w:rsidRPr="00B7077D">
        <w:rPr>
          <w:rFonts w:cs="Arial"/>
          <w:sz w:val="20"/>
          <w:szCs w:val="20"/>
        </w:rPr>
        <w:t xml:space="preserve">ore detail is provided in </w:t>
      </w:r>
      <w:r w:rsidR="00585C7D">
        <w:rPr>
          <w:rFonts w:cs="Arial"/>
          <w:sz w:val="20"/>
          <w:szCs w:val="20"/>
        </w:rPr>
        <w:t>t</w:t>
      </w:r>
      <w:r w:rsidR="00585C7D" w:rsidRPr="00425AF2">
        <w:rPr>
          <w:rFonts w:cs="Arial"/>
          <w:sz w:val="20"/>
          <w:szCs w:val="20"/>
        </w:rPr>
        <w:t xml:space="preserve">he </w:t>
      </w:r>
      <w:r w:rsidR="00585C7D">
        <w:rPr>
          <w:rFonts w:cs="Arial"/>
          <w:sz w:val="20"/>
          <w:szCs w:val="20"/>
        </w:rPr>
        <w:t>“</w:t>
      </w:r>
      <w:r w:rsidR="00585C7D" w:rsidRPr="00B7077D">
        <w:rPr>
          <w:rFonts w:cs="Arial"/>
          <w:i/>
          <w:sz w:val="20"/>
          <w:szCs w:val="20"/>
        </w:rPr>
        <w:t>PG&amp;E Home Energy Reports Initiative Sampling Plan</w:t>
      </w:r>
      <w:r w:rsidR="00585C7D">
        <w:rPr>
          <w:rFonts w:cs="Arial"/>
          <w:sz w:val="20"/>
          <w:szCs w:val="20"/>
        </w:rPr>
        <w:t>”</w:t>
      </w:r>
      <w:r w:rsidR="00585C7D" w:rsidRPr="00A72052">
        <w:rPr>
          <w:rFonts w:cs="Arial"/>
          <w:sz w:val="20"/>
          <w:szCs w:val="20"/>
          <w:vertAlign w:val="superscript"/>
        </w:rPr>
        <w:fldChar w:fldCharType="begin"/>
      </w:r>
      <w:r w:rsidR="00585C7D" w:rsidRPr="00A72052">
        <w:rPr>
          <w:rFonts w:cs="Arial"/>
          <w:sz w:val="20"/>
          <w:szCs w:val="20"/>
          <w:vertAlign w:val="superscript"/>
        </w:rPr>
        <w:instrText xml:space="preserve"> NOTEREF _Ref474161333 \h  \* MERGEFORMAT </w:instrText>
      </w:r>
      <w:r w:rsidR="00585C7D" w:rsidRPr="00A72052">
        <w:rPr>
          <w:rFonts w:cs="Arial"/>
          <w:sz w:val="20"/>
          <w:szCs w:val="20"/>
          <w:vertAlign w:val="superscript"/>
        </w:rPr>
      </w:r>
      <w:r w:rsidR="00585C7D" w:rsidRPr="00A72052">
        <w:rPr>
          <w:rFonts w:cs="Arial"/>
          <w:sz w:val="20"/>
          <w:szCs w:val="20"/>
          <w:vertAlign w:val="superscript"/>
        </w:rPr>
        <w:fldChar w:fldCharType="separate"/>
      </w:r>
      <w:r w:rsidR="00992DF9">
        <w:rPr>
          <w:rFonts w:cs="Arial"/>
          <w:sz w:val="20"/>
          <w:szCs w:val="20"/>
          <w:vertAlign w:val="superscript"/>
        </w:rPr>
        <w:t>8</w:t>
      </w:r>
      <w:r w:rsidR="00585C7D" w:rsidRPr="00A72052">
        <w:rPr>
          <w:rFonts w:cs="Arial"/>
          <w:sz w:val="20"/>
          <w:szCs w:val="20"/>
          <w:vertAlign w:val="superscript"/>
        </w:rPr>
        <w:fldChar w:fldCharType="end"/>
      </w:r>
      <w:r w:rsidR="00585C7D">
        <w:rPr>
          <w:rFonts w:cs="Arial"/>
          <w:sz w:val="20"/>
          <w:szCs w:val="20"/>
        </w:rPr>
        <w:t>.</w:t>
      </w:r>
    </w:p>
    <w:p w:rsidR="00987D0F" w:rsidRDefault="00987D0F" w:rsidP="000C092B">
      <w:pPr>
        <w:rPr>
          <w:rFonts w:cs="Arial"/>
          <w:sz w:val="20"/>
          <w:szCs w:val="20"/>
        </w:rPr>
      </w:pPr>
    </w:p>
    <w:p w:rsidR="000549DF" w:rsidRPr="00355E6F" w:rsidRDefault="007A4237" w:rsidP="000549DF">
      <w:pPr>
        <w:rPr>
          <w:rFonts w:cs="Arial"/>
          <w:sz w:val="20"/>
          <w:szCs w:val="20"/>
        </w:rPr>
      </w:pPr>
      <w:r>
        <w:rPr>
          <w:rFonts w:cs="Arial"/>
          <w:sz w:val="20"/>
          <w:szCs w:val="20"/>
        </w:rPr>
        <w:t>S</w:t>
      </w:r>
      <w:r w:rsidRPr="00FC7D3F">
        <w:rPr>
          <w:rFonts w:cs="Arial"/>
          <w:sz w:val="20"/>
          <w:szCs w:val="20"/>
        </w:rPr>
        <w:t xml:space="preserve">avings from the HER program results from a myriad of actions that vary from household to household. </w:t>
      </w:r>
      <w:r w:rsidR="000549DF">
        <w:rPr>
          <w:rFonts w:cs="Arial"/>
          <w:sz w:val="20"/>
          <w:szCs w:val="20"/>
        </w:rPr>
        <w:t xml:space="preserve">They </w:t>
      </w:r>
      <w:r w:rsidR="000549DF" w:rsidRPr="00355E6F">
        <w:rPr>
          <w:rFonts w:cs="Arial"/>
          <w:sz w:val="20"/>
          <w:szCs w:val="20"/>
        </w:rPr>
        <w:t>may be divided into three types of actions:</w:t>
      </w:r>
    </w:p>
    <w:p w:rsidR="000549DF" w:rsidRPr="00B7077D" w:rsidRDefault="000549DF" w:rsidP="00B7077D">
      <w:pPr>
        <w:pStyle w:val="ListParagraph"/>
        <w:numPr>
          <w:ilvl w:val="0"/>
          <w:numId w:val="38"/>
        </w:numPr>
        <w:rPr>
          <w:rFonts w:cs="Arial"/>
          <w:sz w:val="20"/>
          <w:szCs w:val="20"/>
        </w:rPr>
      </w:pPr>
      <w:r w:rsidRPr="00B7077D">
        <w:rPr>
          <w:rFonts w:cs="Arial"/>
          <w:sz w:val="20"/>
          <w:szCs w:val="20"/>
        </w:rPr>
        <w:t>Behavioral changes or practices that affect equipment use (e.g., switching off lights, unplugging unused appliances, and adjusting thermostat settings to limit heating and cooling);</w:t>
      </w:r>
    </w:p>
    <w:p w:rsidR="000549DF" w:rsidRPr="00B7077D" w:rsidRDefault="000549DF" w:rsidP="00B7077D">
      <w:pPr>
        <w:pStyle w:val="ListParagraph"/>
        <w:numPr>
          <w:ilvl w:val="0"/>
          <w:numId w:val="38"/>
        </w:numPr>
        <w:rPr>
          <w:rFonts w:cs="Arial"/>
          <w:sz w:val="20"/>
          <w:szCs w:val="20"/>
        </w:rPr>
      </w:pPr>
      <w:r w:rsidRPr="00B7077D">
        <w:rPr>
          <w:rFonts w:cs="Arial"/>
          <w:sz w:val="20"/>
          <w:szCs w:val="20"/>
        </w:rPr>
        <w:t>Behavioral changes in the purchase and installation of equipment not rebated by PG&amp;E’s energy efficiency incentives programs;</w:t>
      </w:r>
      <w:r w:rsidRPr="00B7077D" w:rsidDel="00663253">
        <w:rPr>
          <w:rFonts w:cs="Arial"/>
          <w:sz w:val="20"/>
          <w:szCs w:val="20"/>
        </w:rPr>
        <w:t xml:space="preserve"> </w:t>
      </w:r>
    </w:p>
    <w:p w:rsidR="00E066CD" w:rsidRPr="00B7077D" w:rsidRDefault="000549DF" w:rsidP="00E066CD">
      <w:pPr>
        <w:pStyle w:val="ListParagraph"/>
        <w:numPr>
          <w:ilvl w:val="0"/>
          <w:numId w:val="38"/>
        </w:numPr>
        <w:rPr>
          <w:rFonts w:cs="Arial"/>
          <w:sz w:val="20"/>
          <w:szCs w:val="20"/>
        </w:rPr>
      </w:pPr>
      <w:r w:rsidRPr="00B7077D">
        <w:rPr>
          <w:rFonts w:cs="Arial"/>
          <w:sz w:val="20"/>
          <w:szCs w:val="20"/>
        </w:rPr>
        <w:t>Behavioral changes in the purchase and installation of energy efficient equipment rebated by PG&amp;E’s energy efficiency incentive programs.</w:t>
      </w:r>
      <w:r w:rsidR="00E066CD" w:rsidRPr="00E066CD">
        <w:rPr>
          <w:rFonts w:cs="Arial"/>
          <w:sz w:val="20"/>
          <w:szCs w:val="20"/>
        </w:rPr>
        <w:t xml:space="preserve"> </w:t>
      </w:r>
    </w:p>
    <w:p w:rsidR="007A4237" w:rsidRDefault="007A4237" w:rsidP="000C092B">
      <w:pPr>
        <w:rPr>
          <w:rFonts w:cs="Arial"/>
          <w:sz w:val="20"/>
          <w:szCs w:val="20"/>
        </w:rPr>
      </w:pPr>
      <w:r w:rsidRPr="00FC7D3F">
        <w:rPr>
          <w:rFonts w:cs="Arial"/>
          <w:sz w:val="20"/>
          <w:szCs w:val="20"/>
        </w:rPr>
        <w:t>Since households have large variations in energy usage and savings are small (</w:t>
      </w:r>
      <w:r w:rsidR="00857350" w:rsidRPr="00030D09">
        <w:rPr>
          <w:rFonts w:cs="Arial"/>
          <w:sz w:val="20"/>
          <w:szCs w:val="20"/>
        </w:rPr>
        <w:t>between 1</w:t>
      </w:r>
      <w:r w:rsidR="00992DF9">
        <w:rPr>
          <w:rFonts w:cs="Arial"/>
          <w:sz w:val="20"/>
          <w:szCs w:val="20"/>
        </w:rPr>
        <w:t>.0</w:t>
      </w:r>
      <w:r w:rsidR="00857350" w:rsidRPr="00030D09">
        <w:rPr>
          <w:rFonts w:cs="Arial"/>
          <w:sz w:val="20"/>
          <w:szCs w:val="20"/>
        </w:rPr>
        <w:t>% and 3</w:t>
      </w:r>
      <w:r w:rsidR="00992DF9">
        <w:rPr>
          <w:rFonts w:cs="Arial"/>
          <w:sz w:val="20"/>
          <w:szCs w:val="20"/>
        </w:rPr>
        <w:t>.0</w:t>
      </w:r>
      <w:r w:rsidR="00857350" w:rsidRPr="00030D09">
        <w:rPr>
          <w:rFonts w:cs="Arial"/>
          <w:sz w:val="20"/>
          <w:szCs w:val="20"/>
        </w:rPr>
        <w:t>% for electricity and between 0.5% and 1.5% for natural gas</w:t>
      </w:r>
      <w:r w:rsidRPr="00FC7D3F">
        <w:rPr>
          <w:rFonts w:cs="Arial"/>
          <w:sz w:val="20"/>
          <w:szCs w:val="20"/>
        </w:rPr>
        <w:t>), large treatment and control groups are necessary to produce an un-biased savings estimate with a high level of statistical precision.</w:t>
      </w:r>
      <w:r>
        <w:rPr>
          <w:rFonts w:cs="Arial"/>
          <w:sz w:val="20"/>
          <w:szCs w:val="20"/>
        </w:rPr>
        <w:t xml:space="preserve"> </w:t>
      </w:r>
      <w:r w:rsidRPr="00FC7D3F">
        <w:rPr>
          <w:rFonts w:cs="Arial"/>
          <w:sz w:val="20"/>
          <w:szCs w:val="20"/>
        </w:rPr>
        <w:t>Because the</w:t>
      </w:r>
      <w:r>
        <w:rPr>
          <w:rFonts w:cs="Arial"/>
          <w:sz w:val="20"/>
          <w:szCs w:val="20"/>
        </w:rPr>
        <w:t xml:space="preserve"> set of</w:t>
      </w:r>
      <w:r w:rsidRPr="00FC7D3F">
        <w:rPr>
          <w:rFonts w:cs="Arial"/>
          <w:sz w:val="20"/>
          <w:szCs w:val="20"/>
        </w:rPr>
        <w:t xml:space="preserve"> household</w:t>
      </w:r>
      <w:r w:rsidR="00B7077D">
        <w:rPr>
          <w:rFonts w:cs="Arial"/>
          <w:sz w:val="20"/>
          <w:szCs w:val="20"/>
        </w:rPr>
        <w:t>’s</w:t>
      </w:r>
      <w:r w:rsidRPr="00FC7D3F">
        <w:rPr>
          <w:rFonts w:cs="Arial"/>
          <w:sz w:val="20"/>
          <w:szCs w:val="20"/>
        </w:rPr>
        <w:t xml:space="preserve"> characteristics </w:t>
      </w:r>
      <w:r>
        <w:rPr>
          <w:rFonts w:cs="Arial"/>
          <w:sz w:val="20"/>
          <w:szCs w:val="20"/>
        </w:rPr>
        <w:t>for</w:t>
      </w:r>
      <w:r w:rsidRPr="00FC7D3F">
        <w:rPr>
          <w:rFonts w:cs="Arial"/>
          <w:sz w:val="20"/>
          <w:szCs w:val="20"/>
        </w:rPr>
        <w:t xml:space="preserve"> each experiment </w:t>
      </w:r>
      <w:r>
        <w:rPr>
          <w:rFonts w:cs="Arial"/>
          <w:sz w:val="20"/>
          <w:szCs w:val="20"/>
        </w:rPr>
        <w:t>is unique</w:t>
      </w:r>
      <w:r w:rsidRPr="00FC7D3F">
        <w:rPr>
          <w:rFonts w:cs="Arial"/>
          <w:sz w:val="20"/>
          <w:szCs w:val="20"/>
        </w:rPr>
        <w:t xml:space="preserve">, savings </w:t>
      </w:r>
      <w:r>
        <w:rPr>
          <w:rFonts w:cs="Arial"/>
          <w:sz w:val="20"/>
          <w:szCs w:val="20"/>
        </w:rPr>
        <w:t>is</w:t>
      </w:r>
      <w:r w:rsidRPr="00FC7D3F">
        <w:rPr>
          <w:rFonts w:cs="Arial"/>
          <w:sz w:val="20"/>
          <w:szCs w:val="20"/>
        </w:rPr>
        <w:t xml:space="preserve"> calculated on an </w:t>
      </w:r>
      <w:r w:rsidRPr="00A72052">
        <w:rPr>
          <w:rFonts w:cs="Arial"/>
          <w:i/>
          <w:sz w:val="20"/>
          <w:szCs w:val="20"/>
        </w:rPr>
        <w:t>ex-post</w:t>
      </w:r>
      <w:r w:rsidRPr="00FC7D3F">
        <w:rPr>
          <w:rFonts w:cs="Arial"/>
          <w:sz w:val="20"/>
          <w:szCs w:val="20"/>
        </w:rPr>
        <w:t xml:space="preserve"> basis using billing analysis</w:t>
      </w:r>
      <w:r>
        <w:rPr>
          <w:rFonts w:cs="Arial"/>
          <w:sz w:val="20"/>
          <w:szCs w:val="20"/>
        </w:rPr>
        <w:t xml:space="preserve"> and </w:t>
      </w:r>
      <w:r w:rsidRPr="00272E55">
        <w:rPr>
          <w:rFonts w:cs="Arial"/>
          <w:sz w:val="20"/>
          <w:szCs w:val="20"/>
        </w:rPr>
        <w:t>demand response impact assessment</w:t>
      </w:r>
      <w:r w:rsidRPr="00FC7D3F">
        <w:rPr>
          <w:rFonts w:cs="Arial"/>
          <w:sz w:val="20"/>
          <w:szCs w:val="20"/>
        </w:rPr>
        <w:t xml:space="preserve">. </w:t>
      </w:r>
      <w:r>
        <w:rPr>
          <w:rFonts w:cs="Arial"/>
          <w:sz w:val="20"/>
          <w:szCs w:val="20"/>
        </w:rPr>
        <w:t>R</w:t>
      </w:r>
      <w:r w:rsidRPr="00FC7D3F">
        <w:rPr>
          <w:rFonts w:cs="Arial"/>
          <w:sz w:val="20"/>
          <w:szCs w:val="20"/>
        </w:rPr>
        <w:t>egression model</w:t>
      </w:r>
      <w:r>
        <w:rPr>
          <w:rFonts w:cs="Arial"/>
          <w:sz w:val="20"/>
          <w:szCs w:val="20"/>
        </w:rPr>
        <w:t>s</w:t>
      </w:r>
      <w:r w:rsidRPr="00FC7D3F">
        <w:rPr>
          <w:rFonts w:cs="Arial"/>
          <w:sz w:val="20"/>
          <w:szCs w:val="20"/>
        </w:rPr>
        <w:t xml:space="preserve"> </w:t>
      </w:r>
      <w:r>
        <w:rPr>
          <w:rFonts w:cs="Arial"/>
          <w:sz w:val="20"/>
          <w:szCs w:val="20"/>
        </w:rPr>
        <w:t>are based on the “</w:t>
      </w:r>
      <w:r w:rsidRPr="00FC7D3F">
        <w:rPr>
          <w:rFonts w:cs="Arial"/>
          <w:sz w:val="20"/>
          <w:szCs w:val="20"/>
        </w:rPr>
        <w:t>difference-in-difference</w:t>
      </w:r>
      <w:r>
        <w:rPr>
          <w:rFonts w:cs="Arial"/>
          <w:sz w:val="20"/>
          <w:szCs w:val="20"/>
        </w:rPr>
        <w:t>” (DID)</w:t>
      </w:r>
      <w:r w:rsidRPr="00FC7D3F">
        <w:rPr>
          <w:rFonts w:cs="Arial"/>
          <w:sz w:val="20"/>
          <w:szCs w:val="20"/>
        </w:rPr>
        <w:t xml:space="preserve"> </w:t>
      </w:r>
      <w:r>
        <w:rPr>
          <w:rFonts w:cs="Arial"/>
          <w:sz w:val="20"/>
          <w:szCs w:val="20"/>
        </w:rPr>
        <w:t xml:space="preserve">approach, whereby </w:t>
      </w:r>
      <w:r w:rsidRPr="00FC7D3F">
        <w:rPr>
          <w:rFonts w:cs="Arial"/>
          <w:sz w:val="20"/>
          <w:szCs w:val="20"/>
        </w:rPr>
        <w:t xml:space="preserve">the average change in energy consumption between pre- and post-periods among the </w:t>
      </w:r>
      <w:r w:rsidR="009F78EE">
        <w:rPr>
          <w:rFonts w:cs="Arial"/>
          <w:sz w:val="20"/>
          <w:szCs w:val="20"/>
        </w:rPr>
        <w:t>treatment</w:t>
      </w:r>
      <w:r w:rsidRPr="00FC7D3F">
        <w:rPr>
          <w:rFonts w:cs="Arial"/>
          <w:sz w:val="20"/>
          <w:szCs w:val="20"/>
        </w:rPr>
        <w:t xml:space="preserve"> group </w:t>
      </w:r>
      <w:r>
        <w:rPr>
          <w:rFonts w:cs="Arial"/>
          <w:sz w:val="20"/>
          <w:szCs w:val="20"/>
        </w:rPr>
        <w:t xml:space="preserve">is subtracted to </w:t>
      </w:r>
      <w:r w:rsidRPr="00FC7D3F">
        <w:rPr>
          <w:rFonts w:cs="Arial"/>
          <w:sz w:val="20"/>
          <w:szCs w:val="20"/>
        </w:rPr>
        <w:t xml:space="preserve">the average change in energy consumption between pre- and post-periods among the </w:t>
      </w:r>
      <w:r w:rsidR="009F78EE">
        <w:rPr>
          <w:rFonts w:cs="Arial"/>
          <w:sz w:val="20"/>
          <w:szCs w:val="20"/>
        </w:rPr>
        <w:t>control</w:t>
      </w:r>
      <w:r w:rsidRPr="00FC7D3F">
        <w:rPr>
          <w:rFonts w:cs="Arial"/>
          <w:sz w:val="20"/>
          <w:szCs w:val="20"/>
        </w:rPr>
        <w:t xml:space="preserve"> group</w:t>
      </w:r>
      <w:r>
        <w:rPr>
          <w:rFonts w:cs="Arial"/>
          <w:sz w:val="20"/>
          <w:szCs w:val="20"/>
        </w:rPr>
        <w:t>.</w:t>
      </w:r>
    </w:p>
    <w:p w:rsidR="007C55FD" w:rsidRDefault="007C55FD" w:rsidP="000C092B">
      <w:pPr>
        <w:rPr>
          <w:rFonts w:cs="Arial"/>
          <w:sz w:val="20"/>
          <w:szCs w:val="20"/>
        </w:rPr>
      </w:pPr>
    </w:p>
    <w:p w:rsidR="00AC4947" w:rsidRPr="008D0A36" w:rsidRDefault="00AC4947" w:rsidP="00AC4947">
      <w:pPr>
        <w:rPr>
          <w:rFonts w:cs="Arial"/>
          <w:b/>
          <w:sz w:val="20"/>
          <w:szCs w:val="20"/>
        </w:rPr>
      </w:pPr>
      <w:r w:rsidRPr="008D0A36">
        <w:rPr>
          <w:rFonts w:cs="Arial"/>
          <w:b/>
          <w:sz w:val="20"/>
          <w:szCs w:val="20"/>
        </w:rPr>
        <w:t xml:space="preserve">How Energy Savings and </w:t>
      </w:r>
      <w:r w:rsidR="00B1289B">
        <w:rPr>
          <w:rFonts w:cs="Arial"/>
          <w:b/>
          <w:sz w:val="20"/>
          <w:szCs w:val="20"/>
        </w:rPr>
        <w:t>P</w:t>
      </w:r>
      <w:r w:rsidR="00B1289B" w:rsidRPr="008D0A36">
        <w:rPr>
          <w:rFonts w:cs="Arial"/>
          <w:b/>
          <w:sz w:val="20"/>
          <w:szCs w:val="20"/>
        </w:rPr>
        <w:t xml:space="preserve">eak </w:t>
      </w:r>
      <w:r w:rsidR="00B1289B">
        <w:rPr>
          <w:rFonts w:cs="Arial"/>
          <w:b/>
          <w:sz w:val="20"/>
          <w:szCs w:val="20"/>
        </w:rPr>
        <w:t>D</w:t>
      </w:r>
      <w:r w:rsidR="00B1289B" w:rsidRPr="008D0A36">
        <w:rPr>
          <w:rFonts w:cs="Arial"/>
          <w:b/>
          <w:sz w:val="20"/>
          <w:szCs w:val="20"/>
        </w:rPr>
        <w:t xml:space="preserve">emand </w:t>
      </w:r>
      <w:r>
        <w:rPr>
          <w:rFonts w:cs="Arial"/>
          <w:b/>
          <w:sz w:val="20"/>
          <w:szCs w:val="20"/>
        </w:rPr>
        <w:t>are Reported</w:t>
      </w:r>
    </w:p>
    <w:p w:rsidR="00AC4947" w:rsidRDefault="00AC4947" w:rsidP="00AC4947">
      <w:pPr>
        <w:rPr>
          <w:sz w:val="20"/>
          <w:szCs w:val="20"/>
        </w:rPr>
      </w:pPr>
      <w:r>
        <w:rPr>
          <w:sz w:val="20"/>
          <w:szCs w:val="20"/>
        </w:rPr>
        <w:t xml:space="preserve">Per agreement with the Energy Division of the CPUC, </w:t>
      </w:r>
      <w:r w:rsidRPr="00137AC7">
        <w:rPr>
          <w:sz w:val="20"/>
          <w:szCs w:val="20"/>
        </w:rPr>
        <w:t xml:space="preserve">PG&amp;E </w:t>
      </w:r>
      <w:r>
        <w:rPr>
          <w:sz w:val="20"/>
          <w:szCs w:val="20"/>
        </w:rPr>
        <w:t xml:space="preserve">has been reporting </w:t>
      </w:r>
      <w:r w:rsidRPr="00137AC7">
        <w:rPr>
          <w:sz w:val="20"/>
          <w:szCs w:val="20"/>
        </w:rPr>
        <w:t xml:space="preserve">savings on a </w:t>
      </w:r>
      <w:r w:rsidRPr="00120191">
        <w:rPr>
          <w:sz w:val="20"/>
          <w:szCs w:val="20"/>
        </w:rPr>
        <w:t>quarter to quarter</w:t>
      </w:r>
      <w:r w:rsidRPr="00137AC7">
        <w:rPr>
          <w:sz w:val="20"/>
          <w:szCs w:val="20"/>
        </w:rPr>
        <w:t xml:space="preserve"> basis for all </w:t>
      </w:r>
      <w:r>
        <w:rPr>
          <w:sz w:val="20"/>
          <w:szCs w:val="20"/>
        </w:rPr>
        <w:t>experiments in</w:t>
      </w:r>
      <w:r w:rsidRPr="00137AC7">
        <w:rPr>
          <w:sz w:val="20"/>
          <w:szCs w:val="20"/>
        </w:rPr>
        <w:t xml:space="preserve"> the program</w:t>
      </w:r>
      <w:r>
        <w:rPr>
          <w:sz w:val="20"/>
          <w:szCs w:val="20"/>
        </w:rPr>
        <w:t xml:space="preserve">. The savings is </w:t>
      </w:r>
      <w:r w:rsidRPr="009F65D3">
        <w:rPr>
          <w:i/>
          <w:sz w:val="20"/>
          <w:szCs w:val="20"/>
        </w:rPr>
        <w:t>ex-ante</w:t>
      </w:r>
      <w:r>
        <w:rPr>
          <w:sz w:val="20"/>
          <w:szCs w:val="20"/>
        </w:rPr>
        <w:t xml:space="preserve"> and based on forecasts from </w:t>
      </w:r>
      <w:r w:rsidR="00766954" w:rsidRPr="00B355C6">
        <w:rPr>
          <w:rFonts w:cs="Arial"/>
          <w:sz w:val="20"/>
          <w:szCs w:val="20"/>
        </w:rPr>
        <w:t>OPOWER</w:t>
      </w:r>
      <w:r>
        <w:rPr>
          <w:sz w:val="20"/>
          <w:szCs w:val="20"/>
        </w:rPr>
        <w:t xml:space="preserve"> and include agreed upon holdbacks of 20% for electric and demand savings and 10% for gas savings</w:t>
      </w:r>
      <w:r w:rsidRPr="00137AC7">
        <w:rPr>
          <w:sz w:val="20"/>
          <w:szCs w:val="20"/>
        </w:rPr>
        <w:t xml:space="preserve">. </w:t>
      </w:r>
      <w:r>
        <w:rPr>
          <w:sz w:val="20"/>
          <w:szCs w:val="20"/>
        </w:rPr>
        <w:t xml:space="preserve">The final savings amounts are then trued-up during the </w:t>
      </w:r>
      <w:r w:rsidRPr="009F65D3">
        <w:rPr>
          <w:i/>
          <w:sz w:val="20"/>
          <w:szCs w:val="20"/>
        </w:rPr>
        <w:t>ex-post</w:t>
      </w:r>
      <w:r>
        <w:rPr>
          <w:sz w:val="20"/>
          <w:szCs w:val="20"/>
        </w:rPr>
        <w:t xml:space="preserve"> evaluation.</w:t>
      </w:r>
    </w:p>
    <w:p w:rsidR="00AC4947" w:rsidRPr="00CF57CB" w:rsidRDefault="00AC4947" w:rsidP="000C092B">
      <w:pPr>
        <w:rPr>
          <w:rFonts w:cs="Arial"/>
          <w:sz w:val="20"/>
          <w:szCs w:val="20"/>
        </w:rPr>
      </w:pPr>
    </w:p>
    <w:p w:rsidR="000C092B" w:rsidRPr="00CF57CB" w:rsidRDefault="000C092B" w:rsidP="000C092B">
      <w:pPr>
        <w:rPr>
          <w:rFonts w:cs="Arial"/>
          <w:b/>
          <w:sz w:val="20"/>
          <w:szCs w:val="20"/>
          <w:highlight w:val="cyan"/>
        </w:rPr>
      </w:pPr>
    </w:p>
    <w:p w:rsidR="006560BD" w:rsidRDefault="006560BD" w:rsidP="006560BD">
      <w:pPr>
        <w:rPr>
          <w:rFonts w:cs="Arial"/>
          <w:b/>
          <w:sz w:val="20"/>
          <w:szCs w:val="20"/>
        </w:rPr>
      </w:pPr>
      <w:r>
        <w:rPr>
          <w:rFonts w:cs="Arial"/>
          <w:b/>
          <w:sz w:val="20"/>
          <w:szCs w:val="20"/>
        </w:rPr>
        <w:t>Base Case Costs and Measure Case Costs</w:t>
      </w:r>
    </w:p>
    <w:p w:rsidR="006560BD" w:rsidRDefault="006560BD" w:rsidP="006560BD">
      <w:pPr>
        <w:rPr>
          <w:rFonts w:cs="Arial"/>
          <w:b/>
          <w:sz w:val="20"/>
          <w:szCs w:val="20"/>
        </w:rPr>
      </w:pPr>
    </w:p>
    <w:p w:rsidR="006560BD" w:rsidRDefault="006560BD" w:rsidP="006560BD">
      <w:pPr>
        <w:rPr>
          <w:rFonts w:cs="Arial"/>
          <w:b/>
          <w:sz w:val="20"/>
          <w:szCs w:val="20"/>
        </w:rPr>
      </w:pPr>
      <w:r>
        <w:rPr>
          <w:rFonts w:cs="Arial"/>
          <w:b/>
          <w:sz w:val="20"/>
          <w:szCs w:val="20"/>
        </w:rPr>
        <w:t>Costs</w:t>
      </w:r>
      <w:r w:rsidR="000E5D60">
        <w:rPr>
          <w:rFonts w:cs="Arial"/>
          <w:b/>
          <w:sz w:val="20"/>
          <w:szCs w:val="20"/>
        </w:rPr>
        <w:t xml:space="preserve"> </w:t>
      </w:r>
      <w:r w:rsidRPr="00BA7D18">
        <w:rPr>
          <w:rFonts w:cs="Arial"/>
          <w:b/>
          <w:sz w:val="20"/>
          <w:szCs w:val="20"/>
        </w:rPr>
        <w:t>DEER Version and Impact Ids</w:t>
      </w:r>
    </w:p>
    <w:p w:rsidR="006560BD" w:rsidRPr="00FC7D3F" w:rsidRDefault="006560BD" w:rsidP="008943CC">
      <w:pPr>
        <w:numPr>
          <w:ilvl w:val="0"/>
          <w:numId w:val="11"/>
        </w:numPr>
        <w:rPr>
          <w:rFonts w:cs="Arial"/>
          <w:sz w:val="20"/>
          <w:szCs w:val="20"/>
        </w:rPr>
      </w:pPr>
      <w:r w:rsidRPr="00425AF2">
        <w:rPr>
          <w:rFonts w:cs="Arial"/>
          <w:sz w:val="20"/>
          <w:szCs w:val="20"/>
        </w:rPr>
        <w:t xml:space="preserve">The [Base Case / Measure Case / Incremental] Costs were </w:t>
      </w:r>
      <w:r w:rsidR="0030154F" w:rsidRPr="00425AF2">
        <w:rPr>
          <w:rFonts w:cs="Arial"/>
          <w:sz w:val="20"/>
          <w:szCs w:val="20"/>
        </w:rPr>
        <w:t>derived</w:t>
      </w:r>
      <w:r w:rsidRPr="00425AF2">
        <w:rPr>
          <w:rFonts w:cs="Arial"/>
          <w:sz w:val="20"/>
          <w:szCs w:val="20"/>
        </w:rPr>
        <w:t xml:space="preserve"> from </w:t>
      </w:r>
      <w:r w:rsidR="001B503E">
        <w:rPr>
          <w:rFonts w:cs="Arial"/>
          <w:sz w:val="20"/>
          <w:szCs w:val="20"/>
        </w:rPr>
        <w:t>“</w:t>
      </w:r>
      <w:r w:rsidR="008943CC" w:rsidRPr="001B503E">
        <w:rPr>
          <w:rFonts w:cs="Arial"/>
          <w:i/>
          <w:sz w:val="20"/>
          <w:szCs w:val="20"/>
        </w:rPr>
        <w:t>IOU Proposal for Reporting Energy Savings for Comparative Usage Energy Efficiency Programs</w:t>
      </w:r>
      <w:r w:rsidR="001B503E">
        <w:rPr>
          <w:rFonts w:cs="Arial"/>
          <w:sz w:val="20"/>
          <w:szCs w:val="20"/>
        </w:rPr>
        <w:t>”</w:t>
      </w:r>
      <w:r w:rsidRPr="00425AF2">
        <w:rPr>
          <w:rFonts w:cs="Arial"/>
          <w:sz w:val="20"/>
          <w:szCs w:val="20"/>
        </w:rPr>
        <w:t xml:space="preserve"> </w:t>
      </w:r>
      <w:r w:rsidR="001B503E">
        <w:rPr>
          <w:rFonts w:cs="Arial"/>
          <w:sz w:val="20"/>
          <w:szCs w:val="20"/>
        </w:rPr>
        <w:t>s</w:t>
      </w:r>
      <w:r w:rsidR="001B503E" w:rsidRPr="00425AF2">
        <w:rPr>
          <w:rFonts w:cs="Arial"/>
          <w:sz w:val="20"/>
          <w:szCs w:val="20"/>
        </w:rPr>
        <w:t xml:space="preserve">tudy </w:t>
      </w:r>
      <w:r w:rsidRPr="00425AF2">
        <w:rPr>
          <w:rFonts w:cs="Arial"/>
          <w:sz w:val="20"/>
          <w:szCs w:val="20"/>
        </w:rPr>
        <w:t>directly, they match the intended measur</w:t>
      </w:r>
      <w:r w:rsidRPr="00FC7D3F">
        <w:rPr>
          <w:rFonts w:cs="Arial"/>
          <w:sz w:val="20"/>
          <w:szCs w:val="20"/>
        </w:rPr>
        <w:t>es for climate zones and building types and ages.</w:t>
      </w:r>
    </w:p>
    <w:p w:rsidR="00450100" w:rsidRPr="00CF57CB" w:rsidRDefault="00450100" w:rsidP="0030154F">
      <w:pPr>
        <w:pStyle w:val="ListParagraph"/>
        <w:numPr>
          <w:ilvl w:val="2"/>
          <w:numId w:val="24"/>
        </w:numPr>
        <w:tabs>
          <w:tab w:val="clear" w:pos="1080"/>
        </w:tabs>
        <w:ind w:left="360"/>
        <w:rPr>
          <w:rFonts w:cs="Arial"/>
          <w:sz w:val="20"/>
          <w:szCs w:val="20"/>
        </w:rPr>
      </w:pPr>
      <w:r w:rsidRPr="00CF57CB">
        <w:rPr>
          <w:rFonts w:cs="Arial"/>
          <w:sz w:val="20"/>
          <w:szCs w:val="20"/>
        </w:rPr>
        <w:t>Incremental Measure Costs (IMC) and Negative Therm Interactive Effects. As is detailed above, comparative usage programs cause savings</w:t>
      </w:r>
      <w:r w:rsidR="00D914B0" w:rsidRPr="00CF57CB">
        <w:rPr>
          <w:rFonts w:cs="Arial"/>
          <w:sz w:val="20"/>
          <w:szCs w:val="20"/>
        </w:rPr>
        <w:t xml:space="preserve"> </w:t>
      </w:r>
      <w:r w:rsidRPr="00CF57CB">
        <w:rPr>
          <w:rFonts w:cs="Arial"/>
          <w:sz w:val="20"/>
          <w:szCs w:val="20"/>
        </w:rPr>
        <w:t>through behavior change and</w:t>
      </w:r>
      <w:r w:rsidR="00CF57CB">
        <w:rPr>
          <w:rFonts w:cs="Arial"/>
          <w:sz w:val="20"/>
          <w:szCs w:val="20"/>
        </w:rPr>
        <w:t>/or</w:t>
      </w:r>
      <w:r w:rsidRPr="00CF57CB">
        <w:rPr>
          <w:rFonts w:cs="Arial"/>
          <w:sz w:val="20"/>
          <w:szCs w:val="20"/>
        </w:rPr>
        <w:t xml:space="preserve"> equipment purchases. IMCs and negative Therm</w:t>
      </w:r>
      <w:r w:rsidR="00D914B0" w:rsidRPr="00CF57CB">
        <w:rPr>
          <w:rFonts w:cs="Arial"/>
          <w:sz w:val="20"/>
          <w:szCs w:val="20"/>
        </w:rPr>
        <w:t>s</w:t>
      </w:r>
      <w:r w:rsidRPr="00CF57CB">
        <w:rPr>
          <w:rFonts w:cs="Arial"/>
          <w:sz w:val="20"/>
          <w:szCs w:val="20"/>
        </w:rPr>
        <w:t xml:space="preserve"> interactive effects </w:t>
      </w:r>
      <w:r w:rsidR="00AC1B60">
        <w:rPr>
          <w:rFonts w:cs="Arial"/>
          <w:sz w:val="20"/>
          <w:szCs w:val="20"/>
        </w:rPr>
        <w:t xml:space="preserve">are </w:t>
      </w:r>
      <w:r w:rsidRPr="00CF57CB">
        <w:rPr>
          <w:rFonts w:cs="Arial"/>
          <w:sz w:val="20"/>
          <w:szCs w:val="20"/>
        </w:rPr>
        <w:t xml:space="preserve">treated in the following manner for each class of savings as detailed below. Energy savings </w:t>
      </w:r>
      <w:r w:rsidR="00D914B0" w:rsidRPr="00CF57CB">
        <w:rPr>
          <w:rFonts w:cs="Arial"/>
          <w:sz w:val="20"/>
          <w:szCs w:val="20"/>
        </w:rPr>
        <w:t xml:space="preserve">and peak demand reduction </w:t>
      </w:r>
      <w:r w:rsidRPr="00CF57CB">
        <w:rPr>
          <w:rFonts w:cs="Arial"/>
          <w:sz w:val="20"/>
          <w:szCs w:val="20"/>
        </w:rPr>
        <w:t>resulting from:</w:t>
      </w:r>
    </w:p>
    <w:p w:rsidR="00450100" w:rsidRPr="00CF57CB" w:rsidRDefault="00450100" w:rsidP="0030154F">
      <w:pPr>
        <w:pStyle w:val="ListParagraph"/>
        <w:numPr>
          <w:ilvl w:val="1"/>
          <w:numId w:val="11"/>
        </w:numPr>
        <w:tabs>
          <w:tab w:val="clear" w:pos="360"/>
        </w:tabs>
        <w:ind w:left="720"/>
        <w:rPr>
          <w:rFonts w:cs="Arial"/>
          <w:sz w:val="20"/>
          <w:szCs w:val="20"/>
        </w:rPr>
      </w:pPr>
      <w:r w:rsidRPr="00CF57CB">
        <w:rPr>
          <w:rFonts w:cs="Arial"/>
          <w:sz w:val="20"/>
          <w:szCs w:val="20"/>
        </w:rPr>
        <w:t xml:space="preserve">Behavioral changes (such as adjustment of thermostat and water heater settings) have no IMCs or known interactive effects, so none </w:t>
      </w:r>
      <w:r w:rsidR="00AC1B60">
        <w:rPr>
          <w:rFonts w:cs="Arial"/>
          <w:sz w:val="20"/>
          <w:szCs w:val="20"/>
        </w:rPr>
        <w:t xml:space="preserve">are </w:t>
      </w:r>
      <w:r w:rsidRPr="00CF57CB">
        <w:rPr>
          <w:rFonts w:cs="Arial"/>
          <w:sz w:val="20"/>
          <w:szCs w:val="20"/>
        </w:rPr>
        <w:t>reported</w:t>
      </w:r>
      <w:r w:rsidR="001E2CBE">
        <w:rPr>
          <w:rFonts w:cs="Arial"/>
          <w:sz w:val="20"/>
          <w:szCs w:val="20"/>
        </w:rPr>
        <w:t>;</w:t>
      </w:r>
    </w:p>
    <w:p w:rsidR="00450100" w:rsidRPr="00425AF2" w:rsidRDefault="00450100" w:rsidP="0030154F">
      <w:pPr>
        <w:pStyle w:val="ListParagraph"/>
        <w:numPr>
          <w:ilvl w:val="1"/>
          <w:numId w:val="11"/>
        </w:numPr>
        <w:tabs>
          <w:tab w:val="clear" w:pos="360"/>
        </w:tabs>
        <w:ind w:left="720"/>
        <w:rPr>
          <w:rFonts w:cs="Arial"/>
          <w:sz w:val="20"/>
          <w:szCs w:val="20"/>
        </w:rPr>
      </w:pPr>
      <w:r w:rsidRPr="00CF57CB">
        <w:rPr>
          <w:rFonts w:cs="Arial"/>
          <w:sz w:val="20"/>
          <w:szCs w:val="20"/>
        </w:rPr>
        <w:lastRenderedPageBreak/>
        <w:t xml:space="preserve">Equipment purchases that, as determined by utility records (for downstream measures) and by home inventories and surveys (for upstream measures), have been claimed through another utility program and </w:t>
      </w:r>
      <w:r w:rsidR="00075D84" w:rsidRPr="00CF57CB">
        <w:rPr>
          <w:rFonts w:cs="Arial"/>
          <w:sz w:val="20"/>
          <w:szCs w:val="20"/>
        </w:rPr>
        <w:t xml:space="preserve">are </w:t>
      </w:r>
      <w:r w:rsidRPr="00CF57CB">
        <w:rPr>
          <w:rFonts w:cs="Arial"/>
          <w:sz w:val="20"/>
          <w:szCs w:val="20"/>
        </w:rPr>
        <w:t xml:space="preserve">omitted from savings claims for comparative usage programs to avoid double-counting. Since savings claims for comparative usage programs </w:t>
      </w:r>
      <w:r w:rsidR="00AC1B60">
        <w:rPr>
          <w:rFonts w:cs="Arial"/>
          <w:sz w:val="20"/>
          <w:szCs w:val="20"/>
        </w:rPr>
        <w:t>do</w:t>
      </w:r>
      <w:r w:rsidR="00AC1B60" w:rsidRPr="004B3F31">
        <w:rPr>
          <w:rFonts w:cs="Arial"/>
          <w:sz w:val="20"/>
          <w:szCs w:val="20"/>
        </w:rPr>
        <w:t xml:space="preserve"> </w:t>
      </w:r>
      <w:r w:rsidRPr="004B3F31">
        <w:rPr>
          <w:rFonts w:cs="Arial"/>
          <w:sz w:val="20"/>
          <w:szCs w:val="20"/>
        </w:rPr>
        <w:t xml:space="preserve">not include energy savings </w:t>
      </w:r>
      <w:r w:rsidR="00D914B0" w:rsidRPr="004B3F31">
        <w:rPr>
          <w:rFonts w:cs="Arial"/>
          <w:sz w:val="20"/>
          <w:szCs w:val="20"/>
        </w:rPr>
        <w:t xml:space="preserve">and peak demand reduction </w:t>
      </w:r>
      <w:r w:rsidRPr="004B3F31">
        <w:rPr>
          <w:rFonts w:cs="Arial"/>
          <w:sz w:val="20"/>
          <w:szCs w:val="20"/>
        </w:rPr>
        <w:t>attributable to these types of purchases</w:t>
      </w:r>
      <w:r w:rsidR="0010761F" w:rsidRPr="004B3F31">
        <w:rPr>
          <w:rFonts w:cs="Arial"/>
          <w:sz w:val="20"/>
          <w:szCs w:val="20"/>
        </w:rPr>
        <w:t>,</w:t>
      </w:r>
      <w:r w:rsidRPr="004B3F31">
        <w:rPr>
          <w:rFonts w:cs="Arial"/>
          <w:sz w:val="20"/>
          <w:szCs w:val="20"/>
        </w:rPr>
        <w:t xml:space="preserve"> IMCs and negative Therm effects </w:t>
      </w:r>
      <w:r w:rsidR="00075D84" w:rsidRPr="004B3F31">
        <w:rPr>
          <w:rFonts w:cs="Arial"/>
          <w:sz w:val="20"/>
          <w:szCs w:val="20"/>
        </w:rPr>
        <w:t>are</w:t>
      </w:r>
      <w:r w:rsidRPr="004B3F31">
        <w:rPr>
          <w:rFonts w:cs="Arial"/>
          <w:sz w:val="20"/>
          <w:szCs w:val="20"/>
        </w:rPr>
        <w:t xml:space="preserve"> reported through the savings claims for those equipment purchases</w:t>
      </w:r>
      <w:r w:rsidR="00BC48EC" w:rsidRPr="004B3F31">
        <w:rPr>
          <w:rStyle w:val="EndnoteReference"/>
          <w:rFonts w:cs="Arial"/>
          <w:sz w:val="20"/>
          <w:szCs w:val="20"/>
        </w:rPr>
        <w:endnoteReference w:id="10"/>
      </w:r>
      <w:r w:rsidRPr="004B3F31">
        <w:rPr>
          <w:rFonts w:cs="Arial"/>
          <w:sz w:val="20"/>
          <w:szCs w:val="20"/>
        </w:rPr>
        <w:t>.</w:t>
      </w:r>
    </w:p>
    <w:p w:rsidR="0030154F" w:rsidRPr="00FC7D3F" w:rsidRDefault="0030154F" w:rsidP="0030154F">
      <w:pPr>
        <w:ind w:left="360"/>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2"/>
        <w:gridCol w:w="939"/>
        <w:gridCol w:w="1401"/>
        <w:gridCol w:w="1620"/>
        <w:gridCol w:w="1260"/>
        <w:gridCol w:w="1980"/>
      </w:tblGrid>
      <w:tr w:rsidR="006560BD" w:rsidRPr="00783DAC" w:rsidTr="00646075">
        <w:tc>
          <w:tcPr>
            <w:tcW w:w="1016" w:type="dxa"/>
            <w:shd w:val="clear" w:color="auto" w:fill="auto"/>
          </w:tcPr>
          <w:p w:rsidR="006560BD" w:rsidRPr="00783DAC" w:rsidRDefault="006560BD" w:rsidP="00CC1129">
            <w:pPr>
              <w:keepNext/>
              <w:rPr>
                <w:rFonts w:cs="Arial"/>
                <w:b/>
                <w:sz w:val="20"/>
                <w:szCs w:val="20"/>
              </w:rPr>
            </w:pPr>
          </w:p>
        </w:tc>
        <w:tc>
          <w:tcPr>
            <w:tcW w:w="1072" w:type="dxa"/>
            <w:shd w:val="clear" w:color="auto" w:fill="auto"/>
          </w:tcPr>
          <w:p w:rsidR="006560BD" w:rsidRPr="00783DAC" w:rsidRDefault="006560BD" w:rsidP="00CC1129">
            <w:pPr>
              <w:keepNext/>
              <w:rPr>
                <w:rFonts w:cs="Arial"/>
                <w:b/>
                <w:sz w:val="20"/>
                <w:szCs w:val="20"/>
              </w:rPr>
            </w:pPr>
          </w:p>
        </w:tc>
        <w:tc>
          <w:tcPr>
            <w:tcW w:w="939" w:type="dxa"/>
            <w:shd w:val="clear" w:color="auto" w:fill="auto"/>
          </w:tcPr>
          <w:p w:rsidR="006560BD" w:rsidRPr="00783DAC" w:rsidRDefault="006560BD" w:rsidP="00CC1129">
            <w:pPr>
              <w:keepNext/>
              <w:rPr>
                <w:rFonts w:cs="Arial"/>
                <w:b/>
                <w:sz w:val="20"/>
                <w:szCs w:val="20"/>
              </w:rPr>
            </w:pPr>
          </w:p>
        </w:tc>
        <w:tc>
          <w:tcPr>
            <w:tcW w:w="4281" w:type="dxa"/>
            <w:gridSpan w:val="3"/>
            <w:shd w:val="clear" w:color="auto" w:fill="auto"/>
          </w:tcPr>
          <w:p w:rsidR="006560BD" w:rsidRPr="00783DAC" w:rsidRDefault="006560BD" w:rsidP="00CC1129">
            <w:pPr>
              <w:keepNext/>
              <w:jc w:val="center"/>
              <w:rPr>
                <w:rFonts w:cs="Arial"/>
                <w:b/>
                <w:sz w:val="20"/>
                <w:szCs w:val="20"/>
              </w:rPr>
            </w:pPr>
            <w:r w:rsidRPr="00783DAC">
              <w:rPr>
                <w:rFonts w:cs="Arial"/>
                <w:b/>
                <w:sz w:val="20"/>
                <w:szCs w:val="20"/>
              </w:rPr>
              <w:t>Costs ($)</w:t>
            </w:r>
          </w:p>
        </w:tc>
        <w:tc>
          <w:tcPr>
            <w:tcW w:w="1980" w:type="dxa"/>
            <w:shd w:val="clear" w:color="auto" w:fill="auto"/>
          </w:tcPr>
          <w:p w:rsidR="006560BD" w:rsidRPr="00783DAC" w:rsidRDefault="006560BD" w:rsidP="00CC1129">
            <w:pPr>
              <w:keepNext/>
              <w:rPr>
                <w:rFonts w:cs="Arial"/>
                <w:b/>
                <w:sz w:val="20"/>
                <w:szCs w:val="20"/>
              </w:rPr>
            </w:pPr>
          </w:p>
        </w:tc>
      </w:tr>
      <w:tr w:rsidR="006560BD" w:rsidRPr="00783DAC" w:rsidTr="00646075">
        <w:tc>
          <w:tcPr>
            <w:tcW w:w="1016" w:type="dxa"/>
            <w:shd w:val="clear" w:color="auto" w:fill="auto"/>
          </w:tcPr>
          <w:p w:rsidR="006560BD" w:rsidRPr="00783DAC" w:rsidRDefault="006560BD" w:rsidP="00CC1129">
            <w:pPr>
              <w:keepNext/>
              <w:rPr>
                <w:rFonts w:cs="Arial"/>
                <w:b/>
                <w:sz w:val="20"/>
                <w:szCs w:val="20"/>
              </w:rPr>
            </w:pPr>
            <w:r w:rsidRPr="00783DAC">
              <w:rPr>
                <w:rFonts w:cs="Arial"/>
                <w:b/>
                <w:sz w:val="20"/>
                <w:szCs w:val="20"/>
              </w:rPr>
              <w:t>Building type</w:t>
            </w:r>
            <w:r>
              <w:rPr>
                <w:rFonts w:cs="Arial"/>
                <w:b/>
                <w:sz w:val="20"/>
                <w:szCs w:val="20"/>
              </w:rPr>
              <w:t xml:space="preserve"> </w:t>
            </w:r>
          </w:p>
        </w:tc>
        <w:tc>
          <w:tcPr>
            <w:tcW w:w="1072" w:type="dxa"/>
            <w:shd w:val="clear" w:color="auto" w:fill="auto"/>
          </w:tcPr>
          <w:p w:rsidR="006560BD" w:rsidRPr="00783DAC" w:rsidRDefault="006560BD" w:rsidP="00CC1129">
            <w:pPr>
              <w:keepNext/>
              <w:rPr>
                <w:rFonts w:cs="Arial"/>
                <w:b/>
                <w:sz w:val="20"/>
                <w:szCs w:val="20"/>
              </w:rPr>
            </w:pPr>
            <w:r w:rsidRPr="00783DAC">
              <w:rPr>
                <w:rFonts w:cs="Arial"/>
                <w:b/>
                <w:sz w:val="20"/>
                <w:szCs w:val="20"/>
              </w:rPr>
              <w:t>Bldg Vintage</w:t>
            </w:r>
            <w:r>
              <w:rPr>
                <w:rFonts w:cs="Arial"/>
                <w:b/>
                <w:sz w:val="20"/>
                <w:szCs w:val="20"/>
              </w:rPr>
              <w:t xml:space="preserve"> </w:t>
            </w:r>
          </w:p>
        </w:tc>
        <w:tc>
          <w:tcPr>
            <w:tcW w:w="939" w:type="dxa"/>
            <w:shd w:val="clear" w:color="auto" w:fill="auto"/>
          </w:tcPr>
          <w:p w:rsidR="006560BD" w:rsidRPr="00783DAC" w:rsidRDefault="006560BD" w:rsidP="00CC1129">
            <w:pPr>
              <w:keepNext/>
              <w:rPr>
                <w:rFonts w:cs="Arial"/>
                <w:b/>
                <w:sz w:val="20"/>
                <w:szCs w:val="20"/>
              </w:rPr>
            </w:pPr>
            <w:r w:rsidRPr="00783DAC">
              <w:rPr>
                <w:rFonts w:cs="Arial"/>
                <w:b/>
                <w:sz w:val="20"/>
                <w:szCs w:val="20"/>
              </w:rPr>
              <w:t>Climate Zone</w:t>
            </w:r>
            <w:r>
              <w:rPr>
                <w:rFonts w:cs="Arial"/>
                <w:b/>
                <w:sz w:val="20"/>
                <w:szCs w:val="20"/>
              </w:rPr>
              <w:t xml:space="preserve"> </w:t>
            </w:r>
          </w:p>
        </w:tc>
        <w:tc>
          <w:tcPr>
            <w:tcW w:w="1401" w:type="dxa"/>
            <w:shd w:val="clear" w:color="auto" w:fill="auto"/>
          </w:tcPr>
          <w:p w:rsidR="006560BD" w:rsidRPr="00783DAC" w:rsidRDefault="006560BD" w:rsidP="00CC1129">
            <w:pPr>
              <w:keepNext/>
              <w:rPr>
                <w:rFonts w:cs="Arial"/>
                <w:b/>
                <w:sz w:val="20"/>
                <w:szCs w:val="20"/>
              </w:rPr>
            </w:pPr>
            <w:r w:rsidRPr="00783DAC">
              <w:rPr>
                <w:rFonts w:cs="Arial"/>
                <w:b/>
                <w:sz w:val="20"/>
                <w:szCs w:val="20"/>
              </w:rPr>
              <w:t>Base Case</w:t>
            </w:r>
          </w:p>
        </w:tc>
        <w:tc>
          <w:tcPr>
            <w:tcW w:w="1620" w:type="dxa"/>
            <w:shd w:val="clear" w:color="auto" w:fill="auto"/>
          </w:tcPr>
          <w:p w:rsidR="006560BD" w:rsidRPr="00783DAC" w:rsidRDefault="006560BD" w:rsidP="00CC1129">
            <w:pPr>
              <w:keepNext/>
              <w:rPr>
                <w:rFonts w:cs="Arial"/>
                <w:b/>
                <w:sz w:val="20"/>
                <w:szCs w:val="20"/>
              </w:rPr>
            </w:pPr>
            <w:r w:rsidRPr="00783DAC">
              <w:rPr>
                <w:rFonts w:cs="Arial"/>
                <w:b/>
                <w:sz w:val="20"/>
                <w:szCs w:val="20"/>
              </w:rPr>
              <w:t>Measure Case</w:t>
            </w:r>
          </w:p>
        </w:tc>
        <w:tc>
          <w:tcPr>
            <w:tcW w:w="1260" w:type="dxa"/>
            <w:shd w:val="clear" w:color="auto" w:fill="auto"/>
          </w:tcPr>
          <w:p w:rsidR="006560BD" w:rsidRPr="00783DAC" w:rsidRDefault="006560BD" w:rsidP="00CC1129">
            <w:pPr>
              <w:keepNext/>
              <w:rPr>
                <w:rFonts w:cs="Arial"/>
                <w:b/>
                <w:sz w:val="20"/>
                <w:szCs w:val="20"/>
              </w:rPr>
            </w:pPr>
            <w:r w:rsidRPr="00783DAC">
              <w:rPr>
                <w:rFonts w:cs="Arial"/>
                <w:b/>
                <w:sz w:val="20"/>
                <w:szCs w:val="20"/>
              </w:rPr>
              <w:t xml:space="preserve">IMC </w:t>
            </w:r>
          </w:p>
        </w:tc>
        <w:tc>
          <w:tcPr>
            <w:tcW w:w="1980" w:type="dxa"/>
            <w:shd w:val="clear" w:color="auto" w:fill="auto"/>
          </w:tcPr>
          <w:p w:rsidR="006560BD" w:rsidRPr="00783DAC" w:rsidRDefault="006560BD" w:rsidP="00CC1129">
            <w:pPr>
              <w:keepNext/>
              <w:rPr>
                <w:rFonts w:cs="Arial"/>
                <w:b/>
                <w:sz w:val="20"/>
                <w:szCs w:val="20"/>
              </w:rPr>
            </w:pPr>
            <w:r w:rsidRPr="00783DAC">
              <w:rPr>
                <w:rFonts w:cs="Arial"/>
                <w:b/>
                <w:sz w:val="20"/>
                <w:szCs w:val="20"/>
              </w:rPr>
              <w:t>Specific study reference</w:t>
            </w:r>
          </w:p>
        </w:tc>
      </w:tr>
      <w:tr w:rsidR="006560BD" w:rsidRPr="00783DAC" w:rsidTr="00646075">
        <w:tc>
          <w:tcPr>
            <w:tcW w:w="1016" w:type="dxa"/>
            <w:shd w:val="clear" w:color="auto" w:fill="auto"/>
          </w:tcPr>
          <w:p w:rsidR="006560BD" w:rsidRPr="00783DAC" w:rsidRDefault="0030154F" w:rsidP="00CC1129">
            <w:pPr>
              <w:keepNext/>
              <w:rPr>
                <w:rFonts w:cs="Arial"/>
                <w:b/>
                <w:sz w:val="20"/>
                <w:szCs w:val="20"/>
              </w:rPr>
            </w:pPr>
            <w:r>
              <w:rPr>
                <w:rFonts w:cs="Arial"/>
                <w:b/>
                <w:sz w:val="20"/>
                <w:szCs w:val="20"/>
              </w:rPr>
              <w:t>RES</w:t>
            </w:r>
          </w:p>
        </w:tc>
        <w:tc>
          <w:tcPr>
            <w:tcW w:w="1072" w:type="dxa"/>
            <w:shd w:val="clear" w:color="auto" w:fill="auto"/>
          </w:tcPr>
          <w:p w:rsidR="006560BD" w:rsidRPr="00783DAC" w:rsidRDefault="0030154F" w:rsidP="00CC1129">
            <w:pPr>
              <w:keepNext/>
              <w:rPr>
                <w:rFonts w:cs="Arial"/>
                <w:b/>
                <w:sz w:val="20"/>
                <w:szCs w:val="20"/>
              </w:rPr>
            </w:pPr>
            <w:r>
              <w:rPr>
                <w:rFonts w:cs="Arial"/>
                <w:b/>
                <w:sz w:val="20"/>
                <w:szCs w:val="20"/>
              </w:rPr>
              <w:t>ALL</w:t>
            </w:r>
          </w:p>
        </w:tc>
        <w:tc>
          <w:tcPr>
            <w:tcW w:w="939" w:type="dxa"/>
            <w:shd w:val="clear" w:color="auto" w:fill="auto"/>
          </w:tcPr>
          <w:p w:rsidR="006560BD" w:rsidRPr="00783DAC" w:rsidRDefault="0030154F" w:rsidP="00CC1129">
            <w:pPr>
              <w:keepNext/>
              <w:rPr>
                <w:rFonts w:cs="Arial"/>
                <w:b/>
                <w:sz w:val="20"/>
                <w:szCs w:val="20"/>
              </w:rPr>
            </w:pPr>
            <w:r>
              <w:rPr>
                <w:rFonts w:cs="Arial"/>
                <w:b/>
                <w:sz w:val="20"/>
                <w:szCs w:val="20"/>
              </w:rPr>
              <w:t>ALL</w:t>
            </w:r>
          </w:p>
        </w:tc>
        <w:tc>
          <w:tcPr>
            <w:tcW w:w="1401" w:type="dxa"/>
            <w:shd w:val="clear" w:color="auto" w:fill="auto"/>
          </w:tcPr>
          <w:p w:rsidR="006560BD" w:rsidRPr="003E16E4" w:rsidRDefault="0030154F" w:rsidP="00CC1129">
            <w:pPr>
              <w:keepNext/>
              <w:spacing w:before="40" w:after="40"/>
              <w:rPr>
                <w:rFonts w:cs="Arial"/>
                <w:b/>
                <w:sz w:val="20"/>
                <w:szCs w:val="20"/>
              </w:rPr>
            </w:pPr>
            <w:r w:rsidRPr="003E16E4">
              <w:rPr>
                <w:rFonts w:cs="Arial"/>
                <w:b/>
                <w:sz w:val="20"/>
                <w:szCs w:val="20"/>
              </w:rPr>
              <w:t>0</w:t>
            </w:r>
          </w:p>
        </w:tc>
        <w:tc>
          <w:tcPr>
            <w:tcW w:w="1620" w:type="dxa"/>
            <w:shd w:val="clear" w:color="auto" w:fill="auto"/>
          </w:tcPr>
          <w:p w:rsidR="006560BD" w:rsidRPr="003E16E4" w:rsidRDefault="0030154F" w:rsidP="00CC1129">
            <w:pPr>
              <w:keepNext/>
              <w:spacing w:before="40" w:after="40"/>
              <w:rPr>
                <w:rFonts w:cs="Arial"/>
                <w:b/>
                <w:sz w:val="20"/>
                <w:szCs w:val="20"/>
              </w:rPr>
            </w:pPr>
            <w:r w:rsidRPr="003E16E4">
              <w:rPr>
                <w:rFonts w:cs="Arial"/>
                <w:b/>
                <w:sz w:val="20"/>
                <w:szCs w:val="20"/>
              </w:rPr>
              <w:t>0</w:t>
            </w:r>
          </w:p>
        </w:tc>
        <w:tc>
          <w:tcPr>
            <w:tcW w:w="1260" w:type="dxa"/>
            <w:shd w:val="clear" w:color="auto" w:fill="auto"/>
          </w:tcPr>
          <w:p w:rsidR="006560BD" w:rsidRPr="003E16E4" w:rsidRDefault="0030154F" w:rsidP="00CC1129">
            <w:pPr>
              <w:keepNext/>
              <w:spacing w:before="40" w:after="40"/>
              <w:rPr>
                <w:rFonts w:cs="Arial"/>
                <w:b/>
                <w:sz w:val="20"/>
                <w:szCs w:val="20"/>
              </w:rPr>
            </w:pPr>
            <w:r w:rsidRPr="003E16E4">
              <w:rPr>
                <w:rFonts w:cs="Arial"/>
                <w:b/>
                <w:sz w:val="20"/>
                <w:szCs w:val="20"/>
              </w:rPr>
              <w:t>0</w:t>
            </w:r>
          </w:p>
        </w:tc>
        <w:tc>
          <w:tcPr>
            <w:tcW w:w="1980" w:type="dxa"/>
            <w:shd w:val="clear" w:color="auto" w:fill="auto"/>
          </w:tcPr>
          <w:p w:rsidR="006560BD" w:rsidRPr="00783DAC" w:rsidRDefault="0030154F" w:rsidP="00CC1129">
            <w:pPr>
              <w:keepNext/>
              <w:rPr>
                <w:rFonts w:cs="Arial"/>
                <w:b/>
                <w:sz w:val="20"/>
                <w:szCs w:val="20"/>
              </w:rPr>
            </w:pPr>
            <w:r>
              <w:rPr>
                <w:rFonts w:cs="Arial"/>
                <w:b/>
                <w:sz w:val="20"/>
                <w:szCs w:val="20"/>
              </w:rPr>
              <w:t>See Study.</w:t>
            </w:r>
          </w:p>
        </w:tc>
      </w:tr>
    </w:tbl>
    <w:p w:rsidR="006560BD" w:rsidRPr="00432C65" w:rsidRDefault="006560BD" w:rsidP="006560BD">
      <w:pPr>
        <w:rPr>
          <w:rFonts w:cs="Arial"/>
          <w:sz w:val="20"/>
          <w:szCs w:val="20"/>
        </w:rPr>
      </w:pPr>
    </w:p>
    <w:p w:rsidR="006560BD" w:rsidRDefault="006560BD" w:rsidP="006560BD">
      <w:pPr>
        <w:rPr>
          <w:rFonts w:cs="Arial"/>
          <w:i/>
          <w:sz w:val="20"/>
          <w:szCs w:val="20"/>
        </w:rPr>
      </w:pPr>
      <w:r w:rsidRPr="00432C65">
        <w:rPr>
          <w:rFonts w:cs="Arial"/>
          <w:b/>
          <w:sz w:val="20"/>
          <w:szCs w:val="20"/>
        </w:rPr>
        <w:t>Effective Useful Life:</w:t>
      </w:r>
      <w:r>
        <w:rPr>
          <w:rFonts w:cs="Arial"/>
          <w:sz w:val="20"/>
          <w:szCs w:val="20"/>
        </w:rPr>
        <w:t xml:space="preserve"> </w:t>
      </w:r>
    </w:p>
    <w:p w:rsidR="006560BD" w:rsidRPr="003B62F8" w:rsidRDefault="006560BD" w:rsidP="00EB2D3B">
      <w:pPr>
        <w:numPr>
          <w:ilvl w:val="0"/>
          <w:numId w:val="18"/>
        </w:numPr>
        <w:rPr>
          <w:rFonts w:cs="Arial"/>
          <w:sz w:val="20"/>
          <w:szCs w:val="20"/>
        </w:rPr>
      </w:pPr>
      <w:r w:rsidRPr="00425AF2">
        <w:rPr>
          <w:rFonts w:cs="Arial"/>
          <w:sz w:val="20"/>
          <w:szCs w:val="20"/>
        </w:rPr>
        <w:t>The Effective Useful Life</w:t>
      </w:r>
      <w:r w:rsidR="008B0EAD">
        <w:rPr>
          <w:rFonts w:cs="Arial"/>
          <w:sz w:val="20"/>
          <w:szCs w:val="20"/>
        </w:rPr>
        <w:t xml:space="preserve"> (EUL)</w:t>
      </w:r>
      <w:r w:rsidRPr="00425AF2">
        <w:rPr>
          <w:rFonts w:cs="Arial"/>
          <w:sz w:val="20"/>
          <w:szCs w:val="20"/>
        </w:rPr>
        <w:t xml:space="preserve"> estimates were downloaded from </w:t>
      </w:r>
      <w:r w:rsidR="00EB2D3B" w:rsidRPr="003B62F8">
        <w:rPr>
          <w:rFonts w:cs="Arial"/>
          <w:sz w:val="20"/>
          <w:szCs w:val="20"/>
        </w:rPr>
        <w:t>the “</w:t>
      </w:r>
      <w:r w:rsidR="00EB2D3B" w:rsidRPr="009F76C6">
        <w:rPr>
          <w:rFonts w:cs="Arial"/>
          <w:i/>
          <w:sz w:val="20"/>
          <w:szCs w:val="20"/>
        </w:rPr>
        <w:t>IOU Proposal for Reporting Energy Savings for Comparative Usage Energy Efficiency Programs</w:t>
      </w:r>
      <w:r w:rsidR="00EB2D3B" w:rsidRPr="009D5D8A">
        <w:rPr>
          <w:rFonts w:cs="Arial"/>
          <w:sz w:val="20"/>
          <w:szCs w:val="20"/>
        </w:rPr>
        <w:t>”</w:t>
      </w:r>
      <w:r w:rsidRPr="00425AF2">
        <w:rPr>
          <w:rFonts w:cs="Arial"/>
          <w:sz w:val="20"/>
          <w:szCs w:val="20"/>
        </w:rPr>
        <w:t xml:space="preserve"> </w:t>
      </w:r>
      <w:r w:rsidR="00A721E7">
        <w:rPr>
          <w:rFonts w:cs="Arial"/>
          <w:sz w:val="20"/>
          <w:szCs w:val="20"/>
        </w:rPr>
        <w:t>s</w:t>
      </w:r>
      <w:r w:rsidRPr="00425AF2">
        <w:rPr>
          <w:rFonts w:cs="Arial"/>
          <w:sz w:val="20"/>
          <w:szCs w:val="20"/>
        </w:rPr>
        <w:t>tudy dire</w:t>
      </w:r>
      <w:r w:rsidRPr="003B62F8">
        <w:rPr>
          <w:rFonts w:cs="Arial"/>
          <w:sz w:val="20"/>
          <w:szCs w:val="20"/>
        </w:rPr>
        <w:t>ctly</w:t>
      </w:r>
      <w:r w:rsidR="009D5D8A">
        <w:rPr>
          <w:rFonts w:cs="Arial"/>
          <w:sz w:val="20"/>
          <w:szCs w:val="20"/>
        </w:rPr>
        <w:t>;</w:t>
      </w:r>
      <w:r w:rsidR="009D5D8A" w:rsidRPr="003B62F8">
        <w:rPr>
          <w:rFonts w:cs="Arial"/>
          <w:sz w:val="20"/>
          <w:szCs w:val="20"/>
        </w:rPr>
        <w:t xml:space="preserve"> </w:t>
      </w:r>
      <w:r w:rsidRPr="003B62F8">
        <w:rPr>
          <w:rFonts w:cs="Arial"/>
          <w:sz w:val="20"/>
          <w:szCs w:val="20"/>
        </w:rPr>
        <w:t>they match the intended measures for climate zones and building types and vintages.</w:t>
      </w:r>
    </w:p>
    <w:p w:rsidR="006560BD" w:rsidRPr="00FC7D3F" w:rsidRDefault="00322EC9" w:rsidP="00322EC9">
      <w:pPr>
        <w:rPr>
          <w:sz w:val="20"/>
          <w:szCs w:val="20"/>
        </w:rPr>
      </w:pPr>
      <w:r w:rsidRPr="00FC7D3F">
        <w:rPr>
          <w:sz w:val="20"/>
          <w:szCs w:val="20"/>
        </w:rPr>
        <w:t>EUL is the estimate of the median number of years that the</w:t>
      </w:r>
      <w:r w:rsidR="00EB2D3B" w:rsidRPr="00FC7D3F">
        <w:rPr>
          <w:sz w:val="20"/>
          <w:szCs w:val="20"/>
        </w:rPr>
        <w:t xml:space="preserve"> </w:t>
      </w:r>
      <w:r w:rsidRPr="00FC7D3F">
        <w:rPr>
          <w:sz w:val="20"/>
          <w:szCs w:val="20"/>
        </w:rPr>
        <w:t>measures installed under an energy efficiency program are still in place and operable</w:t>
      </w:r>
      <w:r w:rsidR="00EB2D3B" w:rsidRPr="00FC7D3F">
        <w:rPr>
          <w:sz w:val="20"/>
          <w:szCs w:val="20"/>
        </w:rPr>
        <w:t xml:space="preserve"> </w:t>
      </w:r>
      <w:r w:rsidRPr="00FC7D3F">
        <w:rPr>
          <w:sz w:val="20"/>
          <w:szCs w:val="20"/>
        </w:rPr>
        <w:t>(retained). The inten</w:t>
      </w:r>
      <w:r w:rsidRPr="007A4237">
        <w:rPr>
          <w:sz w:val="20"/>
          <w:szCs w:val="20"/>
        </w:rPr>
        <w:t>t of comparative usage programs is to affect behavioral change, and</w:t>
      </w:r>
      <w:r w:rsidR="00EB2D3B" w:rsidRPr="007A4237">
        <w:rPr>
          <w:sz w:val="20"/>
          <w:szCs w:val="20"/>
        </w:rPr>
        <w:t xml:space="preserve"> </w:t>
      </w:r>
      <w:r w:rsidRPr="007A4237">
        <w:rPr>
          <w:sz w:val="20"/>
          <w:szCs w:val="20"/>
        </w:rPr>
        <w:t xml:space="preserve">studies in multiple jurisdictions </w:t>
      </w:r>
      <w:r w:rsidR="002F532A">
        <w:rPr>
          <w:sz w:val="20"/>
          <w:szCs w:val="20"/>
        </w:rPr>
        <w:t>have confirmed</w:t>
      </w:r>
      <w:r w:rsidR="002F532A" w:rsidRPr="007A4237">
        <w:rPr>
          <w:sz w:val="20"/>
          <w:szCs w:val="20"/>
        </w:rPr>
        <w:t xml:space="preserve"> </w:t>
      </w:r>
      <w:r w:rsidRPr="007A4237">
        <w:rPr>
          <w:sz w:val="20"/>
          <w:szCs w:val="20"/>
        </w:rPr>
        <w:t>that savings</w:t>
      </w:r>
      <w:r w:rsidRPr="00FC7D3F">
        <w:rPr>
          <w:sz w:val="20"/>
          <w:szCs w:val="20"/>
        </w:rPr>
        <w:t xml:space="preserve"> continues for as long as</w:t>
      </w:r>
      <w:r w:rsidR="00EB2D3B" w:rsidRPr="00FC7D3F">
        <w:rPr>
          <w:sz w:val="20"/>
          <w:szCs w:val="20"/>
        </w:rPr>
        <w:t xml:space="preserve"> </w:t>
      </w:r>
      <w:r w:rsidRPr="00FC7D3F">
        <w:rPr>
          <w:sz w:val="20"/>
          <w:szCs w:val="20"/>
        </w:rPr>
        <w:t>comparative usage reports are provided to households</w:t>
      </w:r>
      <w:r w:rsidR="008B0EAD">
        <w:rPr>
          <w:sz w:val="20"/>
          <w:szCs w:val="20"/>
        </w:rPr>
        <w:t>. This is the so-called ‘</w:t>
      </w:r>
      <w:r w:rsidR="00A721E7">
        <w:rPr>
          <w:sz w:val="20"/>
          <w:szCs w:val="20"/>
        </w:rPr>
        <w:t>savings durability</w:t>
      </w:r>
      <w:r w:rsidR="008B0EAD">
        <w:rPr>
          <w:sz w:val="20"/>
          <w:szCs w:val="20"/>
        </w:rPr>
        <w:t>’</w:t>
      </w:r>
      <w:r w:rsidRPr="00FC7D3F">
        <w:rPr>
          <w:sz w:val="20"/>
          <w:szCs w:val="20"/>
        </w:rPr>
        <w:t xml:space="preserve">. </w:t>
      </w:r>
      <w:r w:rsidR="0010761F" w:rsidRPr="007A4237">
        <w:rPr>
          <w:sz w:val="20"/>
          <w:szCs w:val="20"/>
        </w:rPr>
        <w:t xml:space="preserve">Some recent studies indicate that there are residual effects from these programs that continue after cessation of report </w:t>
      </w:r>
      <w:r w:rsidR="00AA5E66" w:rsidRPr="007A4237">
        <w:rPr>
          <w:sz w:val="20"/>
          <w:szCs w:val="20"/>
        </w:rPr>
        <w:t>deliveries</w:t>
      </w:r>
      <w:r w:rsidR="0010761F" w:rsidRPr="007A4237">
        <w:rPr>
          <w:sz w:val="20"/>
          <w:szCs w:val="20"/>
        </w:rPr>
        <w:t xml:space="preserve">. </w:t>
      </w:r>
      <w:r w:rsidRPr="007A4237">
        <w:rPr>
          <w:sz w:val="20"/>
          <w:szCs w:val="20"/>
        </w:rPr>
        <w:t>PG&amp;E claim</w:t>
      </w:r>
      <w:r w:rsidR="00482ABC">
        <w:rPr>
          <w:sz w:val="20"/>
          <w:szCs w:val="20"/>
        </w:rPr>
        <w:t>s</w:t>
      </w:r>
      <w:r w:rsidRPr="007A4237">
        <w:rPr>
          <w:sz w:val="20"/>
          <w:szCs w:val="20"/>
        </w:rPr>
        <w:t xml:space="preserve"> savings </w:t>
      </w:r>
      <w:r w:rsidRPr="00D94AC8">
        <w:rPr>
          <w:sz w:val="20"/>
          <w:szCs w:val="20"/>
        </w:rPr>
        <w:t>for</w:t>
      </w:r>
      <w:r w:rsidR="00EB2D3B" w:rsidRPr="002F532A">
        <w:rPr>
          <w:sz w:val="20"/>
          <w:szCs w:val="20"/>
        </w:rPr>
        <w:t xml:space="preserve"> </w:t>
      </w:r>
      <w:r w:rsidRPr="002F532A">
        <w:rPr>
          <w:sz w:val="20"/>
          <w:szCs w:val="20"/>
        </w:rPr>
        <w:t xml:space="preserve">the duration that the reports are </w:t>
      </w:r>
      <w:r w:rsidR="008C1E67" w:rsidRPr="002F532A">
        <w:rPr>
          <w:sz w:val="20"/>
          <w:szCs w:val="20"/>
        </w:rPr>
        <w:t>sent</w:t>
      </w:r>
      <w:r w:rsidRPr="002F532A">
        <w:rPr>
          <w:sz w:val="20"/>
          <w:szCs w:val="20"/>
        </w:rPr>
        <w:t xml:space="preserve">. PG&amp;E </w:t>
      </w:r>
      <w:r w:rsidR="008C1E67" w:rsidRPr="002F532A">
        <w:rPr>
          <w:sz w:val="20"/>
          <w:szCs w:val="20"/>
        </w:rPr>
        <w:t xml:space="preserve">is </w:t>
      </w:r>
      <w:r w:rsidRPr="002F532A">
        <w:rPr>
          <w:sz w:val="20"/>
          <w:szCs w:val="20"/>
        </w:rPr>
        <w:t>undertak</w:t>
      </w:r>
      <w:r w:rsidR="008C1E67" w:rsidRPr="002F532A">
        <w:rPr>
          <w:sz w:val="20"/>
          <w:szCs w:val="20"/>
        </w:rPr>
        <w:t>ing</w:t>
      </w:r>
      <w:r w:rsidRPr="00482ABC">
        <w:rPr>
          <w:sz w:val="20"/>
          <w:szCs w:val="20"/>
        </w:rPr>
        <w:t xml:space="preserve"> studies to understand </w:t>
      </w:r>
      <w:r w:rsidR="00FB21DF">
        <w:rPr>
          <w:sz w:val="20"/>
          <w:szCs w:val="20"/>
        </w:rPr>
        <w:t xml:space="preserve">how </w:t>
      </w:r>
      <w:r w:rsidRPr="008E2C73">
        <w:rPr>
          <w:sz w:val="20"/>
          <w:szCs w:val="20"/>
        </w:rPr>
        <w:t>the treatment effect</w:t>
      </w:r>
      <w:r w:rsidR="00120191" w:rsidRPr="008E2C73">
        <w:rPr>
          <w:sz w:val="20"/>
          <w:szCs w:val="20"/>
        </w:rPr>
        <w:t xml:space="preserve"> </w:t>
      </w:r>
      <w:r w:rsidR="00FB21DF">
        <w:rPr>
          <w:sz w:val="20"/>
          <w:szCs w:val="20"/>
        </w:rPr>
        <w:t xml:space="preserve">decays over time </w:t>
      </w:r>
      <w:r w:rsidR="00120191" w:rsidRPr="008E2C73">
        <w:rPr>
          <w:sz w:val="20"/>
          <w:szCs w:val="20"/>
        </w:rPr>
        <w:t>should a particular program or measure be terminated</w:t>
      </w:r>
      <w:r w:rsidRPr="00FC7D3F">
        <w:rPr>
          <w:rStyle w:val="EndnoteReference"/>
          <w:b/>
          <w:sz w:val="24"/>
        </w:rPr>
        <w:endnoteReference w:id="11"/>
      </w:r>
      <w:r w:rsidRPr="00FC7D3F">
        <w:rPr>
          <w:sz w:val="20"/>
          <w:szCs w:val="20"/>
        </w:rPr>
        <w:t>.</w:t>
      </w:r>
      <w:r w:rsidR="00C52701" w:rsidRPr="00FC7D3F">
        <w:rPr>
          <w:sz w:val="20"/>
          <w:szCs w:val="20"/>
        </w:rPr>
        <w:t xml:space="preserve"> </w:t>
      </w:r>
    </w:p>
    <w:p w:rsidR="00DE3023" w:rsidRPr="00FC7D3F" w:rsidRDefault="00DE3023" w:rsidP="00322EC9">
      <w:pPr>
        <w:rPr>
          <w:sz w:val="20"/>
          <w:szCs w:val="20"/>
        </w:rPr>
      </w:pPr>
    </w:p>
    <w:p w:rsidR="00EB2D3B" w:rsidRDefault="00EB2D3B" w:rsidP="00322EC9">
      <w:pPr>
        <w:rPr>
          <w:sz w:val="20"/>
          <w:szCs w:val="20"/>
        </w:rPr>
      </w:pPr>
      <w:r w:rsidRPr="00137AC7">
        <w:rPr>
          <w:sz w:val="20"/>
          <w:szCs w:val="20"/>
        </w:rPr>
        <w:t xml:space="preserve">The EUL </w:t>
      </w:r>
      <w:r w:rsidR="008C1E67">
        <w:rPr>
          <w:sz w:val="20"/>
          <w:szCs w:val="20"/>
        </w:rPr>
        <w:t xml:space="preserve">is set to 1 </w:t>
      </w:r>
      <w:r w:rsidR="00AC6C60" w:rsidRPr="00120191">
        <w:rPr>
          <w:sz w:val="20"/>
          <w:szCs w:val="20"/>
        </w:rPr>
        <w:t>year</w:t>
      </w:r>
      <w:r w:rsidR="00AC6C60" w:rsidRPr="00137AC7">
        <w:rPr>
          <w:sz w:val="20"/>
          <w:szCs w:val="20"/>
        </w:rPr>
        <w:t xml:space="preserve"> </w:t>
      </w:r>
      <w:r w:rsidRPr="00137AC7">
        <w:rPr>
          <w:sz w:val="20"/>
          <w:szCs w:val="20"/>
        </w:rPr>
        <w:t xml:space="preserve">for each </w:t>
      </w:r>
      <w:r w:rsidR="008C1E67">
        <w:rPr>
          <w:sz w:val="20"/>
          <w:szCs w:val="20"/>
        </w:rPr>
        <w:t xml:space="preserve">experiment </w:t>
      </w:r>
      <w:r w:rsidR="00137AC7">
        <w:rPr>
          <w:sz w:val="20"/>
          <w:szCs w:val="20"/>
        </w:rPr>
        <w:t>from the start of report deliveries</w:t>
      </w:r>
      <w:r w:rsidR="008C1E67">
        <w:rPr>
          <w:sz w:val="20"/>
          <w:szCs w:val="20"/>
        </w:rPr>
        <w:t xml:space="preserve">. </w:t>
      </w:r>
      <w:r w:rsidR="008C1E67" w:rsidRPr="00D92BFE">
        <w:rPr>
          <w:rFonts w:cs="Arial"/>
          <w:sz w:val="20"/>
          <w:szCs w:val="20"/>
        </w:rPr>
        <w:t xml:space="preserve">The program </w:t>
      </w:r>
      <w:r w:rsidR="008C1E67">
        <w:rPr>
          <w:rFonts w:cs="Arial"/>
          <w:sz w:val="20"/>
          <w:szCs w:val="20"/>
        </w:rPr>
        <w:t xml:space="preserve">measure life </w:t>
      </w:r>
      <w:r w:rsidR="008C1E67" w:rsidRPr="00D92BFE">
        <w:rPr>
          <w:rFonts w:cs="Arial"/>
          <w:sz w:val="20"/>
          <w:szCs w:val="20"/>
        </w:rPr>
        <w:t xml:space="preserve">may be </w:t>
      </w:r>
      <w:r w:rsidR="008C1E67">
        <w:rPr>
          <w:rFonts w:cs="Arial"/>
          <w:sz w:val="20"/>
          <w:szCs w:val="20"/>
        </w:rPr>
        <w:t>longer because of evidence of savings persistence</w:t>
      </w:r>
      <w:r w:rsidR="008C1E67" w:rsidRPr="00D92BFE">
        <w:rPr>
          <w:rFonts w:cs="Arial"/>
          <w:sz w:val="20"/>
          <w:szCs w:val="20"/>
        </w:rPr>
        <w:t xml:space="preserve">. </w:t>
      </w:r>
      <w:r w:rsidR="008C1E67">
        <w:rPr>
          <w:rFonts w:cs="Arial"/>
          <w:sz w:val="20"/>
          <w:szCs w:val="20"/>
        </w:rPr>
        <w:t>PG&amp;E will estimate a more accurate measure life based on the results of persistence studies.</w:t>
      </w:r>
      <w:r w:rsidR="008C1E67" w:rsidRPr="00137AC7" w:rsidDel="008C1E67">
        <w:rPr>
          <w:sz w:val="20"/>
          <w:szCs w:val="20"/>
        </w:rPr>
        <w:t xml:space="preserve"> </w:t>
      </w:r>
    </w:p>
    <w:p w:rsidR="00EB2D3B" w:rsidRPr="00EB2D3B" w:rsidRDefault="00EB2D3B" w:rsidP="00322EC9">
      <w:pPr>
        <w:rPr>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106"/>
        <w:gridCol w:w="1117"/>
        <w:gridCol w:w="1561"/>
        <w:gridCol w:w="1328"/>
      </w:tblGrid>
      <w:tr w:rsidR="006560BD" w:rsidRPr="00275856" w:rsidTr="00CC1129">
        <w:tc>
          <w:tcPr>
            <w:tcW w:w="0" w:type="auto"/>
            <w:shd w:val="clear" w:color="auto" w:fill="auto"/>
          </w:tcPr>
          <w:p w:rsidR="006560BD" w:rsidRPr="00137AC7" w:rsidRDefault="006560BD" w:rsidP="00CC1129">
            <w:pPr>
              <w:rPr>
                <w:rFonts w:cs="Arial"/>
                <w:b/>
                <w:sz w:val="20"/>
                <w:szCs w:val="20"/>
              </w:rPr>
            </w:pPr>
            <w:r w:rsidRPr="00137AC7">
              <w:rPr>
                <w:rFonts w:cs="Arial"/>
                <w:b/>
                <w:sz w:val="20"/>
                <w:szCs w:val="20"/>
              </w:rPr>
              <w:t xml:space="preserve">Building type </w:t>
            </w:r>
          </w:p>
        </w:tc>
        <w:tc>
          <w:tcPr>
            <w:tcW w:w="0" w:type="auto"/>
            <w:shd w:val="clear" w:color="auto" w:fill="auto"/>
          </w:tcPr>
          <w:p w:rsidR="006560BD" w:rsidRPr="00137AC7" w:rsidRDefault="006560BD" w:rsidP="00CC1129">
            <w:pPr>
              <w:rPr>
                <w:rFonts w:cs="Arial"/>
                <w:b/>
                <w:sz w:val="20"/>
                <w:szCs w:val="20"/>
              </w:rPr>
            </w:pPr>
            <w:r w:rsidRPr="00137AC7">
              <w:rPr>
                <w:rFonts w:cs="Arial"/>
                <w:b/>
                <w:sz w:val="20"/>
                <w:szCs w:val="20"/>
              </w:rPr>
              <w:t xml:space="preserve">Bldg Vintage </w:t>
            </w:r>
          </w:p>
        </w:tc>
        <w:tc>
          <w:tcPr>
            <w:tcW w:w="0" w:type="auto"/>
            <w:shd w:val="clear" w:color="auto" w:fill="auto"/>
          </w:tcPr>
          <w:p w:rsidR="006560BD" w:rsidRPr="00137AC7" w:rsidRDefault="006560BD" w:rsidP="00CC1129">
            <w:pPr>
              <w:rPr>
                <w:rFonts w:cs="Arial"/>
                <w:b/>
                <w:sz w:val="20"/>
                <w:szCs w:val="20"/>
              </w:rPr>
            </w:pPr>
            <w:r w:rsidRPr="00137AC7">
              <w:rPr>
                <w:rFonts w:cs="Arial"/>
                <w:b/>
                <w:sz w:val="20"/>
                <w:szCs w:val="20"/>
              </w:rPr>
              <w:t xml:space="preserve">Climate Zone </w:t>
            </w:r>
          </w:p>
        </w:tc>
        <w:tc>
          <w:tcPr>
            <w:tcW w:w="0" w:type="auto"/>
            <w:shd w:val="clear" w:color="auto" w:fill="auto"/>
          </w:tcPr>
          <w:p w:rsidR="006560BD" w:rsidRPr="00137AC7" w:rsidRDefault="006560BD" w:rsidP="00CC1129">
            <w:pPr>
              <w:rPr>
                <w:rFonts w:cs="Arial"/>
                <w:b/>
                <w:sz w:val="20"/>
                <w:szCs w:val="20"/>
              </w:rPr>
            </w:pPr>
            <w:r w:rsidRPr="00137AC7">
              <w:rPr>
                <w:rFonts w:cs="Arial"/>
                <w:b/>
                <w:sz w:val="20"/>
                <w:szCs w:val="20"/>
              </w:rPr>
              <w:t>EUL (yrs)</w:t>
            </w:r>
          </w:p>
        </w:tc>
        <w:tc>
          <w:tcPr>
            <w:tcW w:w="0" w:type="auto"/>
          </w:tcPr>
          <w:p w:rsidR="006560BD" w:rsidRPr="00137AC7" w:rsidRDefault="006560BD" w:rsidP="00CC1129">
            <w:pPr>
              <w:rPr>
                <w:rFonts w:cs="Arial"/>
                <w:b/>
                <w:sz w:val="20"/>
                <w:szCs w:val="20"/>
              </w:rPr>
            </w:pPr>
            <w:r w:rsidRPr="00137AC7">
              <w:rPr>
                <w:rFonts w:cs="Arial"/>
                <w:b/>
                <w:sz w:val="20"/>
                <w:szCs w:val="20"/>
              </w:rPr>
              <w:t>RUL (yrs)</w:t>
            </w:r>
          </w:p>
        </w:tc>
        <w:tc>
          <w:tcPr>
            <w:tcW w:w="0" w:type="auto"/>
            <w:shd w:val="clear" w:color="auto" w:fill="auto"/>
          </w:tcPr>
          <w:p w:rsidR="006560BD" w:rsidRPr="00137AC7" w:rsidRDefault="006560BD" w:rsidP="00CC1129">
            <w:pPr>
              <w:rPr>
                <w:rFonts w:cs="Arial"/>
                <w:b/>
                <w:sz w:val="20"/>
                <w:szCs w:val="20"/>
              </w:rPr>
            </w:pPr>
            <w:r w:rsidRPr="00137AC7">
              <w:rPr>
                <w:rFonts w:cs="Arial"/>
                <w:b/>
                <w:sz w:val="20"/>
                <w:szCs w:val="20"/>
              </w:rPr>
              <w:t>DEER Version</w:t>
            </w:r>
          </w:p>
        </w:tc>
        <w:tc>
          <w:tcPr>
            <w:tcW w:w="0" w:type="auto"/>
            <w:shd w:val="clear" w:color="auto" w:fill="auto"/>
          </w:tcPr>
          <w:p w:rsidR="006560BD" w:rsidRPr="00137AC7" w:rsidRDefault="006560BD" w:rsidP="00CC1129">
            <w:pPr>
              <w:rPr>
                <w:rFonts w:cs="Arial"/>
                <w:b/>
                <w:sz w:val="20"/>
                <w:szCs w:val="20"/>
              </w:rPr>
            </w:pPr>
            <w:r w:rsidRPr="00137AC7">
              <w:rPr>
                <w:rFonts w:cs="Arial"/>
                <w:b/>
                <w:sz w:val="20"/>
                <w:szCs w:val="20"/>
              </w:rPr>
              <w:t>Impact IDs</w:t>
            </w:r>
          </w:p>
        </w:tc>
      </w:tr>
      <w:tr w:rsidR="006560BD" w:rsidRPr="00783DAC" w:rsidTr="00CC1129">
        <w:tc>
          <w:tcPr>
            <w:tcW w:w="0" w:type="auto"/>
            <w:shd w:val="clear" w:color="auto" w:fill="auto"/>
          </w:tcPr>
          <w:p w:rsidR="006560BD" w:rsidRPr="00137AC7" w:rsidRDefault="00EB2D3B" w:rsidP="00CC1129">
            <w:pPr>
              <w:rPr>
                <w:rFonts w:cs="Arial"/>
                <w:b/>
                <w:sz w:val="20"/>
                <w:szCs w:val="20"/>
              </w:rPr>
            </w:pPr>
            <w:r w:rsidRPr="00137AC7">
              <w:rPr>
                <w:rFonts w:cs="Arial"/>
                <w:b/>
                <w:sz w:val="20"/>
                <w:szCs w:val="20"/>
              </w:rPr>
              <w:t xml:space="preserve">RES </w:t>
            </w:r>
          </w:p>
        </w:tc>
        <w:tc>
          <w:tcPr>
            <w:tcW w:w="0" w:type="auto"/>
            <w:shd w:val="clear" w:color="auto" w:fill="auto"/>
          </w:tcPr>
          <w:p w:rsidR="006560BD" w:rsidRPr="00137AC7" w:rsidRDefault="00EB2D3B" w:rsidP="00CC1129">
            <w:pPr>
              <w:spacing w:before="40" w:after="40"/>
              <w:rPr>
                <w:rFonts w:cs="Arial"/>
                <w:b/>
                <w:sz w:val="20"/>
                <w:szCs w:val="20"/>
              </w:rPr>
            </w:pPr>
            <w:r w:rsidRPr="00137AC7">
              <w:rPr>
                <w:rFonts w:cs="Arial"/>
                <w:b/>
                <w:sz w:val="20"/>
                <w:szCs w:val="20"/>
              </w:rPr>
              <w:t>ALL</w:t>
            </w:r>
          </w:p>
        </w:tc>
        <w:tc>
          <w:tcPr>
            <w:tcW w:w="0" w:type="auto"/>
            <w:shd w:val="clear" w:color="auto" w:fill="auto"/>
          </w:tcPr>
          <w:p w:rsidR="006560BD" w:rsidRPr="00137AC7" w:rsidRDefault="00EB2D3B" w:rsidP="00CC1129">
            <w:pPr>
              <w:spacing w:before="40" w:after="40"/>
              <w:rPr>
                <w:rFonts w:cs="Arial"/>
                <w:b/>
                <w:sz w:val="20"/>
                <w:szCs w:val="20"/>
              </w:rPr>
            </w:pPr>
            <w:r w:rsidRPr="00137AC7">
              <w:rPr>
                <w:rFonts w:cs="Arial"/>
                <w:b/>
                <w:sz w:val="20"/>
                <w:szCs w:val="20"/>
              </w:rPr>
              <w:t xml:space="preserve">ALL </w:t>
            </w:r>
          </w:p>
        </w:tc>
        <w:tc>
          <w:tcPr>
            <w:tcW w:w="0" w:type="auto"/>
            <w:shd w:val="clear" w:color="auto" w:fill="auto"/>
          </w:tcPr>
          <w:p w:rsidR="006560BD" w:rsidRPr="00137AC7" w:rsidRDefault="00B27447" w:rsidP="00CC1129">
            <w:pPr>
              <w:spacing w:before="40" w:after="40"/>
              <w:rPr>
                <w:rFonts w:cs="Arial"/>
                <w:b/>
                <w:sz w:val="20"/>
                <w:szCs w:val="20"/>
              </w:rPr>
            </w:pPr>
            <w:r>
              <w:rPr>
                <w:rFonts w:cs="Arial"/>
                <w:b/>
                <w:sz w:val="20"/>
                <w:szCs w:val="20"/>
              </w:rPr>
              <w:t>1</w:t>
            </w:r>
          </w:p>
        </w:tc>
        <w:tc>
          <w:tcPr>
            <w:tcW w:w="0" w:type="auto"/>
          </w:tcPr>
          <w:p w:rsidR="006560BD" w:rsidRPr="00137AC7" w:rsidRDefault="00EB2D3B" w:rsidP="00CC1129">
            <w:pPr>
              <w:spacing w:before="40" w:after="40"/>
              <w:rPr>
                <w:rFonts w:cs="Arial"/>
                <w:b/>
                <w:sz w:val="20"/>
                <w:szCs w:val="20"/>
              </w:rPr>
            </w:pPr>
            <w:r w:rsidRPr="00137AC7">
              <w:rPr>
                <w:rFonts w:cs="Arial"/>
                <w:b/>
                <w:sz w:val="20"/>
                <w:szCs w:val="20"/>
              </w:rPr>
              <w:t>DNA</w:t>
            </w:r>
          </w:p>
        </w:tc>
        <w:tc>
          <w:tcPr>
            <w:tcW w:w="0" w:type="auto"/>
            <w:shd w:val="clear" w:color="auto" w:fill="auto"/>
          </w:tcPr>
          <w:p w:rsidR="006560BD" w:rsidRPr="00137AC7" w:rsidRDefault="00EB2D3B" w:rsidP="00CC1129">
            <w:pPr>
              <w:spacing w:before="40" w:after="40"/>
              <w:rPr>
                <w:rFonts w:cs="Arial"/>
                <w:b/>
                <w:sz w:val="20"/>
                <w:szCs w:val="20"/>
              </w:rPr>
            </w:pPr>
            <w:r w:rsidRPr="00137AC7">
              <w:rPr>
                <w:rFonts w:cs="Arial"/>
                <w:b/>
                <w:sz w:val="20"/>
                <w:szCs w:val="20"/>
              </w:rPr>
              <w:t>From Study</w:t>
            </w:r>
          </w:p>
        </w:tc>
        <w:tc>
          <w:tcPr>
            <w:tcW w:w="0" w:type="auto"/>
            <w:shd w:val="clear" w:color="auto" w:fill="auto"/>
          </w:tcPr>
          <w:p w:rsidR="006560BD" w:rsidRPr="00137AC7" w:rsidRDefault="00EB2D3B" w:rsidP="00CC1129">
            <w:pPr>
              <w:rPr>
                <w:rFonts w:cs="Arial"/>
                <w:b/>
                <w:sz w:val="20"/>
                <w:szCs w:val="20"/>
              </w:rPr>
            </w:pPr>
            <w:r w:rsidRPr="00137AC7">
              <w:rPr>
                <w:rFonts w:cs="Arial"/>
                <w:b/>
                <w:sz w:val="20"/>
                <w:szCs w:val="20"/>
              </w:rPr>
              <w:t>From Study</w:t>
            </w:r>
          </w:p>
        </w:tc>
      </w:tr>
    </w:tbl>
    <w:p w:rsidR="006560BD" w:rsidRPr="00432C65" w:rsidRDefault="006560BD" w:rsidP="006560BD">
      <w:pPr>
        <w:rPr>
          <w:rFonts w:cs="Arial"/>
          <w:b/>
          <w:sz w:val="20"/>
          <w:szCs w:val="20"/>
        </w:rPr>
      </w:pPr>
    </w:p>
    <w:p w:rsidR="006560BD" w:rsidRDefault="006560BD" w:rsidP="006560BD">
      <w:pPr>
        <w:rPr>
          <w:rFonts w:cs="Arial"/>
          <w:sz w:val="20"/>
          <w:szCs w:val="20"/>
        </w:rPr>
      </w:pPr>
      <w:r w:rsidRPr="00432C65">
        <w:rPr>
          <w:rFonts w:cs="Arial"/>
          <w:b/>
          <w:sz w:val="20"/>
          <w:szCs w:val="20"/>
        </w:rPr>
        <w:t>Net-to-Gross Assumption:</w:t>
      </w:r>
    </w:p>
    <w:p w:rsidR="006560BD" w:rsidRPr="00B872D0" w:rsidRDefault="00B872D0" w:rsidP="006560BD">
      <w:pPr>
        <w:rPr>
          <w:rFonts w:cs="Arial"/>
          <w:sz w:val="20"/>
          <w:szCs w:val="20"/>
        </w:rPr>
      </w:pPr>
      <w:r w:rsidRPr="00B872D0">
        <w:rPr>
          <w:rFonts w:cs="Arial"/>
          <w:sz w:val="20"/>
          <w:szCs w:val="20"/>
        </w:rPr>
        <w:t xml:space="preserve">The </w:t>
      </w:r>
      <w:r w:rsidR="00BC6217">
        <w:rPr>
          <w:rFonts w:cs="Arial"/>
          <w:sz w:val="20"/>
          <w:szCs w:val="20"/>
        </w:rPr>
        <w:t>n</w:t>
      </w:r>
      <w:r w:rsidRPr="00B872D0">
        <w:rPr>
          <w:rFonts w:cs="Arial"/>
          <w:sz w:val="20"/>
          <w:szCs w:val="20"/>
        </w:rPr>
        <w:t>et</w:t>
      </w:r>
      <w:r w:rsidR="00BC6217">
        <w:rPr>
          <w:rFonts w:cs="Arial"/>
          <w:sz w:val="20"/>
          <w:szCs w:val="20"/>
        </w:rPr>
        <w:t>-</w:t>
      </w:r>
      <w:r w:rsidRPr="00B872D0">
        <w:rPr>
          <w:rFonts w:cs="Arial"/>
          <w:sz w:val="20"/>
          <w:szCs w:val="20"/>
        </w:rPr>
        <w:t>to</w:t>
      </w:r>
      <w:r w:rsidR="00BC6217">
        <w:rPr>
          <w:rFonts w:cs="Arial"/>
          <w:sz w:val="20"/>
          <w:szCs w:val="20"/>
        </w:rPr>
        <w:t>-g</w:t>
      </w:r>
      <w:r w:rsidRPr="00B872D0">
        <w:rPr>
          <w:rFonts w:cs="Arial"/>
          <w:sz w:val="20"/>
          <w:szCs w:val="20"/>
        </w:rPr>
        <w:t>ross</w:t>
      </w:r>
      <w:r w:rsidR="00BF6985">
        <w:rPr>
          <w:rFonts w:cs="Arial"/>
          <w:sz w:val="20"/>
          <w:szCs w:val="20"/>
        </w:rPr>
        <w:t xml:space="preserve"> (NTG)</w:t>
      </w:r>
      <w:r w:rsidRPr="00B872D0">
        <w:rPr>
          <w:rFonts w:cs="Arial"/>
          <w:sz w:val="20"/>
          <w:szCs w:val="20"/>
        </w:rPr>
        <w:t xml:space="preserve"> Ratio assumptions are noted below. Because of the nature of the program and the method of analysis, any further application of </w:t>
      </w:r>
      <w:r w:rsidR="00382A4B">
        <w:rPr>
          <w:rFonts w:cs="Arial"/>
          <w:sz w:val="20"/>
          <w:szCs w:val="20"/>
        </w:rPr>
        <w:t xml:space="preserve">NTG </w:t>
      </w:r>
      <w:r w:rsidRPr="00B872D0">
        <w:rPr>
          <w:rFonts w:cs="Arial"/>
          <w:sz w:val="20"/>
          <w:szCs w:val="20"/>
        </w:rPr>
        <w:t>is considered redundant.</w:t>
      </w:r>
    </w:p>
    <w:p w:rsidR="00B872D0" w:rsidRDefault="00B872D0" w:rsidP="006560BD">
      <w:pPr>
        <w:rPr>
          <w:rFonts w:cs="Arial"/>
          <w:sz w:val="20"/>
          <w:szCs w:val="20"/>
        </w:rPr>
      </w:pPr>
    </w:p>
    <w:p w:rsidR="006560BD" w:rsidRPr="00432C65" w:rsidRDefault="006560BD" w:rsidP="006560BD">
      <w:pPr>
        <w:rPr>
          <w:rFonts w:cs="Arial"/>
          <w:sz w:val="20"/>
          <w:szCs w:val="20"/>
        </w:rPr>
      </w:pPr>
      <w:r w:rsidRPr="00432C65">
        <w:rPr>
          <w:rFonts w:cs="Arial"/>
          <w:sz w:val="20"/>
          <w:szCs w:val="20"/>
        </w:rPr>
        <w:t xml:space="preserve">Table </w:t>
      </w:r>
      <w:r w:rsidR="00FD30A7">
        <w:rPr>
          <w:rFonts w:cs="Arial"/>
          <w:sz w:val="20"/>
          <w:szCs w:val="20"/>
        </w:rPr>
        <w:t>2</w:t>
      </w:r>
      <w:r w:rsidRPr="00432C65">
        <w:rPr>
          <w:rFonts w:cs="Arial"/>
          <w:sz w:val="20"/>
          <w:szCs w:val="20"/>
        </w:rPr>
        <w:t xml:space="preserve"> below summarizes all applicable </w:t>
      </w:r>
      <w:r w:rsidR="00382A4B">
        <w:rPr>
          <w:rFonts w:cs="Arial"/>
          <w:sz w:val="20"/>
          <w:szCs w:val="20"/>
        </w:rPr>
        <w:t xml:space="preserve">NTG </w:t>
      </w:r>
      <w:r w:rsidRPr="00432C65">
        <w:rPr>
          <w:rFonts w:cs="Arial"/>
          <w:sz w:val="20"/>
          <w:szCs w:val="20"/>
        </w:rPr>
        <w:t>ratios for programs that may be used by this measure.</w:t>
      </w:r>
    </w:p>
    <w:p w:rsidR="00B44A3A" w:rsidRDefault="00B44A3A" w:rsidP="00B44A3A">
      <w:pPr>
        <w:rPr>
          <w:rFonts w:cs="Arial"/>
          <w:sz w:val="20"/>
          <w:szCs w:val="20"/>
        </w:rPr>
      </w:pPr>
    </w:p>
    <w:p w:rsidR="006560BD" w:rsidRPr="00432C65" w:rsidRDefault="006560BD" w:rsidP="006560BD">
      <w:pPr>
        <w:pStyle w:val="Caption"/>
        <w:keepNext/>
        <w:jc w:val="center"/>
        <w:rPr>
          <w:rFonts w:cs="Arial"/>
        </w:rPr>
      </w:pPr>
      <w:bookmarkStart w:id="61" w:name="_Toc476228508"/>
      <w:r w:rsidRPr="00432C65">
        <w:rPr>
          <w:rFonts w:cs="Arial"/>
        </w:rPr>
        <w:t xml:space="preserve">Table </w:t>
      </w:r>
      <w:r w:rsidRPr="00432C65">
        <w:rPr>
          <w:rFonts w:cs="Arial"/>
        </w:rPr>
        <w:fldChar w:fldCharType="begin"/>
      </w:r>
      <w:r w:rsidRPr="00432C65">
        <w:rPr>
          <w:rFonts w:cs="Arial"/>
        </w:rPr>
        <w:instrText xml:space="preserve"> SEQ Table \* ARABIC \s 1 </w:instrText>
      </w:r>
      <w:r w:rsidRPr="00432C65">
        <w:rPr>
          <w:rFonts w:cs="Arial"/>
        </w:rPr>
        <w:fldChar w:fldCharType="separate"/>
      </w:r>
      <w:r w:rsidR="00992DF9">
        <w:rPr>
          <w:rFonts w:cs="Arial"/>
          <w:noProof/>
        </w:rPr>
        <w:t>3</w:t>
      </w:r>
      <w:r w:rsidRPr="00432C65">
        <w:rPr>
          <w:rFonts w:cs="Arial"/>
        </w:rPr>
        <w:fldChar w:fldCharType="end"/>
      </w:r>
      <w:r>
        <w:rPr>
          <w:rFonts w:cs="Arial"/>
        </w:rPr>
        <w:t xml:space="preserve"> </w:t>
      </w:r>
      <w:r w:rsidRPr="00432C65">
        <w:rPr>
          <w:rFonts w:cs="Arial"/>
        </w:rPr>
        <w:t>Net-to-Gross Ratios</w:t>
      </w:r>
      <w:bookmarkEnd w:id="61"/>
    </w:p>
    <w:tbl>
      <w:tblPr>
        <w:tblW w:w="4098" w:type="pct"/>
        <w:tblInd w:w="828" w:type="dxa"/>
        <w:tblBorders>
          <w:insideH w:val="single" w:sz="18" w:space="0" w:color="FFFFFF"/>
          <w:insideV w:val="single" w:sz="18" w:space="0" w:color="FFFFFF"/>
        </w:tblBorders>
        <w:tblLook w:val="01E0" w:firstRow="1" w:lastRow="1" w:firstColumn="1" w:lastColumn="1" w:noHBand="0" w:noVBand="0"/>
      </w:tblPr>
      <w:tblGrid>
        <w:gridCol w:w="4360"/>
        <w:gridCol w:w="1041"/>
        <w:gridCol w:w="2447"/>
      </w:tblGrid>
      <w:tr w:rsidR="006560BD" w:rsidRPr="00783DAC" w:rsidTr="00CC1129">
        <w:tc>
          <w:tcPr>
            <w:tcW w:w="2778" w:type="pct"/>
            <w:shd w:val="pct20" w:color="000000" w:fill="FFFFFF"/>
          </w:tcPr>
          <w:p w:rsidR="006560BD" w:rsidRPr="00783DAC" w:rsidRDefault="006560BD" w:rsidP="00CC1129">
            <w:pPr>
              <w:jc w:val="center"/>
              <w:rPr>
                <w:rFonts w:cs="Arial"/>
                <w:b/>
                <w:bCs/>
                <w:sz w:val="20"/>
                <w:szCs w:val="20"/>
              </w:rPr>
            </w:pPr>
            <w:r w:rsidRPr="00783DAC">
              <w:rPr>
                <w:rFonts w:cs="Arial"/>
                <w:b/>
                <w:bCs/>
                <w:sz w:val="20"/>
                <w:szCs w:val="20"/>
              </w:rPr>
              <w:t>Program Approach</w:t>
            </w:r>
          </w:p>
        </w:tc>
        <w:tc>
          <w:tcPr>
            <w:tcW w:w="663" w:type="pct"/>
            <w:shd w:val="pct20" w:color="000000" w:fill="FFFFFF"/>
          </w:tcPr>
          <w:p w:rsidR="006560BD" w:rsidRPr="00783DAC" w:rsidRDefault="006560BD" w:rsidP="00CC1129">
            <w:pPr>
              <w:jc w:val="center"/>
              <w:rPr>
                <w:rFonts w:cs="Arial"/>
                <w:b/>
                <w:bCs/>
                <w:sz w:val="20"/>
                <w:szCs w:val="20"/>
              </w:rPr>
            </w:pPr>
            <w:r w:rsidRPr="00783DAC">
              <w:rPr>
                <w:rFonts w:cs="Arial"/>
                <w:b/>
                <w:bCs/>
                <w:sz w:val="20"/>
                <w:szCs w:val="20"/>
              </w:rPr>
              <w:t>NTG</w:t>
            </w:r>
          </w:p>
        </w:tc>
        <w:tc>
          <w:tcPr>
            <w:tcW w:w="1559" w:type="pct"/>
            <w:shd w:val="pct20" w:color="000000" w:fill="FFFFFF"/>
          </w:tcPr>
          <w:p w:rsidR="006560BD" w:rsidRPr="00783DAC" w:rsidRDefault="006560BD" w:rsidP="00CC1129">
            <w:pPr>
              <w:jc w:val="center"/>
              <w:rPr>
                <w:rFonts w:cs="Arial"/>
                <w:b/>
                <w:bCs/>
                <w:sz w:val="20"/>
                <w:szCs w:val="20"/>
              </w:rPr>
            </w:pPr>
            <w:r w:rsidRPr="00783DAC">
              <w:rPr>
                <w:rFonts w:cs="Arial"/>
                <w:b/>
                <w:bCs/>
                <w:sz w:val="20"/>
                <w:szCs w:val="20"/>
              </w:rPr>
              <w:t>Study Reference</w:t>
            </w:r>
          </w:p>
        </w:tc>
      </w:tr>
      <w:tr w:rsidR="006560BD" w:rsidRPr="00783DAC" w:rsidTr="00CC1129">
        <w:tc>
          <w:tcPr>
            <w:tcW w:w="2778" w:type="pct"/>
            <w:shd w:val="pct5" w:color="000000" w:fill="FFFFFF"/>
          </w:tcPr>
          <w:p w:rsidR="006560BD" w:rsidRPr="00783DAC" w:rsidRDefault="00B872D0" w:rsidP="00CC1129">
            <w:pPr>
              <w:rPr>
                <w:rFonts w:cs="Arial"/>
                <w:sz w:val="20"/>
                <w:szCs w:val="20"/>
              </w:rPr>
            </w:pPr>
            <w:r>
              <w:rPr>
                <w:rFonts w:cs="Arial"/>
                <w:sz w:val="20"/>
                <w:szCs w:val="20"/>
              </w:rPr>
              <w:t>Home Energy Reports</w:t>
            </w:r>
          </w:p>
        </w:tc>
        <w:tc>
          <w:tcPr>
            <w:tcW w:w="663" w:type="pct"/>
            <w:shd w:val="pct5" w:color="000000" w:fill="FFFFFF"/>
          </w:tcPr>
          <w:p w:rsidR="006560BD" w:rsidRPr="00783DAC" w:rsidRDefault="00B872D0" w:rsidP="00CC1129">
            <w:pPr>
              <w:jc w:val="center"/>
              <w:rPr>
                <w:rFonts w:cs="Arial"/>
                <w:sz w:val="20"/>
                <w:szCs w:val="20"/>
              </w:rPr>
            </w:pPr>
            <w:r>
              <w:rPr>
                <w:rFonts w:cs="Arial"/>
                <w:sz w:val="20"/>
                <w:szCs w:val="20"/>
              </w:rPr>
              <w:t>1.0</w:t>
            </w:r>
          </w:p>
        </w:tc>
        <w:tc>
          <w:tcPr>
            <w:tcW w:w="1559" w:type="pct"/>
            <w:shd w:val="pct5" w:color="000000" w:fill="FFFFFF"/>
          </w:tcPr>
          <w:p w:rsidR="006560BD" w:rsidRPr="00783DAC" w:rsidRDefault="00B872D0" w:rsidP="00CC1129">
            <w:pPr>
              <w:jc w:val="center"/>
              <w:rPr>
                <w:rFonts w:cs="Arial"/>
                <w:sz w:val="20"/>
                <w:szCs w:val="20"/>
              </w:rPr>
            </w:pPr>
            <w:r>
              <w:rPr>
                <w:rFonts w:cs="Arial"/>
                <w:sz w:val="20"/>
                <w:szCs w:val="20"/>
              </w:rPr>
              <w:t>See Below</w:t>
            </w:r>
          </w:p>
        </w:tc>
      </w:tr>
    </w:tbl>
    <w:p w:rsidR="006560BD" w:rsidRDefault="006560BD" w:rsidP="006560BD">
      <w:pPr>
        <w:rPr>
          <w:rFonts w:cs="Arial"/>
          <w:i/>
          <w:sz w:val="20"/>
          <w:szCs w:val="20"/>
          <w:highlight w:val="cyan"/>
        </w:rPr>
      </w:pPr>
    </w:p>
    <w:p w:rsidR="00B872D0" w:rsidRPr="00B872D0" w:rsidRDefault="00B872D0" w:rsidP="00B872D0">
      <w:pPr>
        <w:pStyle w:val="ListParagraph"/>
        <w:numPr>
          <w:ilvl w:val="0"/>
          <w:numId w:val="20"/>
        </w:numPr>
        <w:ind w:left="360"/>
        <w:rPr>
          <w:rFonts w:cs="Arial"/>
          <w:sz w:val="20"/>
          <w:szCs w:val="20"/>
        </w:rPr>
      </w:pPr>
      <w:r w:rsidRPr="00B872D0">
        <w:rPr>
          <w:rFonts w:cs="Arial"/>
          <w:sz w:val="20"/>
          <w:szCs w:val="20"/>
        </w:rPr>
        <w:t>Net-to-Gross (NTG). NTG is an adjustment made so that only energy efficiency gains that are a direct result of an energy efficiency program are reflected. We propose that NTG be treated for each of the types of savings resulting from behavioral programs:</w:t>
      </w:r>
    </w:p>
    <w:p w:rsidR="00B872D0" w:rsidRPr="00B872D0" w:rsidRDefault="00B872D0" w:rsidP="00B872D0">
      <w:pPr>
        <w:pStyle w:val="ListParagraph"/>
        <w:numPr>
          <w:ilvl w:val="1"/>
          <w:numId w:val="20"/>
        </w:numPr>
        <w:ind w:left="720"/>
        <w:rPr>
          <w:rFonts w:cs="Arial"/>
          <w:sz w:val="20"/>
          <w:szCs w:val="20"/>
          <w:u w:val="single"/>
        </w:rPr>
      </w:pPr>
      <w:r w:rsidRPr="00B872D0">
        <w:rPr>
          <w:rFonts w:cs="Arial"/>
          <w:sz w:val="20"/>
          <w:szCs w:val="20"/>
        </w:rPr>
        <w:t>Behavioral changes in practices and equipment installations</w:t>
      </w:r>
      <w:r w:rsidR="001F6B53">
        <w:rPr>
          <w:rFonts w:cs="Arial"/>
          <w:sz w:val="20"/>
          <w:szCs w:val="20"/>
        </w:rPr>
        <w:t xml:space="preserve"> only</w:t>
      </w:r>
      <w:r w:rsidRPr="00B872D0">
        <w:rPr>
          <w:rFonts w:cs="Arial"/>
          <w:sz w:val="20"/>
          <w:szCs w:val="20"/>
        </w:rPr>
        <w:t xml:space="preserve"> resulting from the treatment </w:t>
      </w:r>
      <w:r w:rsidR="00BF6985">
        <w:rPr>
          <w:rFonts w:cs="Arial"/>
          <w:sz w:val="20"/>
          <w:szCs w:val="20"/>
        </w:rPr>
        <w:t xml:space="preserve">are </w:t>
      </w:r>
      <w:r w:rsidRPr="00B872D0">
        <w:rPr>
          <w:rFonts w:cs="Arial"/>
          <w:sz w:val="20"/>
          <w:szCs w:val="20"/>
        </w:rPr>
        <w:t xml:space="preserve">reported without additional NTG adjustment. </w:t>
      </w:r>
      <w:r w:rsidRPr="00B872D0">
        <w:rPr>
          <w:rFonts w:cs="Arial"/>
          <w:sz w:val="20"/>
          <w:szCs w:val="20"/>
          <w:u w:val="single"/>
        </w:rPr>
        <w:t xml:space="preserve">By definition, </w:t>
      </w:r>
      <w:r w:rsidR="00BC6217">
        <w:rPr>
          <w:rFonts w:cs="Arial"/>
          <w:sz w:val="20"/>
          <w:szCs w:val="20"/>
          <w:u w:val="single"/>
        </w:rPr>
        <w:t xml:space="preserve">randomized control trials </w:t>
      </w:r>
      <w:r w:rsidRPr="00B872D0">
        <w:rPr>
          <w:rFonts w:cs="Arial"/>
          <w:sz w:val="20"/>
          <w:szCs w:val="20"/>
          <w:u w:val="single"/>
        </w:rPr>
        <w:t xml:space="preserve">isolate the unique impact of the comparative usage program to the treatment group, so the reported results </w:t>
      </w:r>
      <w:r w:rsidR="00BF6985">
        <w:rPr>
          <w:rFonts w:cs="Arial"/>
          <w:sz w:val="20"/>
          <w:szCs w:val="20"/>
          <w:u w:val="single"/>
        </w:rPr>
        <w:t xml:space="preserve">are </w:t>
      </w:r>
      <w:r w:rsidRPr="00B872D0">
        <w:rPr>
          <w:rFonts w:cs="Arial"/>
          <w:sz w:val="20"/>
          <w:szCs w:val="20"/>
          <w:u w:val="single"/>
        </w:rPr>
        <w:t>“net” impacts</w:t>
      </w:r>
      <w:r w:rsidR="00BC6217">
        <w:rPr>
          <w:rFonts w:cs="Arial"/>
          <w:sz w:val="20"/>
          <w:szCs w:val="20"/>
          <w:u w:val="single"/>
        </w:rPr>
        <w:t>;</w:t>
      </w:r>
    </w:p>
    <w:p w:rsidR="006560BD" w:rsidRPr="00B872D0" w:rsidRDefault="00B872D0" w:rsidP="00B872D0">
      <w:pPr>
        <w:pStyle w:val="ListParagraph"/>
        <w:numPr>
          <w:ilvl w:val="1"/>
          <w:numId w:val="20"/>
        </w:numPr>
        <w:ind w:left="720"/>
        <w:rPr>
          <w:rFonts w:cs="Arial"/>
          <w:b/>
          <w:sz w:val="20"/>
          <w:szCs w:val="20"/>
        </w:rPr>
      </w:pPr>
      <w:r w:rsidRPr="00B872D0">
        <w:rPr>
          <w:rFonts w:cs="Arial"/>
          <w:sz w:val="20"/>
          <w:szCs w:val="20"/>
        </w:rPr>
        <w:t xml:space="preserve">Equipment purchases that have been rebated and claimed by another utility program </w:t>
      </w:r>
      <w:r w:rsidR="00BF6985">
        <w:rPr>
          <w:rFonts w:cs="Arial"/>
          <w:sz w:val="20"/>
          <w:szCs w:val="20"/>
        </w:rPr>
        <w:t>are</w:t>
      </w:r>
      <w:r w:rsidR="00BF6985" w:rsidRPr="00B872D0">
        <w:rPr>
          <w:rFonts w:cs="Arial"/>
          <w:sz w:val="20"/>
          <w:szCs w:val="20"/>
        </w:rPr>
        <w:t xml:space="preserve"> </w:t>
      </w:r>
      <w:r w:rsidRPr="00B872D0">
        <w:rPr>
          <w:rFonts w:cs="Arial"/>
          <w:sz w:val="20"/>
          <w:szCs w:val="20"/>
        </w:rPr>
        <w:t>not included in the savings claim, so any NTG adjustment would be made through the savings claims for those measures rather than through savings claims for behavioral programs. Consequently no NTG adjustment would be applicable</w:t>
      </w:r>
      <w:r>
        <w:rPr>
          <w:rStyle w:val="EndnoteReference"/>
          <w:rFonts w:cs="Arial"/>
          <w:sz w:val="20"/>
          <w:szCs w:val="20"/>
        </w:rPr>
        <w:endnoteReference w:id="12"/>
      </w:r>
      <w:r w:rsidR="00BC6217">
        <w:rPr>
          <w:rFonts w:cs="Arial"/>
          <w:sz w:val="20"/>
          <w:szCs w:val="20"/>
        </w:rPr>
        <w:t>.</w:t>
      </w:r>
    </w:p>
    <w:p w:rsidR="00646075" w:rsidRDefault="00646075" w:rsidP="006560BD">
      <w:pPr>
        <w:rPr>
          <w:rFonts w:cs="Arial"/>
          <w:b/>
          <w:sz w:val="20"/>
          <w:szCs w:val="20"/>
        </w:rPr>
      </w:pPr>
    </w:p>
    <w:p w:rsidR="006560BD" w:rsidRDefault="002E32D8" w:rsidP="006560BD">
      <w:pPr>
        <w:rPr>
          <w:rFonts w:cs="Arial"/>
          <w:i/>
          <w:sz w:val="20"/>
          <w:szCs w:val="20"/>
        </w:rPr>
      </w:pPr>
      <w:r>
        <w:rPr>
          <w:rFonts w:cs="Arial"/>
          <w:b/>
          <w:sz w:val="20"/>
          <w:szCs w:val="20"/>
        </w:rPr>
        <w:lastRenderedPageBreak/>
        <w:t>I</w:t>
      </w:r>
      <w:r w:rsidR="006560BD">
        <w:rPr>
          <w:rFonts w:cs="Arial"/>
          <w:b/>
          <w:sz w:val="20"/>
          <w:szCs w:val="20"/>
        </w:rPr>
        <w:t>n-service rate</w:t>
      </w:r>
      <w:r w:rsidR="006560BD" w:rsidRPr="00432C65">
        <w:rPr>
          <w:rFonts w:cs="Arial"/>
          <w:b/>
          <w:sz w:val="20"/>
          <w:szCs w:val="20"/>
        </w:rPr>
        <w:t>/first year installation rate</w:t>
      </w:r>
      <w:r w:rsidR="006560BD" w:rsidRPr="00432C65">
        <w:rPr>
          <w:rFonts w:cs="Arial"/>
          <w:sz w:val="20"/>
          <w:szCs w:val="20"/>
        </w:rPr>
        <w:t>:</w:t>
      </w:r>
      <w:r w:rsidR="006560BD">
        <w:rPr>
          <w:rFonts w:cs="Arial"/>
          <w:sz w:val="20"/>
          <w:szCs w:val="20"/>
        </w:rPr>
        <w:t xml:space="preserve"> </w:t>
      </w:r>
    </w:p>
    <w:p w:rsidR="002E32D8" w:rsidRPr="002E32D8" w:rsidRDefault="006560BD" w:rsidP="002E32D8">
      <w:pPr>
        <w:numPr>
          <w:ilvl w:val="0"/>
          <w:numId w:val="11"/>
        </w:numPr>
        <w:rPr>
          <w:rFonts w:cs="Arial"/>
          <w:sz w:val="20"/>
          <w:szCs w:val="20"/>
        </w:rPr>
      </w:pPr>
      <w:r w:rsidRPr="002E32D8">
        <w:rPr>
          <w:rFonts w:cs="Arial"/>
          <w:sz w:val="20"/>
          <w:szCs w:val="20"/>
        </w:rPr>
        <w:t xml:space="preserve">The in-service rates </w:t>
      </w:r>
      <w:r w:rsidR="002E32D8" w:rsidRPr="002E32D8">
        <w:rPr>
          <w:rFonts w:cs="Arial"/>
          <w:sz w:val="20"/>
          <w:szCs w:val="20"/>
        </w:rPr>
        <w:t xml:space="preserve">are not relevant to this particular set of measures since savings </w:t>
      </w:r>
      <w:r w:rsidR="00D67EAD">
        <w:rPr>
          <w:rFonts w:cs="Arial"/>
          <w:sz w:val="20"/>
          <w:szCs w:val="20"/>
        </w:rPr>
        <w:t>is</w:t>
      </w:r>
      <w:r w:rsidR="00D67EAD" w:rsidRPr="002E32D8">
        <w:rPr>
          <w:rFonts w:cs="Arial"/>
          <w:sz w:val="20"/>
          <w:szCs w:val="20"/>
        </w:rPr>
        <w:t xml:space="preserve"> </w:t>
      </w:r>
      <w:r w:rsidR="002E32D8" w:rsidRPr="002E32D8">
        <w:rPr>
          <w:rFonts w:cs="Arial"/>
          <w:sz w:val="20"/>
          <w:szCs w:val="20"/>
        </w:rPr>
        <w:t>derived from actions taken as the result of the communications with the customer</w:t>
      </w:r>
      <w:r w:rsidR="00FD30A7">
        <w:rPr>
          <w:rFonts w:cs="Arial"/>
          <w:sz w:val="20"/>
          <w:szCs w:val="20"/>
        </w:rPr>
        <w:t>.</w:t>
      </w:r>
      <w:r w:rsidR="002E32D8" w:rsidRPr="002E32D8">
        <w:rPr>
          <w:rFonts w:cs="Arial"/>
          <w:sz w:val="20"/>
          <w:szCs w:val="20"/>
        </w:rPr>
        <w:t xml:space="preserve"> ISR </w:t>
      </w:r>
      <w:r w:rsidR="004E4DFA">
        <w:rPr>
          <w:rFonts w:cs="Arial"/>
          <w:sz w:val="20"/>
          <w:szCs w:val="20"/>
        </w:rPr>
        <w:t>equals</w:t>
      </w:r>
      <w:r w:rsidR="002E32D8" w:rsidRPr="002E32D8">
        <w:rPr>
          <w:rFonts w:cs="Arial"/>
          <w:sz w:val="20"/>
          <w:szCs w:val="20"/>
        </w:rPr>
        <w:t xml:space="preserve"> 1.0</w:t>
      </w:r>
      <w:r w:rsidRPr="002E32D8">
        <w:rPr>
          <w:rFonts w:cs="Arial"/>
          <w:sz w:val="20"/>
          <w:szCs w:val="20"/>
        </w:rPr>
        <w:t xml:space="preserve"> </w:t>
      </w:r>
    </w:p>
    <w:p w:rsidR="003352A0" w:rsidRPr="002E32D8" w:rsidRDefault="003352A0" w:rsidP="00CC1129">
      <w:pPr>
        <w:ind w:left="720"/>
        <w:rPr>
          <w:rFonts w:cs="Arial"/>
          <w:sz w:val="20"/>
          <w:szCs w:val="20"/>
          <w:highlight w:val="yellow"/>
        </w:rPr>
      </w:pPr>
    </w:p>
    <w:p w:rsidR="00B96C23" w:rsidRDefault="00B96C23" w:rsidP="00B96C23">
      <w:pPr>
        <w:rPr>
          <w:rFonts w:cs="Arial"/>
          <w:b/>
          <w:i/>
        </w:rPr>
      </w:pPr>
      <w:r w:rsidRPr="00C80E3F">
        <w:rPr>
          <w:rFonts w:cs="Arial"/>
          <w:b/>
          <w:i/>
        </w:rPr>
        <w:t>1.4.3.</w:t>
      </w:r>
      <w:r>
        <w:rPr>
          <w:rFonts w:cs="Arial"/>
          <w:b/>
          <w:i/>
        </w:rPr>
        <w:t>3</w:t>
      </w:r>
      <w:r w:rsidRPr="00C80E3F">
        <w:rPr>
          <w:rFonts w:cs="Arial"/>
          <w:b/>
          <w:i/>
        </w:rPr>
        <w:t xml:space="preserve"> </w:t>
      </w:r>
      <w:r w:rsidRPr="00B96C23">
        <w:rPr>
          <w:b/>
          <w:i/>
        </w:rPr>
        <w:t>Evaluation, Measurement and Verification (EM&amp;V) of Residential Behavior-Based</w:t>
      </w:r>
      <w:r w:rsidRPr="00B96C23">
        <w:rPr>
          <w:b/>
        </w:rPr>
        <w:t xml:space="preserve"> </w:t>
      </w:r>
      <w:r w:rsidRPr="00B96C23">
        <w:rPr>
          <w:b/>
          <w:i/>
        </w:rPr>
        <w:t>Energy Efficiency Programs</w:t>
      </w:r>
      <w:r>
        <w:rPr>
          <w:rStyle w:val="EndnoteReference"/>
          <w:rFonts w:cs="Arial"/>
          <w:b/>
          <w:i/>
        </w:rPr>
        <w:endnoteReference w:id="13"/>
      </w:r>
    </w:p>
    <w:p w:rsidR="00B96C23" w:rsidRPr="00436996" w:rsidRDefault="00B96C23" w:rsidP="00B96C23">
      <w:pPr>
        <w:rPr>
          <w:rFonts w:cs="Arial"/>
          <w:b/>
          <w:sz w:val="20"/>
          <w:szCs w:val="20"/>
          <w:highlight w:val="cyan"/>
        </w:rPr>
      </w:pPr>
    </w:p>
    <w:p w:rsidR="00C42D59" w:rsidRPr="00206B80" w:rsidRDefault="00C42D59" w:rsidP="00C42D59">
      <w:pPr>
        <w:pStyle w:val="Default"/>
        <w:rPr>
          <w:rFonts w:ascii="Arial" w:hAnsi="Arial" w:cs="Arial"/>
          <w:sz w:val="20"/>
          <w:szCs w:val="20"/>
        </w:rPr>
      </w:pPr>
      <w:r w:rsidRPr="00436996">
        <w:rPr>
          <w:rFonts w:ascii="Arial" w:hAnsi="Arial" w:cs="Arial"/>
          <w:sz w:val="20"/>
          <w:szCs w:val="20"/>
        </w:rPr>
        <w:t xml:space="preserve">This report provides guidance and recommendations on methodologies that can be used for estimating energy savings </w:t>
      </w:r>
      <w:r w:rsidR="00D914B0" w:rsidRPr="00436996">
        <w:rPr>
          <w:rFonts w:ascii="Arial" w:hAnsi="Arial" w:cs="Arial"/>
          <w:sz w:val="20"/>
          <w:szCs w:val="20"/>
        </w:rPr>
        <w:t xml:space="preserve">and peak demand reduction </w:t>
      </w:r>
      <w:r w:rsidRPr="00436996">
        <w:rPr>
          <w:rFonts w:ascii="Arial" w:hAnsi="Arial" w:cs="Arial"/>
          <w:sz w:val="20"/>
          <w:szCs w:val="20"/>
        </w:rPr>
        <w:t xml:space="preserve">impacts resulting from residential behavior-based efficiency programs. Regulators, program administrators, and stakeholders can have a high degree of confidence in the validity of energy savings </w:t>
      </w:r>
      <w:r w:rsidR="00D914B0" w:rsidRPr="00436996">
        <w:rPr>
          <w:rFonts w:ascii="Arial" w:hAnsi="Arial" w:cs="Arial"/>
          <w:sz w:val="20"/>
          <w:szCs w:val="20"/>
        </w:rPr>
        <w:t xml:space="preserve">and peak demand reduction </w:t>
      </w:r>
      <w:r w:rsidRPr="00436996">
        <w:rPr>
          <w:rFonts w:ascii="Arial" w:hAnsi="Arial" w:cs="Arial"/>
          <w:sz w:val="20"/>
          <w:szCs w:val="20"/>
        </w:rPr>
        <w:t xml:space="preserve">estimates from behavior-based programs if the evaluation methods that are recommended in this report are followed. </w:t>
      </w:r>
    </w:p>
    <w:p w:rsidR="00C42D59" w:rsidRPr="00C01E10" w:rsidRDefault="00C42D59" w:rsidP="00C42D59">
      <w:pPr>
        <w:pStyle w:val="Default"/>
        <w:rPr>
          <w:rFonts w:ascii="Arial" w:hAnsi="Arial" w:cs="Arial"/>
          <w:sz w:val="20"/>
          <w:szCs w:val="20"/>
        </w:rPr>
      </w:pPr>
    </w:p>
    <w:p w:rsidR="00C42D59" w:rsidRPr="00436996" w:rsidRDefault="00C42D59" w:rsidP="00C42D59">
      <w:pPr>
        <w:pStyle w:val="Default"/>
        <w:rPr>
          <w:rFonts w:ascii="Arial" w:hAnsi="Arial" w:cs="Arial"/>
          <w:sz w:val="20"/>
          <w:szCs w:val="20"/>
        </w:rPr>
      </w:pPr>
      <w:r w:rsidRPr="00F0526A">
        <w:rPr>
          <w:rFonts w:ascii="Arial" w:hAnsi="Arial" w:cs="Arial"/>
          <w:sz w:val="20"/>
          <w:szCs w:val="20"/>
        </w:rPr>
        <w:t>The document discusses techniques</w:t>
      </w:r>
      <w:r w:rsidRPr="00436996">
        <w:rPr>
          <w:rFonts w:ascii="Arial" w:hAnsi="Arial" w:cs="Arial"/>
          <w:sz w:val="20"/>
          <w:szCs w:val="20"/>
        </w:rPr>
        <w:t xml:space="preserve"> for ensuring that the estimated savings impacts for a behavior-based energy efficiency program are valid for a given program participant population and a given time frame (the first year[s] of the program); this is commonly referred to as </w:t>
      </w:r>
      <w:r w:rsidRPr="000845B2">
        <w:rPr>
          <w:rFonts w:ascii="Arial" w:hAnsi="Arial" w:cs="Arial"/>
          <w:iCs/>
          <w:sz w:val="20"/>
          <w:szCs w:val="20"/>
        </w:rPr>
        <w:t>internal validity.</w:t>
      </w:r>
      <w:r w:rsidRPr="00436996">
        <w:rPr>
          <w:rFonts w:ascii="Arial" w:hAnsi="Arial" w:cs="Arial"/>
          <w:iCs/>
          <w:sz w:val="20"/>
          <w:szCs w:val="20"/>
        </w:rPr>
        <w:t xml:space="preserve"> </w:t>
      </w:r>
      <w:r w:rsidRPr="00436996">
        <w:rPr>
          <w:rFonts w:ascii="Arial" w:hAnsi="Arial" w:cs="Arial"/>
          <w:sz w:val="20"/>
          <w:szCs w:val="20"/>
        </w:rPr>
        <w:t xml:space="preserve">Methods for ensuring internal validity are well established and are being utilized by several behavior-based programs. </w:t>
      </w:r>
    </w:p>
    <w:p w:rsidR="00C42D59" w:rsidRPr="00436996" w:rsidRDefault="00C42D59" w:rsidP="00C42D59">
      <w:pPr>
        <w:pStyle w:val="Default"/>
        <w:rPr>
          <w:rFonts w:ascii="Arial" w:hAnsi="Arial" w:cs="Arial"/>
          <w:sz w:val="20"/>
          <w:szCs w:val="20"/>
        </w:rPr>
      </w:pPr>
    </w:p>
    <w:p w:rsidR="00C42D59" w:rsidRPr="000845B2" w:rsidRDefault="00C42D59" w:rsidP="00C42D59">
      <w:pPr>
        <w:pStyle w:val="Default"/>
        <w:rPr>
          <w:rFonts w:ascii="Arial" w:hAnsi="Arial" w:cs="Arial"/>
          <w:sz w:val="20"/>
          <w:szCs w:val="20"/>
        </w:rPr>
      </w:pPr>
      <w:r w:rsidRPr="000845B2">
        <w:rPr>
          <w:rFonts w:ascii="Arial" w:hAnsi="Arial" w:cs="Arial"/>
          <w:sz w:val="20"/>
          <w:szCs w:val="20"/>
        </w:rPr>
        <w:t>It</w:t>
      </w:r>
      <w:r w:rsidRPr="00206B80">
        <w:rPr>
          <w:rFonts w:ascii="Arial" w:hAnsi="Arial" w:cs="Arial"/>
          <w:sz w:val="20"/>
          <w:szCs w:val="20"/>
        </w:rPr>
        <w:t xml:space="preserve"> also discusses</w:t>
      </w:r>
      <w:r w:rsidRPr="00B16173">
        <w:rPr>
          <w:rFonts w:ascii="Arial" w:hAnsi="Arial" w:cs="Arial"/>
          <w:sz w:val="20"/>
          <w:szCs w:val="20"/>
        </w:rPr>
        <w:t xml:space="preserve"> </w:t>
      </w:r>
      <w:r w:rsidRPr="00436996">
        <w:rPr>
          <w:rFonts w:ascii="Arial" w:hAnsi="Arial" w:cs="Arial"/>
          <w:sz w:val="20"/>
          <w:szCs w:val="20"/>
        </w:rPr>
        <w:t>several evaluation design and analysis factors that affect the internal validity of the estimated savings impact: the evaluation design, the length of historical data collection, the estimation method, potential evaluator conflicts of interest, and the exclusion of data from households that opt out of a program or close accounts during the study period</w:t>
      </w:r>
      <w:r w:rsidRPr="000845B2">
        <w:rPr>
          <w:rFonts w:ascii="Arial" w:hAnsi="Arial" w:cs="Arial"/>
          <w:sz w:val="20"/>
          <w:szCs w:val="20"/>
        </w:rPr>
        <w:t xml:space="preserve">. </w:t>
      </w:r>
      <w:r w:rsidRPr="00206B80">
        <w:rPr>
          <w:rFonts w:ascii="Arial" w:hAnsi="Arial" w:cs="Arial"/>
          <w:sz w:val="20"/>
          <w:szCs w:val="20"/>
        </w:rPr>
        <w:t>It also discuss</w:t>
      </w:r>
      <w:r w:rsidRPr="00B16173">
        <w:rPr>
          <w:rFonts w:ascii="Arial" w:hAnsi="Arial" w:cs="Arial"/>
          <w:sz w:val="20"/>
          <w:szCs w:val="20"/>
        </w:rPr>
        <w:t xml:space="preserve">es </w:t>
      </w:r>
      <w:r w:rsidRPr="00436996">
        <w:rPr>
          <w:rFonts w:ascii="Arial" w:hAnsi="Arial" w:cs="Arial"/>
          <w:sz w:val="20"/>
          <w:szCs w:val="20"/>
        </w:rPr>
        <w:t xml:space="preserve">methods for avoiding the double counting of energy </w:t>
      </w:r>
      <w:r w:rsidR="00D914B0" w:rsidRPr="00436996">
        <w:rPr>
          <w:rFonts w:ascii="Arial" w:hAnsi="Arial" w:cs="Arial"/>
          <w:sz w:val="20"/>
          <w:szCs w:val="20"/>
        </w:rPr>
        <w:t xml:space="preserve">and peak demand </w:t>
      </w:r>
      <w:r w:rsidRPr="00436996">
        <w:rPr>
          <w:rFonts w:ascii="Arial" w:hAnsi="Arial" w:cs="Arial"/>
          <w:sz w:val="20"/>
          <w:szCs w:val="20"/>
        </w:rPr>
        <w:t xml:space="preserve">savings. </w:t>
      </w:r>
    </w:p>
    <w:p w:rsidR="00C42D59" w:rsidRPr="00C01E10" w:rsidRDefault="00C42D59" w:rsidP="00C42D59">
      <w:pPr>
        <w:rPr>
          <w:rFonts w:cs="Arial"/>
          <w:sz w:val="20"/>
          <w:szCs w:val="20"/>
        </w:rPr>
      </w:pPr>
    </w:p>
    <w:p w:rsidR="00C42D59" w:rsidRPr="000845B2" w:rsidRDefault="00C42D59" w:rsidP="00C42D59">
      <w:pPr>
        <w:rPr>
          <w:rFonts w:cs="Arial"/>
          <w:sz w:val="20"/>
          <w:szCs w:val="20"/>
        </w:rPr>
      </w:pPr>
      <w:r w:rsidRPr="000845B2">
        <w:rPr>
          <w:rFonts w:cs="Arial"/>
          <w:sz w:val="20"/>
          <w:szCs w:val="20"/>
        </w:rPr>
        <w:t xml:space="preserve">The contribution of this document is the derivation and definition of the operative mathematical models underlying this series of program interventions. The models </w:t>
      </w:r>
      <w:r w:rsidR="005760D1">
        <w:rPr>
          <w:rFonts w:cs="Arial"/>
          <w:sz w:val="20"/>
          <w:szCs w:val="20"/>
        </w:rPr>
        <w:t xml:space="preserve">presented </w:t>
      </w:r>
      <w:r w:rsidRPr="000845B2">
        <w:rPr>
          <w:rFonts w:cs="Arial"/>
          <w:sz w:val="20"/>
          <w:szCs w:val="20"/>
        </w:rPr>
        <w:t xml:space="preserve">in Section 2.1 </w:t>
      </w:r>
      <w:r w:rsidR="005760D1">
        <w:rPr>
          <w:rFonts w:cs="Arial"/>
          <w:sz w:val="20"/>
          <w:szCs w:val="20"/>
        </w:rPr>
        <w:t xml:space="preserve">have been </w:t>
      </w:r>
      <w:r w:rsidRPr="000845B2">
        <w:rPr>
          <w:rFonts w:cs="Arial"/>
          <w:sz w:val="20"/>
          <w:szCs w:val="20"/>
        </w:rPr>
        <w:t xml:space="preserve">directly </w:t>
      </w:r>
      <w:r w:rsidR="005760D1">
        <w:rPr>
          <w:rFonts w:cs="Arial"/>
          <w:sz w:val="20"/>
          <w:szCs w:val="20"/>
        </w:rPr>
        <w:t xml:space="preserve">influenced by </w:t>
      </w:r>
      <w:r w:rsidRPr="000845B2">
        <w:rPr>
          <w:rFonts w:cs="Arial"/>
          <w:sz w:val="20"/>
          <w:szCs w:val="20"/>
        </w:rPr>
        <w:t>this work.</w:t>
      </w:r>
    </w:p>
    <w:p w:rsidR="009C5CA7" w:rsidRDefault="001248A3" w:rsidP="002E0043">
      <w:pPr>
        <w:pStyle w:val="Heading2"/>
        <w:keepNext w:val="0"/>
      </w:pPr>
      <w:bookmarkStart w:id="62" w:name="_Toc476228490"/>
      <w:r>
        <w:t>1.</w:t>
      </w:r>
      <w:r w:rsidR="00264B03">
        <w:t xml:space="preserve">4.4 </w:t>
      </w:r>
      <w:r w:rsidR="009C5CA7">
        <w:t xml:space="preserve">Assumptions and </w:t>
      </w:r>
      <w:r w:rsidR="00264B03">
        <w:t>Calculations from other sources</w:t>
      </w:r>
      <w:r w:rsidR="00681D1C">
        <w:t xml:space="preserve"> – </w:t>
      </w:r>
      <w:r w:rsidR="00264B03">
        <w:t>Base and Measure Cases</w:t>
      </w:r>
      <w:bookmarkEnd w:id="58"/>
      <w:bookmarkEnd w:id="59"/>
      <w:bookmarkEnd w:id="60"/>
      <w:bookmarkEnd w:id="62"/>
    </w:p>
    <w:p w:rsidR="00A172E6" w:rsidRDefault="00A172E6" w:rsidP="00A172E6">
      <w:pPr>
        <w:rPr>
          <w:rFonts w:cs="Arial"/>
          <w:sz w:val="20"/>
          <w:szCs w:val="20"/>
        </w:rPr>
      </w:pPr>
      <w:r w:rsidRPr="009F1859">
        <w:rPr>
          <w:rFonts w:cs="Arial"/>
          <w:sz w:val="20"/>
          <w:szCs w:val="20"/>
        </w:rPr>
        <w:t>There are no further data or calculations provided for the support of the measures in this work</w:t>
      </w:r>
      <w:r w:rsidR="00275856" w:rsidRPr="009F1859">
        <w:rPr>
          <w:rFonts w:cs="Arial"/>
          <w:sz w:val="20"/>
          <w:szCs w:val="20"/>
        </w:rPr>
        <w:t xml:space="preserve"> </w:t>
      </w:r>
      <w:r w:rsidRPr="009F1859">
        <w:rPr>
          <w:rFonts w:cs="Arial"/>
          <w:sz w:val="20"/>
          <w:szCs w:val="20"/>
        </w:rPr>
        <w:t>paper.</w:t>
      </w:r>
    </w:p>
    <w:p w:rsidR="00490650" w:rsidRDefault="00490650" w:rsidP="00063FA7">
      <w:pPr>
        <w:rPr>
          <w:rFonts w:cs="Arial"/>
          <w:b/>
          <w:i/>
          <w:sz w:val="28"/>
          <w:szCs w:val="28"/>
        </w:rPr>
      </w:pPr>
    </w:p>
    <w:p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rsidR="001178BE" w:rsidRPr="00137AC7" w:rsidRDefault="00FF4E87" w:rsidP="001C2942">
      <w:pPr>
        <w:pStyle w:val="Reminders"/>
        <w:rPr>
          <w:rFonts w:ascii="Arial" w:hAnsi="Arial" w:cs="Arial"/>
          <w:i w:val="0"/>
          <w:color w:val="auto"/>
          <w:sz w:val="20"/>
          <w:szCs w:val="20"/>
        </w:rPr>
      </w:pPr>
      <w:r w:rsidRPr="00137AC7">
        <w:rPr>
          <w:rFonts w:ascii="Arial" w:hAnsi="Arial" w:cs="Arial"/>
          <w:i w:val="0"/>
          <w:color w:val="auto"/>
          <w:sz w:val="20"/>
          <w:szCs w:val="20"/>
        </w:rPr>
        <w:t xml:space="preserve">We are required </w:t>
      </w:r>
      <w:r w:rsidR="001C2942" w:rsidRPr="00137AC7">
        <w:rPr>
          <w:rFonts w:ascii="Arial" w:hAnsi="Arial" w:cs="Arial"/>
          <w:i w:val="0"/>
          <w:color w:val="auto"/>
          <w:sz w:val="20"/>
          <w:szCs w:val="20"/>
        </w:rPr>
        <w:t>by CPUC decision 06-06-063 dated June 29, 2006</w:t>
      </w:r>
      <w:r w:rsidRPr="00137AC7">
        <w:rPr>
          <w:rFonts w:ascii="Arial" w:hAnsi="Arial" w:cs="Arial"/>
          <w:i w:val="0"/>
          <w:color w:val="auto"/>
          <w:sz w:val="20"/>
          <w:szCs w:val="20"/>
        </w:rPr>
        <w:t xml:space="preserve"> to apply </w:t>
      </w:r>
      <w:r w:rsidR="001C2942" w:rsidRPr="00137AC7">
        <w:rPr>
          <w:rFonts w:ascii="Arial" w:hAnsi="Arial" w:cs="Arial"/>
          <w:i w:val="0"/>
          <w:color w:val="auto"/>
          <w:sz w:val="20"/>
          <w:szCs w:val="20"/>
        </w:rPr>
        <w:t xml:space="preserve">time-of-use (TOU) adjustment factors </w:t>
      </w:r>
      <w:r w:rsidRPr="00137AC7">
        <w:rPr>
          <w:rFonts w:ascii="Arial" w:hAnsi="Arial" w:cs="Arial"/>
          <w:i w:val="0"/>
          <w:color w:val="auto"/>
          <w:sz w:val="20"/>
          <w:szCs w:val="20"/>
        </w:rPr>
        <w:t>on</w:t>
      </w:r>
      <w:r w:rsidR="001C2942" w:rsidRPr="00137AC7">
        <w:rPr>
          <w:rFonts w:ascii="Arial" w:hAnsi="Arial" w:cs="Arial"/>
          <w:i w:val="0"/>
          <w:color w:val="auto"/>
          <w:sz w:val="20"/>
          <w:szCs w:val="20"/>
        </w:rPr>
        <w:t xml:space="preserve"> residential A/C and commercial A/C (packaged and split-system direct-expansion cooling) measures only.</w:t>
      </w:r>
      <w:r w:rsidR="00437BE1" w:rsidRPr="00137AC7">
        <w:rPr>
          <w:rFonts w:ascii="Arial" w:hAnsi="Arial" w:cs="Arial"/>
          <w:i w:val="0"/>
          <w:color w:val="auto"/>
          <w:sz w:val="20"/>
          <w:szCs w:val="20"/>
        </w:rPr>
        <w:t xml:space="preserve"> </w:t>
      </w:r>
      <w:r w:rsidR="001C2942" w:rsidRPr="00137AC7">
        <w:rPr>
          <w:rFonts w:ascii="Arial" w:hAnsi="Arial" w:cs="Arial"/>
          <w:i w:val="0"/>
          <w:color w:val="auto"/>
          <w:sz w:val="20"/>
          <w:szCs w:val="20"/>
        </w:rPr>
        <w:t xml:space="preserve">Since </w:t>
      </w:r>
      <w:r w:rsidR="00AB76DE">
        <w:rPr>
          <w:rFonts w:ascii="Arial" w:hAnsi="Arial" w:cs="Arial"/>
          <w:i w:val="0"/>
          <w:color w:val="auto"/>
          <w:sz w:val="20"/>
          <w:szCs w:val="20"/>
        </w:rPr>
        <w:t xml:space="preserve">HER removes savings attributable to uptake of rebated residential A/C measures, no adjustment is applicable and </w:t>
      </w:r>
      <w:r w:rsidR="001C2942" w:rsidRPr="00137AC7">
        <w:rPr>
          <w:rFonts w:ascii="Arial" w:hAnsi="Arial" w:cs="Arial"/>
          <w:i w:val="0"/>
          <w:color w:val="auto"/>
          <w:sz w:val="20"/>
          <w:szCs w:val="20"/>
        </w:rPr>
        <w:t>the TOU adjustment factor is 0.</w:t>
      </w:r>
      <w:r w:rsidR="00437BE1" w:rsidRPr="00137AC7">
        <w:rPr>
          <w:rFonts w:ascii="Arial" w:hAnsi="Arial" w:cs="Arial"/>
          <w:i w:val="0"/>
          <w:color w:val="auto"/>
          <w:sz w:val="20"/>
          <w:szCs w:val="20"/>
        </w:rPr>
        <w:t xml:space="preserve"> </w:t>
      </w:r>
    </w:p>
    <w:p w:rsidR="001C2942" w:rsidRPr="00137AC7" w:rsidRDefault="001C2942" w:rsidP="001C2942">
      <w:pPr>
        <w:pStyle w:val="Caption"/>
        <w:keepNext/>
        <w:rPr>
          <w:rFonts w:cs="Arial"/>
          <w:b w:val="0"/>
        </w:rPr>
      </w:pPr>
      <w:r w:rsidRPr="00137AC7">
        <w:rPr>
          <w:rFonts w:cs="Arial"/>
          <w:b w:val="0"/>
        </w:rPr>
        <w:t xml:space="preserve">The specific values and results are summarized </w:t>
      </w:r>
      <w:r w:rsidR="007D0CA5">
        <w:rPr>
          <w:rFonts w:cs="Arial"/>
          <w:b w:val="0"/>
        </w:rPr>
        <w:t>below:</w:t>
      </w:r>
    </w:p>
    <w:p w:rsidR="001C2942" w:rsidRPr="00137AC7" w:rsidRDefault="001C2942" w:rsidP="001C2942">
      <w:pPr>
        <w:pStyle w:val="Caption"/>
        <w:keepNext/>
        <w:jc w:val="center"/>
        <w:rPr>
          <w:rFonts w:cs="Arial"/>
        </w:rPr>
      </w:pPr>
      <w:bookmarkStart w:id="63" w:name="_Ref242757962"/>
      <w:bookmarkStart w:id="64" w:name="_Ref474164353"/>
      <w:bookmarkStart w:id="65" w:name="_Toc476228509"/>
      <w:r w:rsidRPr="00137AC7">
        <w:rPr>
          <w:rFonts w:cs="Arial"/>
        </w:rPr>
        <w:t xml:space="preserve">Table </w:t>
      </w:r>
      <w:r w:rsidRPr="00FA0BF0">
        <w:rPr>
          <w:rFonts w:cs="Arial"/>
        </w:rPr>
        <w:fldChar w:fldCharType="begin"/>
      </w:r>
      <w:r w:rsidRPr="00120191">
        <w:rPr>
          <w:rFonts w:cs="Arial"/>
        </w:rPr>
        <w:instrText xml:space="preserve"> SEQ Table \* ARABIC </w:instrText>
      </w:r>
      <w:r w:rsidRPr="00FA0BF0">
        <w:rPr>
          <w:rFonts w:cs="Arial"/>
        </w:rPr>
        <w:fldChar w:fldCharType="separate"/>
      </w:r>
      <w:r w:rsidR="00992DF9">
        <w:rPr>
          <w:rFonts w:cs="Arial"/>
          <w:noProof/>
        </w:rPr>
        <w:t>4</w:t>
      </w:r>
      <w:r w:rsidRPr="00FA0BF0">
        <w:rPr>
          <w:rFonts w:cs="Arial"/>
        </w:rPr>
        <w:fldChar w:fldCharType="end"/>
      </w:r>
      <w:bookmarkEnd w:id="63"/>
      <w:bookmarkEnd w:id="64"/>
      <w:r w:rsidR="00437BE1" w:rsidRPr="00137AC7">
        <w:rPr>
          <w:rFonts w:cs="Arial"/>
        </w:rPr>
        <w:t xml:space="preserve"> </w:t>
      </w:r>
      <w:r w:rsidRPr="00137AC7">
        <w:rPr>
          <w:rFonts w:cs="Arial"/>
        </w:rPr>
        <w:t>TOU Adjustment Factors</w:t>
      </w:r>
      <w:bookmarkEnd w:id="65"/>
    </w:p>
    <w:tbl>
      <w:tblPr>
        <w:tblW w:w="4944"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9"/>
        <w:gridCol w:w="1348"/>
        <w:gridCol w:w="2566"/>
        <w:gridCol w:w="2566"/>
      </w:tblGrid>
      <w:tr w:rsidR="009B1863" w:rsidRPr="00137AC7" w:rsidTr="001E4C31">
        <w:tc>
          <w:tcPr>
            <w:tcW w:w="1578" w:type="pct"/>
            <w:shd w:val="clear" w:color="auto" w:fill="262626"/>
            <w:vAlign w:val="bottom"/>
          </w:tcPr>
          <w:p w:rsidR="001C2942" w:rsidRPr="00137AC7" w:rsidRDefault="001C2942" w:rsidP="001E4C31">
            <w:pPr>
              <w:keepLines/>
              <w:jc w:val="center"/>
              <w:rPr>
                <w:rFonts w:cs="Arial"/>
                <w:b/>
                <w:bCs/>
                <w:color w:val="F2F2F2"/>
                <w:sz w:val="20"/>
                <w:szCs w:val="20"/>
              </w:rPr>
            </w:pPr>
            <w:r w:rsidRPr="00137AC7">
              <w:rPr>
                <w:rFonts w:cs="Arial"/>
                <w:b/>
                <w:bCs/>
                <w:color w:val="F2F2F2"/>
                <w:sz w:val="20"/>
                <w:szCs w:val="20"/>
              </w:rPr>
              <w:t>Measure</w:t>
            </w:r>
          </w:p>
        </w:tc>
        <w:tc>
          <w:tcPr>
            <w:tcW w:w="712" w:type="pct"/>
            <w:shd w:val="clear" w:color="auto" w:fill="262626"/>
            <w:vAlign w:val="bottom"/>
          </w:tcPr>
          <w:p w:rsidR="001C2942" w:rsidRPr="00137AC7" w:rsidRDefault="001C2942" w:rsidP="001E4C31">
            <w:pPr>
              <w:keepLines/>
              <w:jc w:val="center"/>
              <w:rPr>
                <w:rFonts w:cs="Arial"/>
                <w:b/>
                <w:bCs/>
                <w:color w:val="F2F2F2"/>
                <w:sz w:val="20"/>
                <w:szCs w:val="20"/>
              </w:rPr>
            </w:pPr>
            <w:r w:rsidRPr="00137AC7">
              <w:rPr>
                <w:rFonts w:cs="Arial"/>
                <w:b/>
                <w:bCs/>
                <w:i/>
                <w:color w:val="F2F2F2"/>
                <w:sz w:val="20"/>
                <w:szCs w:val="20"/>
              </w:rPr>
              <w:t>kW</w:t>
            </w:r>
            <w:r w:rsidRPr="00137AC7">
              <w:rPr>
                <w:rFonts w:cs="Arial"/>
                <w:b/>
                <w:bCs/>
                <w:i/>
                <w:color w:val="F2F2F2"/>
                <w:sz w:val="20"/>
                <w:szCs w:val="20"/>
                <w:vertAlign w:val="subscript"/>
              </w:rPr>
              <w:t>AC</w:t>
            </w:r>
          </w:p>
        </w:tc>
        <w:tc>
          <w:tcPr>
            <w:tcW w:w="1355" w:type="pct"/>
            <w:shd w:val="clear" w:color="auto" w:fill="262626"/>
            <w:vAlign w:val="bottom"/>
          </w:tcPr>
          <w:p w:rsidR="001C2942" w:rsidRPr="00137AC7" w:rsidRDefault="001C2942" w:rsidP="001E4C31">
            <w:pPr>
              <w:keepLines/>
              <w:jc w:val="center"/>
              <w:rPr>
                <w:rFonts w:cs="Arial"/>
                <w:b/>
                <w:bCs/>
                <w:color w:val="F2F2F2"/>
                <w:sz w:val="20"/>
                <w:szCs w:val="20"/>
              </w:rPr>
            </w:pPr>
            <w:r w:rsidRPr="00137AC7">
              <w:rPr>
                <w:rFonts w:cs="Arial"/>
                <w:b/>
                <w:bCs/>
                <w:i/>
                <w:color w:val="F2F2F2"/>
                <w:sz w:val="20"/>
                <w:szCs w:val="20"/>
              </w:rPr>
              <w:t>kW</w:t>
            </w:r>
            <w:r w:rsidRPr="00137AC7">
              <w:rPr>
                <w:rFonts w:cs="Arial"/>
                <w:b/>
                <w:bCs/>
                <w:i/>
                <w:color w:val="F2F2F2"/>
                <w:sz w:val="20"/>
                <w:szCs w:val="20"/>
                <w:vertAlign w:val="subscript"/>
              </w:rPr>
              <w:t>Total</w:t>
            </w:r>
          </w:p>
        </w:tc>
        <w:tc>
          <w:tcPr>
            <w:tcW w:w="1355" w:type="pct"/>
            <w:shd w:val="clear" w:color="auto" w:fill="262626"/>
            <w:vAlign w:val="bottom"/>
          </w:tcPr>
          <w:p w:rsidR="001C2942" w:rsidRPr="00137AC7" w:rsidRDefault="001C2942" w:rsidP="001E4C31">
            <w:pPr>
              <w:keepLines/>
              <w:jc w:val="center"/>
              <w:rPr>
                <w:rFonts w:cs="Arial"/>
                <w:b/>
                <w:bCs/>
                <w:color w:val="F2F2F2"/>
                <w:sz w:val="20"/>
                <w:szCs w:val="20"/>
              </w:rPr>
            </w:pPr>
            <w:r w:rsidRPr="00137AC7">
              <w:rPr>
                <w:rFonts w:cs="Arial"/>
                <w:b/>
                <w:bCs/>
                <w:color w:val="F2F2F2"/>
                <w:sz w:val="20"/>
                <w:szCs w:val="20"/>
              </w:rPr>
              <w:t>%</w:t>
            </w:r>
          </w:p>
        </w:tc>
      </w:tr>
      <w:tr w:rsidR="001C2942" w:rsidRPr="00EB43BA" w:rsidTr="001E4C31">
        <w:tc>
          <w:tcPr>
            <w:tcW w:w="1578" w:type="pct"/>
            <w:shd w:val="pct5" w:color="000000" w:fill="FFFFFF"/>
            <w:vAlign w:val="bottom"/>
          </w:tcPr>
          <w:p w:rsidR="001C2942" w:rsidRPr="00137AC7" w:rsidRDefault="001178BE" w:rsidP="001E4C31">
            <w:pPr>
              <w:jc w:val="center"/>
              <w:rPr>
                <w:rFonts w:cs="Arial"/>
                <w:sz w:val="20"/>
                <w:szCs w:val="20"/>
              </w:rPr>
            </w:pPr>
            <w:r w:rsidRPr="00137AC7">
              <w:rPr>
                <w:rFonts w:cs="Arial"/>
                <w:sz w:val="20"/>
                <w:szCs w:val="20"/>
              </w:rPr>
              <w:t>AC unit etc.</w:t>
            </w:r>
          </w:p>
        </w:tc>
        <w:tc>
          <w:tcPr>
            <w:tcW w:w="712" w:type="pct"/>
            <w:shd w:val="pct5" w:color="000000" w:fill="FFFFFF"/>
            <w:vAlign w:val="bottom"/>
          </w:tcPr>
          <w:p w:rsidR="001C2942" w:rsidRPr="00137AC7" w:rsidRDefault="001C2942" w:rsidP="001E4C31">
            <w:pPr>
              <w:jc w:val="center"/>
              <w:rPr>
                <w:rFonts w:cs="Arial"/>
                <w:sz w:val="20"/>
                <w:szCs w:val="20"/>
              </w:rPr>
            </w:pPr>
            <w:r w:rsidRPr="00137AC7">
              <w:rPr>
                <w:rFonts w:cs="Arial"/>
                <w:sz w:val="20"/>
                <w:szCs w:val="20"/>
              </w:rPr>
              <w:t>0</w:t>
            </w:r>
          </w:p>
        </w:tc>
        <w:tc>
          <w:tcPr>
            <w:tcW w:w="1355" w:type="pct"/>
            <w:shd w:val="pct5" w:color="000000" w:fill="FFFFFF"/>
            <w:vAlign w:val="bottom"/>
          </w:tcPr>
          <w:p w:rsidR="001C2942" w:rsidRPr="00137AC7" w:rsidRDefault="001C2942" w:rsidP="001E4C31">
            <w:pPr>
              <w:jc w:val="center"/>
              <w:rPr>
                <w:rFonts w:cs="Arial"/>
                <w:sz w:val="20"/>
                <w:szCs w:val="20"/>
              </w:rPr>
            </w:pPr>
            <w:r w:rsidRPr="00137AC7">
              <w:rPr>
                <w:rFonts w:cs="Arial"/>
                <w:sz w:val="20"/>
                <w:szCs w:val="20"/>
              </w:rPr>
              <w:t>0</w:t>
            </w:r>
          </w:p>
        </w:tc>
        <w:tc>
          <w:tcPr>
            <w:tcW w:w="1355" w:type="pct"/>
            <w:shd w:val="pct5" w:color="000000" w:fill="FFFFFF"/>
            <w:vAlign w:val="bottom"/>
          </w:tcPr>
          <w:p w:rsidR="001C2942" w:rsidRPr="00137AC7" w:rsidRDefault="001C2942" w:rsidP="001E4C31">
            <w:pPr>
              <w:jc w:val="center"/>
              <w:rPr>
                <w:rFonts w:cs="Arial"/>
                <w:sz w:val="20"/>
                <w:szCs w:val="20"/>
              </w:rPr>
            </w:pPr>
            <w:r w:rsidRPr="00137AC7">
              <w:rPr>
                <w:rFonts w:cs="Arial"/>
                <w:sz w:val="20"/>
                <w:szCs w:val="20"/>
              </w:rPr>
              <w:t>0</w:t>
            </w:r>
          </w:p>
        </w:tc>
      </w:tr>
    </w:tbl>
    <w:p w:rsidR="001C2942" w:rsidRDefault="001C2942" w:rsidP="00A02F0A"/>
    <w:p w:rsidR="003E16E4" w:rsidRDefault="003E16E4" w:rsidP="00A02F0A"/>
    <w:p w:rsidR="003E16E4" w:rsidRDefault="003E16E4" w:rsidP="00A02F0A"/>
    <w:p w:rsidR="003E16E4" w:rsidRDefault="003E16E4" w:rsidP="00A02F0A"/>
    <w:p w:rsidR="003E16E4" w:rsidRDefault="003E16E4" w:rsidP="00A02F0A"/>
    <w:p w:rsidR="003E16E4" w:rsidRDefault="003E16E4" w:rsidP="00A02F0A"/>
    <w:p w:rsidR="003E16E4" w:rsidRDefault="003E16E4" w:rsidP="00A02F0A"/>
    <w:p w:rsidR="003E16E4" w:rsidRDefault="003E16E4" w:rsidP="00A02F0A"/>
    <w:p w:rsidR="003E16E4" w:rsidRDefault="003E16E4" w:rsidP="00A02F0A"/>
    <w:p w:rsidR="003E16E4" w:rsidRDefault="001248A3" w:rsidP="003E16E4">
      <w:pPr>
        <w:pStyle w:val="Heading2"/>
        <w:keepNext w:val="0"/>
      </w:pPr>
      <w:bookmarkStart w:id="66" w:name="_Toc304800209"/>
      <w:r w:rsidRPr="00EA38B4">
        <w:lastRenderedPageBreak/>
        <w:t>1.</w:t>
      </w:r>
      <w:r w:rsidR="00264B03" w:rsidRPr="00EA38B4">
        <w:t>5</w:t>
      </w:r>
      <w:r w:rsidRPr="00EA38B4">
        <w:t xml:space="preserve"> </w:t>
      </w:r>
      <w:r w:rsidR="00FA595F" w:rsidRPr="00EA38B4">
        <w:t>Summary of Inputs for Savings Calculations</w:t>
      </w:r>
      <w:bookmarkEnd w:id="66"/>
      <w:r w:rsidR="00814500" w:rsidRPr="00EA38B4">
        <w:t xml:space="preserve"> </w:t>
      </w:r>
    </w:p>
    <w:p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rsidR="001A3026" w:rsidRPr="00ED4EC4" w:rsidRDefault="001A3026" w:rsidP="001178BE">
      <w:pPr>
        <w:keepNext/>
        <w:rPr>
          <w:rFonts w:cs="Arial"/>
          <w:b/>
          <w:sz w:val="20"/>
          <w:szCs w:val="20"/>
        </w:rPr>
      </w:pP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rsidTr="001E4C31">
        <w:tc>
          <w:tcPr>
            <w:tcW w:w="1772"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399"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473"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C10325" w:rsidRPr="00783DAC" w:rsidTr="003A69E4">
        <w:tc>
          <w:tcPr>
            <w:tcW w:w="1772" w:type="dxa"/>
            <w:shd w:val="pct5" w:color="000000" w:fill="FFFFFF"/>
            <w:vAlign w:val="center"/>
          </w:tcPr>
          <w:p w:rsidR="00C10325" w:rsidRPr="001E4C31" w:rsidRDefault="00C10325" w:rsidP="009A23B0">
            <w:pPr>
              <w:keepNext/>
              <w:jc w:val="center"/>
              <w:rPr>
                <w:rFonts w:cs="Arial"/>
                <w:b/>
                <w:sz w:val="20"/>
                <w:szCs w:val="20"/>
              </w:rPr>
            </w:pPr>
            <w:r w:rsidRPr="001E4C31">
              <w:rPr>
                <w:rFonts w:cs="Arial"/>
                <w:b/>
                <w:sz w:val="20"/>
                <w:szCs w:val="20"/>
              </w:rPr>
              <w:t>Electric Savings</w:t>
            </w:r>
          </w:p>
        </w:tc>
        <w:tc>
          <w:tcPr>
            <w:tcW w:w="1735" w:type="dxa"/>
            <w:shd w:val="pct5" w:color="000000" w:fill="FFFFFF"/>
            <w:vAlign w:val="center"/>
          </w:tcPr>
          <w:p w:rsidR="00C10325" w:rsidRPr="00137AC7" w:rsidRDefault="00C10325">
            <w:pPr>
              <w:keepNext/>
              <w:jc w:val="center"/>
              <w:rPr>
                <w:rFonts w:cs="Arial"/>
                <w:sz w:val="20"/>
                <w:szCs w:val="20"/>
              </w:rPr>
            </w:pPr>
            <w:r w:rsidRPr="00137AC7">
              <w:rPr>
                <w:rFonts w:cs="Arial"/>
                <w:sz w:val="20"/>
                <w:szCs w:val="20"/>
              </w:rPr>
              <w:t>SFm only</w:t>
            </w:r>
          </w:p>
        </w:tc>
        <w:tc>
          <w:tcPr>
            <w:tcW w:w="1461" w:type="dxa"/>
            <w:shd w:val="pct5" w:color="000000" w:fill="FFFFFF"/>
            <w:vAlign w:val="center"/>
          </w:tcPr>
          <w:p w:rsidR="00C10325" w:rsidRPr="00137AC7" w:rsidRDefault="00C10325">
            <w:pPr>
              <w:keepNext/>
              <w:jc w:val="center"/>
              <w:rPr>
                <w:rFonts w:cs="Arial"/>
                <w:sz w:val="20"/>
                <w:szCs w:val="20"/>
              </w:rPr>
            </w:pPr>
            <w:r w:rsidRPr="00137AC7">
              <w:rPr>
                <w:rFonts w:cs="Arial"/>
                <w:sz w:val="20"/>
                <w:szCs w:val="20"/>
              </w:rPr>
              <w:t>N/A</w:t>
            </w:r>
          </w:p>
        </w:tc>
        <w:tc>
          <w:tcPr>
            <w:tcW w:w="1399" w:type="dxa"/>
            <w:shd w:val="pct5" w:color="000000" w:fill="FFFFFF"/>
            <w:vAlign w:val="center"/>
          </w:tcPr>
          <w:p w:rsidR="00C10325" w:rsidRPr="00137AC7" w:rsidRDefault="00C10325">
            <w:pPr>
              <w:keepNext/>
              <w:jc w:val="center"/>
              <w:rPr>
                <w:rFonts w:cs="Arial"/>
                <w:i/>
                <w:sz w:val="20"/>
                <w:szCs w:val="20"/>
              </w:rPr>
            </w:pPr>
            <w:r w:rsidRPr="00137AC7">
              <w:rPr>
                <w:rFonts w:cs="Arial"/>
                <w:sz w:val="20"/>
                <w:szCs w:val="20"/>
              </w:rPr>
              <w:t>N/A</w:t>
            </w:r>
          </w:p>
        </w:tc>
        <w:tc>
          <w:tcPr>
            <w:tcW w:w="1473" w:type="dxa"/>
            <w:shd w:val="pct5" w:color="000000" w:fill="FFFFFF"/>
            <w:vAlign w:val="center"/>
          </w:tcPr>
          <w:p w:rsidR="00C10325" w:rsidRPr="00137AC7" w:rsidRDefault="00025EBE">
            <w:pPr>
              <w:keepNext/>
              <w:jc w:val="center"/>
              <w:rPr>
                <w:rFonts w:cs="Arial"/>
                <w:i/>
                <w:sz w:val="20"/>
                <w:szCs w:val="20"/>
              </w:rPr>
            </w:pPr>
            <w:r w:rsidRPr="00137AC7">
              <w:rPr>
                <w:rFonts w:cs="Arial"/>
                <w:i/>
                <w:sz w:val="20"/>
                <w:szCs w:val="20"/>
              </w:rPr>
              <w:t>ex post</w:t>
            </w:r>
          </w:p>
        </w:tc>
        <w:tc>
          <w:tcPr>
            <w:tcW w:w="1736" w:type="dxa"/>
            <w:shd w:val="pct5" w:color="000000" w:fill="FFFFFF"/>
            <w:vAlign w:val="center"/>
          </w:tcPr>
          <w:p w:rsidR="00C10325" w:rsidRPr="00137AC7" w:rsidRDefault="00C10325" w:rsidP="00B1289B">
            <w:pPr>
              <w:keepNext/>
              <w:jc w:val="center"/>
              <w:rPr>
                <w:rFonts w:cs="Arial"/>
                <w:i/>
                <w:sz w:val="20"/>
                <w:szCs w:val="20"/>
              </w:rPr>
            </w:pPr>
            <w:r w:rsidRPr="00137AC7">
              <w:rPr>
                <w:rFonts w:cs="Arial"/>
                <w:i/>
                <w:sz w:val="20"/>
                <w:szCs w:val="20"/>
              </w:rPr>
              <w:t>Section 1.4.3.</w:t>
            </w:r>
            <w:r w:rsidR="00B1289B">
              <w:rPr>
                <w:rFonts w:cs="Arial"/>
                <w:i/>
                <w:sz w:val="20"/>
                <w:szCs w:val="20"/>
              </w:rPr>
              <w:t>2</w:t>
            </w:r>
          </w:p>
        </w:tc>
      </w:tr>
      <w:tr w:rsidR="00B1289B" w:rsidRPr="00783DAC" w:rsidTr="003A69E4">
        <w:tc>
          <w:tcPr>
            <w:tcW w:w="1772" w:type="dxa"/>
            <w:shd w:val="pct20" w:color="000000" w:fill="FFFFFF"/>
            <w:vAlign w:val="center"/>
          </w:tcPr>
          <w:p w:rsidR="00B1289B" w:rsidRPr="001E4C31" w:rsidRDefault="00B1289B" w:rsidP="009A23B0">
            <w:pPr>
              <w:keepNext/>
              <w:jc w:val="center"/>
              <w:rPr>
                <w:rFonts w:cs="Arial"/>
                <w:b/>
                <w:sz w:val="20"/>
                <w:szCs w:val="20"/>
              </w:rPr>
            </w:pPr>
            <w:r w:rsidRPr="001E4C31">
              <w:rPr>
                <w:rFonts w:cs="Arial"/>
                <w:b/>
                <w:sz w:val="20"/>
                <w:szCs w:val="20"/>
              </w:rPr>
              <w:t>Gas Savings</w:t>
            </w:r>
          </w:p>
        </w:tc>
        <w:tc>
          <w:tcPr>
            <w:tcW w:w="1735" w:type="dxa"/>
            <w:shd w:val="pct20" w:color="000000" w:fill="FFFFFF"/>
            <w:vAlign w:val="center"/>
          </w:tcPr>
          <w:p w:rsidR="00B1289B" w:rsidRPr="00137AC7" w:rsidRDefault="00B1289B">
            <w:pPr>
              <w:keepNext/>
              <w:jc w:val="center"/>
              <w:rPr>
                <w:rFonts w:cs="Arial"/>
                <w:sz w:val="20"/>
                <w:szCs w:val="20"/>
              </w:rPr>
            </w:pPr>
            <w:r w:rsidRPr="00137AC7">
              <w:rPr>
                <w:rFonts w:cs="Arial"/>
                <w:sz w:val="20"/>
                <w:szCs w:val="20"/>
              </w:rPr>
              <w:t>SFm only</w:t>
            </w:r>
          </w:p>
        </w:tc>
        <w:tc>
          <w:tcPr>
            <w:tcW w:w="1461" w:type="dxa"/>
            <w:shd w:val="pct20" w:color="000000" w:fill="FFFFFF"/>
            <w:vAlign w:val="center"/>
          </w:tcPr>
          <w:p w:rsidR="00B1289B" w:rsidRPr="00137AC7" w:rsidRDefault="00B1289B">
            <w:pPr>
              <w:keepNext/>
              <w:jc w:val="center"/>
              <w:rPr>
                <w:rFonts w:cs="Arial"/>
                <w:sz w:val="20"/>
                <w:szCs w:val="20"/>
              </w:rPr>
            </w:pPr>
            <w:r w:rsidRPr="00137AC7">
              <w:rPr>
                <w:rFonts w:cs="Arial"/>
                <w:sz w:val="20"/>
                <w:szCs w:val="20"/>
              </w:rPr>
              <w:t>N/A</w:t>
            </w:r>
          </w:p>
        </w:tc>
        <w:tc>
          <w:tcPr>
            <w:tcW w:w="1399" w:type="dxa"/>
            <w:shd w:val="pct20" w:color="000000" w:fill="FFFFFF"/>
            <w:vAlign w:val="center"/>
          </w:tcPr>
          <w:p w:rsidR="00B1289B" w:rsidRPr="00137AC7" w:rsidRDefault="00B1289B">
            <w:pPr>
              <w:keepNext/>
              <w:jc w:val="center"/>
              <w:rPr>
                <w:rFonts w:cs="Arial"/>
                <w:sz w:val="20"/>
                <w:szCs w:val="20"/>
              </w:rPr>
            </w:pPr>
            <w:r w:rsidRPr="00137AC7">
              <w:rPr>
                <w:rFonts w:cs="Arial"/>
                <w:sz w:val="20"/>
                <w:szCs w:val="20"/>
              </w:rPr>
              <w:t>N/A</w:t>
            </w:r>
          </w:p>
        </w:tc>
        <w:tc>
          <w:tcPr>
            <w:tcW w:w="1473" w:type="dxa"/>
            <w:shd w:val="pct20" w:color="000000" w:fill="FFFFFF"/>
            <w:vAlign w:val="center"/>
          </w:tcPr>
          <w:p w:rsidR="00B1289B" w:rsidRPr="00137AC7" w:rsidRDefault="00B1289B">
            <w:pPr>
              <w:keepNext/>
              <w:jc w:val="center"/>
              <w:rPr>
                <w:rFonts w:cs="Arial"/>
                <w:sz w:val="20"/>
                <w:szCs w:val="20"/>
              </w:rPr>
            </w:pPr>
            <w:r w:rsidRPr="00137AC7">
              <w:rPr>
                <w:rFonts w:cs="Arial"/>
                <w:i/>
                <w:sz w:val="20"/>
                <w:szCs w:val="20"/>
              </w:rPr>
              <w:t>ex post</w:t>
            </w:r>
          </w:p>
        </w:tc>
        <w:tc>
          <w:tcPr>
            <w:tcW w:w="1736" w:type="dxa"/>
            <w:shd w:val="pct20" w:color="000000" w:fill="FFFFFF"/>
            <w:vAlign w:val="center"/>
          </w:tcPr>
          <w:p w:rsidR="00B1289B" w:rsidRPr="00137AC7" w:rsidRDefault="00B1289B" w:rsidP="00B1289B">
            <w:pPr>
              <w:keepNext/>
              <w:jc w:val="center"/>
              <w:rPr>
                <w:rFonts w:cs="Arial"/>
                <w:sz w:val="20"/>
                <w:szCs w:val="20"/>
              </w:rPr>
            </w:pPr>
            <w:r w:rsidRPr="00137AC7">
              <w:rPr>
                <w:rFonts w:cs="Arial"/>
                <w:i/>
                <w:sz w:val="20"/>
                <w:szCs w:val="20"/>
              </w:rPr>
              <w:t>Section 1.4.3.</w:t>
            </w:r>
            <w:r>
              <w:rPr>
                <w:rFonts w:cs="Arial"/>
                <w:i/>
                <w:sz w:val="20"/>
                <w:szCs w:val="20"/>
              </w:rPr>
              <w:t>2</w:t>
            </w:r>
          </w:p>
        </w:tc>
      </w:tr>
      <w:tr w:rsidR="00B1289B" w:rsidRPr="00783DAC" w:rsidTr="003A69E4">
        <w:tc>
          <w:tcPr>
            <w:tcW w:w="1772" w:type="dxa"/>
            <w:shd w:val="clear" w:color="auto" w:fill="F2F2F2" w:themeFill="background1" w:themeFillShade="F2"/>
            <w:vAlign w:val="center"/>
          </w:tcPr>
          <w:p w:rsidR="00B1289B" w:rsidRPr="001E4C31" w:rsidRDefault="00B1289B" w:rsidP="009A23B0">
            <w:pPr>
              <w:keepNext/>
              <w:jc w:val="center"/>
              <w:rPr>
                <w:rFonts w:cs="Arial"/>
                <w:b/>
                <w:sz w:val="20"/>
                <w:szCs w:val="20"/>
              </w:rPr>
            </w:pPr>
            <w:r>
              <w:rPr>
                <w:rFonts w:cs="Arial"/>
                <w:b/>
                <w:sz w:val="20"/>
                <w:szCs w:val="20"/>
              </w:rPr>
              <w:t>Peak Demand Savings</w:t>
            </w:r>
          </w:p>
        </w:tc>
        <w:tc>
          <w:tcPr>
            <w:tcW w:w="1735" w:type="dxa"/>
            <w:shd w:val="clear" w:color="auto" w:fill="F2F2F2" w:themeFill="background1" w:themeFillShade="F2"/>
            <w:vAlign w:val="center"/>
          </w:tcPr>
          <w:p w:rsidR="00B1289B" w:rsidRPr="00137AC7" w:rsidRDefault="00B1289B">
            <w:pPr>
              <w:keepNext/>
              <w:jc w:val="center"/>
              <w:rPr>
                <w:rFonts w:cs="Arial"/>
                <w:sz w:val="20"/>
                <w:szCs w:val="20"/>
              </w:rPr>
            </w:pPr>
            <w:r w:rsidRPr="00137AC7">
              <w:rPr>
                <w:rFonts w:cs="Arial"/>
                <w:sz w:val="20"/>
                <w:szCs w:val="20"/>
              </w:rPr>
              <w:t>SFm only</w:t>
            </w:r>
          </w:p>
        </w:tc>
        <w:tc>
          <w:tcPr>
            <w:tcW w:w="1461" w:type="dxa"/>
            <w:shd w:val="clear" w:color="auto" w:fill="F2F2F2" w:themeFill="background1" w:themeFillShade="F2"/>
            <w:vAlign w:val="center"/>
          </w:tcPr>
          <w:p w:rsidR="00B1289B" w:rsidRPr="00137AC7" w:rsidRDefault="00B1289B">
            <w:pPr>
              <w:keepNext/>
              <w:jc w:val="center"/>
              <w:rPr>
                <w:rFonts w:cs="Arial"/>
                <w:sz w:val="20"/>
                <w:szCs w:val="20"/>
              </w:rPr>
            </w:pPr>
            <w:r w:rsidRPr="00137AC7">
              <w:rPr>
                <w:rFonts w:cs="Arial"/>
                <w:sz w:val="20"/>
                <w:szCs w:val="20"/>
              </w:rPr>
              <w:t>N/A</w:t>
            </w:r>
          </w:p>
        </w:tc>
        <w:tc>
          <w:tcPr>
            <w:tcW w:w="1399" w:type="dxa"/>
            <w:shd w:val="clear" w:color="auto" w:fill="F2F2F2" w:themeFill="background1" w:themeFillShade="F2"/>
            <w:vAlign w:val="center"/>
          </w:tcPr>
          <w:p w:rsidR="00B1289B" w:rsidRPr="00137AC7" w:rsidRDefault="00B1289B">
            <w:pPr>
              <w:keepNext/>
              <w:jc w:val="center"/>
              <w:rPr>
                <w:rFonts w:cs="Arial"/>
                <w:sz w:val="20"/>
                <w:szCs w:val="20"/>
              </w:rPr>
            </w:pPr>
            <w:r w:rsidRPr="00137AC7">
              <w:rPr>
                <w:rFonts w:cs="Arial"/>
                <w:sz w:val="20"/>
                <w:szCs w:val="20"/>
              </w:rPr>
              <w:t>N/A</w:t>
            </w:r>
          </w:p>
        </w:tc>
        <w:tc>
          <w:tcPr>
            <w:tcW w:w="1473" w:type="dxa"/>
            <w:shd w:val="clear" w:color="auto" w:fill="F2F2F2" w:themeFill="background1" w:themeFillShade="F2"/>
            <w:vAlign w:val="center"/>
          </w:tcPr>
          <w:p w:rsidR="00B1289B" w:rsidRPr="00137AC7" w:rsidRDefault="00B1289B">
            <w:pPr>
              <w:keepNext/>
              <w:jc w:val="center"/>
              <w:rPr>
                <w:rFonts w:cs="Arial"/>
                <w:i/>
                <w:sz w:val="20"/>
                <w:szCs w:val="20"/>
              </w:rPr>
            </w:pPr>
            <w:r w:rsidRPr="00137AC7">
              <w:rPr>
                <w:rFonts w:cs="Arial"/>
                <w:i/>
                <w:sz w:val="20"/>
                <w:szCs w:val="20"/>
              </w:rPr>
              <w:t>ex post</w:t>
            </w:r>
          </w:p>
        </w:tc>
        <w:tc>
          <w:tcPr>
            <w:tcW w:w="1736" w:type="dxa"/>
            <w:shd w:val="clear" w:color="auto" w:fill="F2F2F2" w:themeFill="background1" w:themeFillShade="F2"/>
            <w:vAlign w:val="center"/>
          </w:tcPr>
          <w:p w:rsidR="00B1289B" w:rsidRPr="00137AC7" w:rsidRDefault="00B1289B">
            <w:pPr>
              <w:keepNext/>
              <w:jc w:val="center"/>
              <w:rPr>
                <w:rFonts w:cs="Arial"/>
                <w:i/>
                <w:sz w:val="20"/>
                <w:szCs w:val="20"/>
              </w:rPr>
            </w:pPr>
            <w:r w:rsidRPr="00137AC7">
              <w:rPr>
                <w:rFonts w:cs="Arial"/>
                <w:i/>
                <w:sz w:val="20"/>
                <w:szCs w:val="20"/>
              </w:rPr>
              <w:t>Section 1.4.3.</w:t>
            </w:r>
            <w:r>
              <w:rPr>
                <w:rFonts w:cs="Arial"/>
                <w:i/>
                <w:sz w:val="20"/>
                <w:szCs w:val="20"/>
              </w:rPr>
              <w:t>2</w:t>
            </w:r>
          </w:p>
        </w:tc>
      </w:tr>
      <w:tr w:rsidR="00B1289B" w:rsidRPr="00783DAC" w:rsidTr="003A69E4">
        <w:tc>
          <w:tcPr>
            <w:tcW w:w="1772" w:type="dxa"/>
            <w:shd w:val="clear" w:color="auto" w:fill="D9D9D9" w:themeFill="background1" w:themeFillShade="D9"/>
            <w:vAlign w:val="center"/>
          </w:tcPr>
          <w:p w:rsidR="00B1289B" w:rsidRPr="001E4C31" w:rsidRDefault="00B1289B" w:rsidP="009A23B0">
            <w:pPr>
              <w:keepNext/>
              <w:jc w:val="center"/>
              <w:rPr>
                <w:rFonts w:cs="Arial"/>
                <w:b/>
                <w:sz w:val="20"/>
                <w:szCs w:val="20"/>
              </w:rPr>
            </w:pPr>
            <w:r w:rsidRPr="001E4C31">
              <w:rPr>
                <w:rFonts w:cs="Arial"/>
                <w:b/>
                <w:sz w:val="20"/>
                <w:szCs w:val="20"/>
              </w:rPr>
              <w:t>Hours of operation</w:t>
            </w:r>
          </w:p>
        </w:tc>
        <w:tc>
          <w:tcPr>
            <w:tcW w:w="1735" w:type="dxa"/>
            <w:shd w:val="clear" w:color="auto" w:fill="D9D9D9" w:themeFill="background1" w:themeFillShade="D9"/>
            <w:vAlign w:val="center"/>
          </w:tcPr>
          <w:p w:rsidR="00B1289B" w:rsidRPr="00137AC7" w:rsidRDefault="00B1289B" w:rsidP="009A23B0">
            <w:pPr>
              <w:keepNext/>
              <w:jc w:val="center"/>
              <w:rPr>
                <w:rFonts w:cs="Arial"/>
                <w:sz w:val="20"/>
                <w:szCs w:val="20"/>
              </w:rPr>
            </w:pPr>
            <w:r w:rsidRPr="00137AC7">
              <w:rPr>
                <w:rFonts w:cs="Arial"/>
                <w:sz w:val="20"/>
                <w:szCs w:val="20"/>
              </w:rPr>
              <w:t>SFm only</w:t>
            </w:r>
          </w:p>
        </w:tc>
        <w:tc>
          <w:tcPr>
            <w:tcW w:w="1461" w:type="dxa"/>
            <w:shd w:val="clear" w:color="auto" w:fill="D9D9D9" w:themeFill="background1" w:themeFillShade="D9"/>
            <w:vAlign w:val="center"/>
          </w:tcPr>
          <w:p w:rsidR="00B1289B" w:rsidRPr="00137AC7" w:rsidRDefault="00B1289B">
            <w:pPr>
              <w:keepNext/>
              <w:jc w:val="center"/>
              <w:rPr>
                <w:rFonts w:cs="Arial"/>
                <w:sz w:val="20"/>
                <w:szCs w:val="20"/>
              </w:rPr>
            </w:pPr>
            <w:r w:rsidRPr="00137AC7">
              <w:rPr>
                <w:rFonts w:cs="Arial"/>
                <w:sz w:val="20"/>
                <w:szCs w:val="20"/>
              </w:rPr>
              <w:t>N/A</w:t>
            </w:r>
          </w:p>
        </w:tc>
        <w:tc>
          <w:tcPr>
            <w:tcW w:w="1399" w:type="dxa"/>
            <w:shd w:val="clear" w:color="auto" w:fill="D9D9D9" w:themeFill="background1" w:themeFillShade="D9"/>
            <w:vAlign w:val="center"/>
          </w:tcPr>
          <w:p w:rsidR="00B1289B" w:rsidRPr="00137AC7" w:rsidRDefault="00B1289B">
            <w:pPr>
              <w:keepNext/>
              <w:jc w:val="center"/>
              <w:rPr>
                <w:rFonts w:cs="Arial"/>
                <w:sz w:val="20"/>
                <w:szCs w:val="20"/>
              </w:rPr>
            </w:pPr>
            <w:r w:rsidRPr="00137AC7">
              <w:rPr>
                <w:rFonts w:cs="Arial"/>
                <w:sz w:val="20"/>
                <w:szCs w:val="20"/>
              </w:rPr>
              <w:t>N/A</w:t>
            </w:r>
          </w:p>
        </w:tc>
        <w:tc>
          <w:tcPr>
            <w:tcW w:w="1473" w:type="dxa"/>
            <w:shd w:val="clear" w:color="auto" w:fill="D9D9D9" w:themeFill="background1" w:themeFillShade="D9"/>
            <w:vAlign w:val="center"/>
          </w:tcPr>
          <w:p w:rsidR="00B1289B" w:rsidRPr="00137AC7" w:rsidRDefault="00B1289B">
            <w:pPr>
              <w:keepNext/>
              <w:jc w:val="center"/>
              <w:rPr>
                <w:rFonts w:cs="Arial"/>
                <w:sz w:val="20"/>
                <w:szCs w:val="20"/>
              </w:rPr>
            </w:pPr>
            <w:r w:rsidRPr="00137AC7">
              <w:rPr>
                <w:rFonts w:cs="Arial"/>
                <w:sz w:val="20"/>
                <w:szCs w:val="20"/>
              </w:rPr>
              <w:t>N/A</w:t>
            </w:r>
          </w:p>
        </w:tc>
        <w:tc>
          <w:tcPr>
            <w:tcW w:w="1736" w:type="dxa"/>
            <w:shd w:val="clear" w:color="auto" w:fill="D9D9D9" w:themeFill="background1" w:themeFillShade="D9"/>
            <w:vAlign w:val="center"/>
          </w:tcPr>
          <w:p w:rsidR="00B1289B" w:rsidRPr="00137AC7" w:rsidRDefault="00B1289B">
            <w:pPr>
              <w:keepNext/>
              <w:jc w:val="center"/>
              <w:rPr>
                <w:rFonts w:cs="Arial"/>
                <w:sz w:val="20"/>
                <w:szCs w:val="20"/>
              </w:rPr>
            </w:pPr>
            <w:r w:rsidRPr="00137AC7">
              <w:rPr>
                <w:rFonts w:cs="Arial"/>
                <w:i/>
                <w:sz w:val="20"/>
                <w:szCs w:val="20"/>
              </w:rPr>
              <w:t>Section 1.4.3.2</w:t>
            </w:r>
          </w:p>
        </w:tc>
      </w:tr>
      <w:tr w:rsidR="00B1289B" w:rsidRPr="00783DAC" w:rsidTr="003A69E4">
        <w:tc>
          <w:tcPr>
            <w:tcW w:w="1772" w:type="dxa"/>
            <w:shd w:val="clear" w:color="auto" w:fill="F2F2F2" w:themeFill="background1" w:themeFillShade="F2"/>
            <w:vAlign w:val="center"/>
          </w:tcPr>
          <w:p w:rsidR="00B1289B" w:rsidRPr="001E4C31" w:rsidRDefault="00B1289B" w:rsidP="009A23B0">
            <w:pPr>
              <w:keepNext/>
              <w:jc w:val="center"/>
              <w:rPr>
                <w:rFonts w:cs="Arial"/>
                <w:b/>
                <w:sz w:val="20"/>
                <w:szCs w:val="20"/>
              </w:rPr>
            </w:pPr>
            <w:r w:rsidRPr="001E4C31">
              <w:rPr>
                <w:rFonts w:cs="Arial"/>
                <w:b/>
                <w:sz w:val="20"/>
                <w:szCs w:val="20"/>
              </w:rPr>
              <w:t>Full Cost</w:t>
            </w:r>
          </w:p>
        </w:tc>
        <w:tc>
          <w:tcPr>
            <w:tcW w:w="1735" w:type="dxa"/>
            <w:shd w:val="clear" w:color="auto" w:fill="F2F2F2" w:themeFill="background1" w:themeFillShade="F2"/>
            <w:vAlign w:val="center"/>
          </w:tcPr>
          <w:p w:rsidR="00B1289B" w:rsidRPr="00137AC7" w:rsidRDefault="00B1289B" w:rsidP="009A23B0">
            <w:pPr>
              <w:keepNext/>
              <w:jc w:val="center"/>
              <w:rPr>
                <w:rFonts w:cs="Arial"/>
                <w:sz w:val="20"/>
                <w:szCs w:val="20"/>
              </w:rPr>
            </w:pPr>
            <w:r w:rsidRPr="00137AC7">
              <w:rPr>
                <w:rFonts w:cs="Arial"/>
                <w:sz w:val="20"/>
                <w:szCs w:val="20"/>
              </w:rPr>
              <w:t>SFm only</w:t>
            </w:r>
          </w:p>
        </w:tc>
        <w:tc>
          <w:tcPr>
            <w:tcW w:w="1461" w:type="dxa"/>
            <w:shd w:val="clear" w:color="auto" w:fill="F2F2F2" w:themeFill="background1" w:themeFillShade="F2"/>
            <w:vAlign w:val="center"/>
          </w:tcPr>
          <w:p w:rsidR="00B1289B" w:rsidRPr="00137AC7" w:rsidRDefault="00B1289B">
            <w:pPr>
              <w:keepNext/>
              <w:jc w:val="center"/>
              <w:rPr>
                <w:rFonts w:cs="Arial"/>
                <w:sz w:val="20"/>
                <w:szCs w:val="20"/>
              </w:rPr>
            </w:pPr>
            <w:r w:rsidRPr="00137AC7">
              <w:rPr>
                <w:rFonts w:cs="Arial"/>
                <w:sz w:val="20"/>
                <w:szCs w:val="20"/>
              </w:rPr>
              <w:t>N/A</w:t>
            </w:r>
          </w:p>
        </w:tc>
        <w:tc>
          <w:tcPr>
            <w:tcW w:w="1399" w:type="dxa"/>
            <w:shd w:val="clear" w:color="auto" w:fill="F2F2F2" w:themeFill="background1" w:themeFillShade="F2"/>
            <w:vAlign w:val="center"/>
          </w:tcPr>
          <w:p w:rsidR="00B1289B" w:rsidRPr="00137AC7" w:rsidRDefault="00B1289B">
            <w:pPr>
              <w:keepNext/>
              <w:jc w:val="center"/>
              <w:rPr>
                <w:rFonts w:cs="Arial"/>
                <w:sz w:val="20"/>
                <w:szCs w:val="20"/>
              </w:rPr>
            </w:pPr>
            <w:r w:rsidRPr="00137AC7">
              <w:rPr>
                <w:rFonts w:cs="Arial"/>
                <w:sz w:val="20"/>
                <w:szCs w:val="20"/>
              </w:rPr>
              <w:t>N/A</w:t>
            </w:r>
          </w:p>
        </w:tc>
        <w:tc>
          <w:tcPr>
            <w:tcW w:w="1473" w:type="dxa"/>
            <w:shd w:val="clear" w:color="auto" w:fill="F2F2F2" w:themeFill="background1" w:themeFillShade="F2"/>
            <w:vAlign w:val="center"/>
          </w:tcPr>
          <w:p w:rsidR="00B1289B" w:rsidRPr="00137AC7" w:rsidRDefault="00B1289B">
            <w:pPr>
              <w:keepNext/>
              <w:jc w:val="center"/>
              <w:rPr>
                <w:rFonts w:cs="Arial"/>
                <w:sz w:val="20"/>
                <w:szCs w:val="20"/>
              </w:rPr>
            </w:pPr>
            <w:r w:rsidRPr="00137AC7">
              <w:rPr>
                <w:rFonts w:cs="Arial"/>
                <w:sz w:val="20"/>
                <w:szCs w:val="20"/>
              </w:rPr>
              <w:t>0</w:t>
            </w:r>
          </w:p>
        </w:tc>
        <w:tc>
          <w:tcPr>
            <w:tcW w:w="1736" w:type="dxa"/>
            <w:shd w:val="clear" w:color="auto" w:fill="F2F2F2" w:themeFill="background1" w:themeFillShade="F2"/>
            <w:vAlign w:val="center"/>
          </w:tcPr>
          <w:p w:rsidR="00B1289B" w:rsidRPr="00137AC7" w:rsidRDefault="00B1289B">
            <w:pPr>
              <w:keepNext/>
              <w:jc w:val="center"/>
              <w:rPr>
                <w:rFonts w:cs="Arial"/>
                <w:sz w:val="20"/>
                <w:szCs w:val="20"/>
              </w:rPr>
            </w:pPr>
            <w:r w:rsidRPr="00137AC7">
              <w:rPr>
                <w:rFonts w:cs="Arial"/>
                <w:i/>
                <w:sz w:val="20"/>
                <w:szCs w:val="20"/>
              </w:rPr>
              <w:t>Section 1.4.3.2</w:t>
            </w:r>
          </w:p>
        </w:tc>
      </w:tr>
      <w:tr w:rsidR="00B1289B" w:rsidRPr="00783DAC" w:rsidTr="003A69E4">
        <w:tc>
          <w:tcPr>
            <w:tcW w:w="1772" w:type="dxa"/>
            <w:shd w:val="clear" w:color="auto" w:fill="D9D9D9" w:themeFill="background1" w:themeFillShade="D9"/>
            <w:vAlign w:val="center"/>
          </w:tcPr>
          <w:p w:rsidR="00B1289B" w:rsidRPr="001E4C31" w:rsidRDefault="00B1289B" w:rsidP="009A23B0">
            <w:pPr>
              <w:keepNext/>
              <w:jc w:val="center"/>
              <w:rPr>
                <w:rFonts w:cs="Arial"/>
                <w:b/>
                <w:sz w:val="20"/>
                <w:szCs w:val="20"/>
              </w:rPr>
            </w:pPr>
            <w:r w:rsidRPr="001E4C31">
              <w:rPr>
                <w:rFonts w:cs="Arial"/>
                <w:b/>
                <w:sz w:val="20"/>
                <w:szCs w:val="20"/>
              </w:rPr>
              <w:t>Incremental Cost</w:t>
            </w:r>
          </w:p>
        </w:tc>
        <w:tc>
          <w:tcPr>
            <w:tcW w:w="1735" w:type="dxa"/>
            <w:shd w:val="clear" w:color="auto" w:fill="D9D9D9" w:themeFill="background1" w:themeFillShade="D9"/>
            <w:vAlign w:val="center"/>
          </w:tcPr>
          <w:p w:rsidR="00B1289B" w:rsidRPr="00137AC7" w:rsidRDefault="00B1289B" w:rsidP="009A23B0">
            <w:pPr>
              <w:keepNext/>
              <w:jc w:val="center"/>
              <w:rPr>
                <w:rFonts w:cs="Arial"/>
                <w:sz w:val="20"/>
                <w:szCs w:val="20"/>
              </w:rPr>
            </w:pPr>
            <w:r w:rsidRPr="00137AC7">
              <w:rPr>
                <w:rFonts w:cs="Arial"/>
                <w:sz w:val="20"/>
                <w:szCs w:val="20"/>
              </w:rPr>
              <w:t>SFm only</w:t>
            </w:r>
          </w:p>
        </w:tc>
        <w:tc>
          <w:tcPr>
            <w:tcW w:w="1461" w:type="dxa"/>
            <w:shd w:val="clear" w:color="auto" w:fill="D9D9D9" w:themeFill="background1" w:themeFillShade="D9"/>
            <w:vAlign w:val="center"/>
          </w:tcPr>
          <w:p w:rsidR="00B1289B" w:rsidRPr="00137AC7" w:rsidRDefault="00B1289B">
            <w:pPr>
              <w:keepNext/>
              <w:jc w:val="center"/>
              <w:rPr>
                <w:rFonts w:cs="Arial"/>
                <w:sz w:val="20"/>
                <w:szCs w:val="20"/>
              </w:rPr>
            </w:pPr>
            <w:r w:rsidRPr="00137AC7">
              <w:rPr>
                <w:rFonts w:cs="Arial"/>
                <w:sz w:val="20"/>
                <w:szCs w:val="20"/>
              </w:rPr>
              <w:t>N/A</w:t>
            </w:r>
          </w:p>
        </w:tc>
        <w:tc>
          <w:tcPr>
            <w:tcW w:w="1399" w:type="dxa"/>
            <w:shd w:val="clear" w:color="auto" w:fill="D9D9D9" w:themeFill="background1" w:themeFillShade="D9"/>
            <w:vAlign w:val="center"/>
          </w:tcPr>
          <w:p w:rsidR="00B1289B" w:rsidRPr="00137AC7" w:rsidRDefault="00B1289B">
            <w:pPr>
              <w:keepNext/>
              <w:jc w:val="center"/>
              <w:rPr>
                <w:rFonts w:cs="Arial"/>
                <w:sz w:val="20"/>
                <w:szCs w:val="20"/>
              </w:rPr>
            </w:pPr>
            <w:r w:rsidRPr="00137AC7">
              <w:rPr>
                <w:rFonts w:cs="Arial"/>
                <w:sz w:val="20"/>
                <w:szCs w:val="20"/>
              </w:rPr>
              <w:t>N/A</w:t>
            </w:r>
          </w:p>
        </w:tc>
        <w:tc>
          <w:tcPr>
            <w:tcW w:w="1473" w:type="dxa"/>
            <w:shd w:val="clear" w:color="auto" w:fill="D9D9D9" w:themeFill="background1" w:themeFillShade="D9"/>
            <w:vAlign w:val="center"/>
          </w:tcPr>
          <w:p w:rsidR="00B1289B" w:rsidRPr="00137AC7" w:rsidRDefault="00B1289B">
            <w:pPr>
              <w:keepNext/>
              <w:jc w:val="center"/>
              <w:rPr>
                <w:rFonts w:cs="Arial"/>
                <w:sz w:val="20"/>
                <w:szCs w:val="20"/>
              </w:rPr>
            </w:pPr>
            <w:r w:rsidRPr="00137AC7">
              <w:rPr>
                <w:rFonts w:cs="Arial"/>
                <w:sz w:val="20"/>
                <w:szCs w:val="20"/>
              </w:rPr>
              <w:t>0</w:t>
            </w:r>
          </w:p>
        </w:tc>
        <w:tc>
          <w:tcPr>
            <w:tcW w:w="1736" w:type="dxa"/>
            <w:shd w:val="clear" w:color="auto" w:fill="D9D9D9" w:themeFill="background1" w:themeFillShade="D9"/>
            <w:vAlign w:val="center"/>
          </w:tcPr>
          <w:p w:rsidR="00B1289B" w:rsidRPr="00137AC7" w:rsidRDefault="00B1289B">
            <w:pPr>
              <w:keepNext/>
              <w:jc w:val="center"/>
              <w:rPr>
                <w:rFonts w:cs="Arial"/>
                <w:sz w:val="20"/>
                <w:szCs w:val="20"/>
              </w:rPr>
            </w:pPr>
            <w:r w:rsidRPr="00137AC7">
              <w:rPr>
                <w:rFonts w:cs="Arial"/>
                <w:i/>
                <w:sz w:val="20"/>
                <w:szCs w:val="20"/>
              </w:rPr>
              <w:t>Section 1.4.3.2</w:t>
            </w:r>
          </w:p>
        </w:tc>
      </w:tr>
      <w:tr w:rsidR="00B1289B" w:rsidRPr="00783DAC" w:rsidTr="003A69E4">
        <w:tc>
          <w:tcPr>
            <w:tcW w:w="1772" w:type="dxa"/>
            <w:shd w:val="clear" w:color="auto" w:fill="F2F2F2" w:themeFill="background1" w:themeFillShade="F2"/>
            <w:vAlign w:val="center"/>
          </w:tcPr>
          <w:p w:rsidR="00B1289B" w:rsidRPr="001E4C31" w:rsidRDefault="00B1289B" w:rsidP="009A23B0">
            <w:pPr>
              <w:keepNext/>
              <w:jc w:val="center"/>
              <w:rPr>
                <w:rFonts w:cs="Arial"/>
                <w:b/>
                <w:sz w:val="20"/>
                <w:szCs w:val="20"/>
              </w:rPr>
            </w:pPr>
            <w:r w:rsidRPr="001E4C31">
              <w:rPr>
                <w:rFonts w:cs="Arial"/>
                <w:b/>
                <w:sz w:val="20"/>
                <w:szCs w:val="20"/>
              </w:rPr>
              <w:t>EUL /RUL</w:t>
            </w:r>
          </w:p>
        </w:tc>
        <w:tc>
          <w:tcPr>
            <w:tcW w:w="1735" w:type="dxa"/>
            <w:shd w:val="clear" w:color="auto" w:fill="F2F2F2" w:themeFill="background1" w:themeFillShade="F2"/>
            <w:vAlign w:val="center"/>
          </w:tcPr>
          <w:p w:rsidR="00B1289B" w:rsidRPr="00137AC7" w:rsidRDefault="00B1289B" w:rsidP="009A23B0">
            <w:pPr>
              <w:keepNext/>
              <w:jc w:val="center"/>
              <w:rPr>
                <w:rFonts w:cs="Arial"/>
                <w:sz w:val="20"/>
                <w:szCs w:val="20"/>
              </w:rPr>
            </w:pPr>
            <w:r w:rsidRPr="00137AC7">
              <w:rPr>
                <w:rFonts w:cs="Arial"/>
                <w:sz w:val="20"/>
                <w:szCs w:val="20"/>
              </w:rPr>
              <w:t>SFm only</w:t>
            </w:r>
          </w:p>
        </w:tc>
        <w:tc>
          <w:tcPr>
            <w:tcW w:w="1461" w:type="dxa"/>
            <w:shd w:val="clear" w:color="auto" w:fill="F2F2F2" w:themeFill="background1" w:themeFillShade="F2"/>
            <w:vAlign w:val="center"/>
          </w:tcPr>
          <w:p w:rsidR="00B1289B" w:rsidRPr="00137AC7" w:rsidRDefault="00B1289B">
            <w:pPr>
              <w:keepNext/>
              <w:jc w:val="center"/>
              <w:rPr>
                <w:rFonts w:cs="Arial"/>
                <w:sz w:val="20"/>
                <w:szCs w:val="20"/>
              </w:rPr>
            </w:pPr>
            <w:r w:rsidRPr="00137AC7">
              <w:rPr>
                <w:rFonts w:cs="Arial"/>
                <w:sz w:val="20"/>
                <w:szCs w:val="20"/>
              </w:rPr>
              <w:t>N/A</w:t>
            </w:r>
          </w:p>
        </w:tc>
        <w:tc>
          <w:tcPr>
            <w:tcW w:w="1399" w:type="dxa"/>
            <w:shd w:val="clear" w:color="auto" w:fill="F2F2F2" w:themeFill="background1" w:themeFillShade="F2"/>
            <w:vAlign w:val="center"/>
          </w:tcPr>
          <w:p w:rsidR="00B1289B" w:rsidRPr="00137AC7" w:rsidRDefault="00B1289B">
            <w:pPr>
              <w:keepNext/>
              <w:jc w:val="center"/>
              <w:rPr>
                <w:rFonts w:cs="Arial"/>
                <w:sz w:val="20"/>
                <w:szCs w:val="20"/>
              </w:rPr>
            </w:pPr>
            <w:r w:rsidRPr="00137AC7">
              <w:rPr>
                <w:rFonts w:cs="Arial"/>
                <w:sz w:val="20"/>
                <w:szCs w:val="20"/>
              </w:rPr>
              <w:t>N/A</w:t>
            </w:r>
          </w:p>
        </w:tc>
        <w:tc>
          <w:tcPr>
            <w:tcW w:w="1473" w:type="dxa"/>
            <w:shd w:val="clear" w:color="auto" w:fill="F2F2F2" w:themeFill="background1" w:themeFillShade="F2"/>
            <w:vAlign w:val="center"/>
          </w:tcPr>
          <w:p w:rsidR="00B1289B" w:rsidRPr="00137AC7" w:rsidRDefault="00B1289B">
            <w:pPr>
              <w:keepNext/>
              <w:jc w:val="center"/>
              <w:rPr>
                <w:rFonts w:cs="Arial"/>
                <w:sz w:val="20"/>
                <w:szCs w:val="20"/>
              </w:rPr>
            </w:pPr>
            <w:r>
              <w:rPr>
                <w:rFonts w:cs="Arial"/>
                <w:sz w:val="20"/>
                <w:szCs w:val="20"/>
              </w:rPr>
              <w:t>1</w:t>
            </w:r>
            <w:r w:rsidRPr="00137AC7">
              <w:rPr>
                <w:rFonts w:cs="Arial"/>
                <w:sz w:val="20"/>
                <w:szCs w:val="20"/>
              </w:rPr>
              <w:t xml:space="preserve"> year</w:t>
            </w:r>
          </w:p>
        </w:tc>
        <w:tc>
          <w:tcPr>
            <w:tcW w:w="1736" w:type="dxa"/>
            <w:shd w:val="clear" w:color="auto" w:fill="F2F2F2" w:themeFill="background1" w:themeFillShade="F2"/>
            <w:vAlign w:val="center"/>
          </w:tcPr>
          <w:p w:rsidR="00B1289B" w:rsidRPr="00120191" w:rsidRDefault="00B1289B">
            <w:pPr>
              <w:keepNext/>
              <w:spacing w:before="40" w:after="40"/>
              <w:jc w:val="center"/>
              <w:rPr>
                <w:rFonts w:cs="Arial"/>
                <w:sz w:val="20"/>
                <w:szCs w:val="20"/>
              </w:rPr>
            </w:pPr>
            <w:r w:rsidRPr="00137AC7">
              <w:rPr>
                <w:rFonts w:cs="Arial"/>
                <w:i/>
                <w:sz w:val="20"/>
                <w:szCs w:val="20"/>
              </w:rPr>
              <w:t>Section 1.4.3.2</w:t>
            </w:r>
          </w:p>
        </w:tc>
      </w:tr>
      <w:tr w:rsidR="00B1289B" w:rsidRPr="00783DAC" w:rsidTr="003A69E4">
        <w:tc>
          <w:tcPr>
            <w:tcW w:w="1772" w:type="dxa"/>
            <w:shd w:val="clear" w:color="auto" w:fill="D9D9D9" w:themeFill="background1" w:themeFillShade="D9"/>
            <w:vAlign w:val="center"/>
          </w:tcPr>
          <w:p w:rsidR="00B1289B" w:rsidRPr="001E4C31" w:rsidRDefault="00B1289B" w:rsidP="009A23B0">
            <w:pPr>
              <w:keepNext/>
              <w:jc w:val="center"/>
              <w:rPr>
                <w:rFonts w:cs="Arial"/>
                <w:b/>
                <w:sz w:val="20"/>
                <w:szCs w:val="20"/>
              </w:rPr>
            </w:pPr>
            <w:r w:rsidRPr="001E4C31">
              <w:rPr>
                <w:rFonts w:cs="Arial"/>
                <w:b/>
                <w:sz w:val="20"/>
                <w:szCs w:val="20"/>
              </w:rPr>
              <w:t>NTG</w:t>
            </w:r>
          </w:p>
        </w:tc>
        <w:tc>
          <w:tcPr>
            <w:tcW w:w="1735" w:type="dxa"/>
            <w:shd w:val="clear" w:color="auto" w:fill="D9D9D9" w:themeFill="background1" w:themeFillShade="D9"/>
            <w:vAlign w:val="center"/>
          </w:tcPr>
          <w:p w:rsidR="00B1289B" w:rsidRPr="00137AC7" w:rsidRDefault="00B1289B" w:rsidP="009A23B0">
            <w:pPr>
              <w:keepNext/>
              <w:jc w:val="center"/>
              <w:rPr>
                <w:rFonts w:cs="Arial"/>
                <w:sz w:val="20"/>
                <w:szCs w:val="20"/>
              </w:rPr>
            </w:pPr>
            <w:r w:rsidRPr="00137AC7">
              <w:rPr>
                <w:rFonts w:cs="Arial"/>
                <w:sz w:val="20"/>
                <w:szCs w:val="20"/>
              </w:rPr>
              <w:t>One</w:t>
            </w:r>
          </w:p>
        </w:tc>
        <w:tc>
          <w:tcPr>
            <w:tcW w:w="1461" w:type="dxa"/>
            <w:shd w:val="clear" w:color="auto" w:fill="D9D9D9" w:themeFill="background1" w:themeFillShade="D9"/>
            <w:vAlign w:val="center"/>
          </w:tcPr>
          <w:p w:rsidR="00B1289B" w:rsidRPr="00137AC7" w:rsidRDefault="00B1289B">
            <w:pPr>
              <w:keepNext/>
              <w:jc w:val="center"/>
              <w:rPr>
                <w:rFonts w:cs="Arial"/>
                <w:sz w:val="20"/>
                <w:szCs w:val="20"/>
              </w:rPr>
            </w:pPr>
            <w:r w:rsidRPr="00137AC7">
              <w:rPr>
                <w:rFonts w:cs="Arial"/>
                <w:sz w:val="20"/>
                <w:szCs w:val="20"/>
              </w:rPr>
              <w:t>N/A</w:t>
            </w:r>
          </w:p>
        </w:tc>
        <w:tc>
          <w:tcPr>
            <w:tcW w:w="1399" w:type="dxa"/>
            <w:shd w:val="clear" w:color="auto" w:fill="D9D9D9" w:themeFill="background1" w:themeFillShade="D9"/>
            <w:vAlign w:val="center"/>
          </w:tcPr>
          <w:p w:rsidR="00B1289B" w:rsidRPr="00137AC7" w:rsidRDefault="00B1289B">
            <w:pPr>
              <w:keepNext/>
              <w:jc w:val="center"/>
              <w:rPr>
                <w:rFonts w:cs="Arial"/>
                <w:sz w:val="20"/>
                <w:szCs w:val="20"/>
              </w:rPr>
            </w:pPr>
            <w:r w:rsidRPr="00137AC7">
              <w:rPr>
                <w:rFonts w:cs="Arial"/>
                <w:sz w:val="20"/>
                <w:szCs w:val="20"/>
              </w:rPr>
              <w:t>N/A</w:t>
            </w:r>
          </w:p>
        </w:tc>
        <w:tc>
          <w:tcPr>
            <w:tcW w:w="1473" w:type="dxa"/>
            <w:shd w:val="clear" w:color="auto" w:fill="D9D9D9" w:themeFill="background1" w:themeFillShade="D9"/>
            <w:vAlign w:val="center"/>
          </w:tcPr>
          <w:p w:rsidR="00B1289B" w:rsidRPr="00137AC7" w:rsidRDefault="00B1289B">
            <w:pPr>
              <w:keepNext/>
              <w:jc w:val="center"/>
              <w:rPr>
                <w:rFonts w:cs="Arial"/>
                <w:sz w:val="20"/>
                <w:szCs w:val="20"/>
              </w:rPr>
            </w:pPr>
            <w:r w:rsidRPr="00137AC7">
              <w:rPr>
                <w:rFonts w:cs="Arial"/>
                <w:sz w:val="20"/>
                <w:szCs w:val="20"/>
              </w:rPr>
              <w:t>1.0</w:t>
            </w:r>
          </w:p>
        </w:tc>
        <w:tc>
          <w:tcPr>
            <w:tcW w:w="1736" w:type="dxa"/>
            <w:shd w:val="clear" w:color="auto" w:fill="D9D9D9" w:themeFill="background1" w:themeFillShade="D9"/>
            <w:vAlign w:val="center"/>
          </w:tcPr>
          <w:p w:rsidR="00B1289B" w:rsidRPr="00137AC7" w:rsidRDefault="00B1289B">
            <w:pPr>
              <w:keepNext/>
              <w:jc w:val="center"/>
              <w:rPr>
                <w:rFonts w:cs="Arial"/>
                <w:sz w:val="20"/>
                <w:szCs w:val="20"/>
              </w:rPr>
            </w:pPr>
            <w:r w:rsidRPr="00137AC7">
              <w:rPr>
                <w:rFonts w:cs="Arial"/>
                <w:i/>
                <w:sz w:val="20"/>
                <w:szCs w:val="20"/>
              </w:rPr>
              <w:t>Section 1.4.3.2</w:t>
            </w:r>
          </w:p>
        </w:tc>
      </w:tr>
      <w:tr w:rsidR="00B1289B" w:rsidRPr="00783DAC" w:rsidTr="003A69E4">
        <w:tc>
          <w:tcPr>
            <w:tcW w:w="1772" w:type="dxa"/>
            <w:shd w:val="clear" w:color="auto" w:fill="F2F2F2" w:themeFill="background1" w:themeFillShade="F2"/>
            <w:vAlign w:val="center"/>
          </w:tcPr>
          <w:p w:rsidR="00B1289B" w:rsidRPr="001E4C31" w:rsidRDefault="00B1289B" w:rsidP="009A23B0">
            <w:pPr>
              <w:keepNext/>
              <w:jc w:val="center"/>
              <w:rPr>
                <w:rFonts w:cs="Arial"/>
                <w:b/>
                <w:sz w:val="20"/>
                <w:szCs w:val="20"/>
              </w:rPr>
            </w:pPr>
            <w:r w:rsidRPr="001E4C31">
              <w:rPr>
                <w:rFonts w:cs="Arial"/>
                <w:b/>
                <w:sz w:val="20"/>
                <w:szCs w:val="20"/>
              </w:rPr>
              <w:t>ISR</w:t>
            </w:r>
          </w:p>
        </w:tc>
        <w:tc>
          <w:tcPr>
            <w:tcW w:w="1735" w:type="dxa"/>
            <w:shd w:val="clear" w:color="auto" w:fill="F2F2F2" w:themeFill="background1" w:themeFillShade="F2"/>
            <w:vAlign w:val="center"/>
          </w:tcPr>
          <w:p w:rsidR="00B1289B" w:rsidRPr="00137AC7" w:rsidRDefault="00B1289B" w:rsidP="009A23B0">
            <w:pPr>
              <w:keepNext/>
              <w:jc w:val="center"/>
              <w:rPr>
                <w:rFonts w:cs="Arial"/>
                <w:sz w:val="20"/>
                <w:szCs w:val="20"/>
              </w:rPr>
            </w:pPr>
            <w:r w:rsidRPr="00137AC7">
              <w:rPr>
                <w:rFonts w:cs="Arial"/>
                <w:sz w:val="20"/>
                <w:szCs w:val="20"/>
              </w:rPr>
              <w:t>Applies --No</w:t>
            </w:r>
          </w:p>
        </w:tc>
        <w:tc>
          <w:tcPr>
            <w:tcW w:w="1461" w:type="dxa"/>
            <w:shd w:val="clear" w:color="auto" w:fill="F2F2F2" w:themeFill="background1" w:themeFillShade="F2"/>
            <w:vAlign w:val="center"/>
          </w:tcPr>
          <w:p w:rsidR="00B1289B" w:rsidRPr="00137AC7" w:rsidRDefault="00B1289B">
            <w:pPr>
              <w:keepNext/>
              <w:jc w:val="center"/>
              <w:rPr>
                <w:rFonts w:cs="Arial"/>
                <w:sz w:val="20"/>
                <w:szCs w:val="20"/>
              </w:rPr>
            </w:pPr>
            <w:r w:rsidRPr="00137AC7">
              <w:rPr>
                <w:rFonts w:cs="Arial"/>
                <w:sz w:val="20"/>
                <w:szCs w:val="20"/>
              </w:rPr>
              <w:t>N/A</w:t>
            </w:r>
          </w:p>
        </w:tc>
        <w:tc>
          <w:tcPr>
            <w:tcW w:w="1399" w:type="dxa"/>
            <w:shd w:val="clear" w:color="auto" w:fill="F2F2F2" w:themeFill="background1" w:themeFillShade="F2"/>
            <w:vAlign w:val="center"/>
          </w:tcPr>
          <w:p w:rsidR="00B1289B" w:rsidRPr="00137AC7" w:rsidRDefault="00B1289B">
            <w:pPr>
              <w:keepNext/>
              <w:jc w:val="center"/>
              <w:rPr>
                <w:rFonts w:cs="Arial"/>
                <w:sz w:val="20"/>
                <w:szCs w:val="20"/>
              </w:rPr>
            </w:pPr>
            <w:r w:rsidRPr="00137AC7">
              <w:rPr>
                <w:rFonts w:cs="Arial"/>
                <w:sz w:val="20"/>
                <w:szCs w:val="20"/>
              </w:rPr>
              <w:t>N/A</w:t>
            </w:r>
          </w:p>
        </w:tc>
        <w:tc>
          <w:tcPr>
            <w:tcW w:w="1473" w:type="dxa"/>
            <w:shd w:val="clear" w:color="auto" w:fill="F2F2F2" w:themeFill="background1" w:themeFillShade="F2"/>
            <w:vAlign w:val="center"/>
          </w:tcPr>
          <w:p w:rsidR="00B1289B" w:rsidRPr="00137AC7" w:rsidRDefault="00B1289B">
            <w:pPr>
              <w:keepNext/>
              <w:jc w:val="center"/>
              <w:rPr>
                <w:rFonts w:cs="Arial"/>
                <w:sz w:val="20"/>
                <w:szCs w:val="20"/>
              </w:rPr>
            </w:pPr>
            <w:r w:rsidRPr="00137AC7">
              <w:rPr>
                <w:rFonts w:cs="Arial"/>
                <w:sz w:val="20"/>
                <w:szCs w:val="20"/>
              </w:rPr>
              <w:t>1.0</w:t>
            </w:r>
          </w:p>
        </w:tc>
        <w:tc>
          <w:tcPr>
            <w:tcW w:w="1736" w:type="dxa"/>
            <w:shd w:val="clear" w:color="auto" w:fill="F2F2F2" w:themeFill="background1" w:themeFillShade="F2"/>
            <w:vAlign w:val="center"/>
          </w:tcPr>
          <w:p w:rsidR="00B1289B" w:rsidRPr="00137AC7" w:rsidRDefault="00B1289B">
            <w:pPr>
              <w:keepNext/>
              <w:jc w:val="center"/>
              <w:rPr>
                <w:rFonts w:cs="Arial"/>
                <w:sz w:val="20"/>
                <w:szCs w:val="20"/>
              </w:rPr>
            </w:pPr>
            <w:r w:rsidRPr="00137AC7">
              <w:rPr>
                <w:rFonts w:cs="Arial"/>
                <w:i/>
                <w:sz w:val="20"/>
                <w:szCs w:val="20"/>
              </w:rPr>
              <w:t>Section 1.4.3.2</w:t>
            </w:r>
          </w:p>
        </w:tc>
      </w:tr>
      <w:tr w:rsidR="00B1289B" w:rsidRPr="00783DAC" w:rsidTr="003A69E4">
        <w:tc>
          <w:tcPr>
            <w:tcW w:w="1772" w:type="dxa"/>
            <w:shd w:val="clear" w:color="auto" w:fill="D9D9D9" w:themeFill="background1" w:themeFillShade="D9"/>
            <w:vAlign w:val="center"/>
          </w:tcPr>
          <w:p w:rsidR="00B1289B" w:rsidRPr="001E4C31" w:rsidRDefault="00B1289B" w:rsidP="009A23B0">
            <w:pPr>
              <w:jc w:val="center"/>
              <w:rPr>
                <w:rFonts w:cs="Arial"/>
                <w:b/>
                <w:sz w:val="20"/>
                <w:szCs w:val="20"/>
              </w:rPr>
            </w:pPr>
            <w:r w:rsidRPr="001E4C31">
              <w:rPr>
                <w:rFonts w:cs="Arial"/>
                <w:b/>
                <w:sz w:val="20"/>
                <w:szCs w:val="20"/>
              </w:rPr>
              <w:t>TOU Factor</w:t>
            </w:r>
          </w:p>
        </w:tc>
        <w:tc>
          <w:tcPr>
            <w:tcW w:w="1735" w:type="dxa"/>
            <w:shd w:val="clear" w:color="auto" w:fill="D9D9D9" w:themeFill="background1" w:themeFillShade="D9"/>
            <w:vAlign w:val="center"/>
          </w:tcPr>
          <w:p w:rsidR="00B1289B" w:rsidRPr="00137AC7" w:rsidRDefault="00B1289B" w:rsidP="009A23B0">
            <w:pPr>
              <w:jc w:val="center"/>
              <w:rPr>
                <w:rFonts w:cs="Arial"/>
                <w:i/>
                <w:sz w:val="20"/>
                <w:szCs w:val="20"/>
              </w:rPr>
            </w:pPr>
            <w:r w:rsidRPr="00137AC7">
              <w:rPr>
                <w:rFonts w:cs="Arial"/>
                <w:i/>
                <w:sz w:val="20"/>
                <w:szCs w:val="20"/>
              </w:rPr>
              <w:t>A/C projects only</w:t>
            </w:r>
          </w:p>
        </w:tc>
        <w:tc>
          <w:tcPr>
            <w:tcW w:w="1461" w:type="dxa"/>
            <w:shd w:val="clear" w:color="auto" w:fill="D9D9D9" w:themeFill="background1" w:themeFillShade="D9"/>
            <w:vAlign w:val="center"/>
          </w:tcPr>
          <w:p w:rsidR="00B1289B" w:rsidRPr="00137AC7" w:rsidRDefault="00B1289B">
            <w:pPr>
              <w:jc w:val="center"/>
              <w:rPr>
                <w:rFonts w:cs="Arial"/>
                <w:i/>
                <w:sz w:val="20"/>
                <w:szCs w:val="20"/>
              </w:rPr>
            </w:pPr>
            <w:r w:rsidRPr="00137AC7">
              <w:rPr>
                <w:rFonts w:cs="Arial"/>
                <w:sz w:val="20"/>
                <w:szCs w:val="20"/>
              </w:rPr>
              <w:t>N/A</w:t>
            </w:r>
          </w:p>
        </w:tc>
        <w:tc>
          <w:tcPr>
            <w:tcW w:w="1399" w:type="dxa"/>
            <w:shd w:val="clear" w:color="auto" w:fill="D9D9D9" w:themeFill="background1" w:themeFillShade="D9"/>
            <w:vAlign w:val="center"/>
          </w:tcPr>
          <w:p w:rsidR="00B1289B" w:rsidRPr="00137AC7" w:rsidRDefault="00B1289B">
            <w:pPr>
              <w:jc w:val="center"/>
              <w:rPr>
                <w:rFonts w:cs="Arial"/>
                <w:i/>
                <w:sz w:val="20"/>
                <w:szCs w:val="20"/>
              </w:rPr>
            </w:pPr>
            <w:r w:rsidRPr="00137AC7">
              <w:rPr>
                <w:rFonts w:cs="Arial"/>
                <w:sz w:val="20"/>
                <w:szCs w:val="20"/>
              </w:rPr>
              <w:t>N/A</w:t>
            </w:r>
          </w:p>
        </w:tc>
        <w:tc>
          <w:tcPr>
            <w:tcW w:w="1473" w:type="dxa"/>
            <w:shd w:val="clear" w:color="auto" w:fill="D9D9D9" w:themeFill="background1" w:themeFillShade="D9"/>
            <w:vAlign w:val="center"/>
          </w:tcPr>
          <w:p w:rsidR="00B1289B" w:rsidRPr="000C3A71" w:rsidRDefault="00B1289B">
            <w:pPr>
              <w:jc w:val="center"/>
              <w:rPr>
                <w:rFonts w:cs="Arial"/>
                <w:b/>
                <w:sz w:val="20"/>
                <w:szCs w:val="20"/>
              </w:rPr>
            </w:pPr>
            <w:r w:rsidRPr="000C3A71">
              <w:rPr>
                <w:rFonts w:cs="Arial"/>
                <w:b/>
                <w:sz w:val="20"/>
                <w:szCs w:val="20"/>
              </w:rPr>
              <w:t>0.0</w:t>
            </w:r>
          </w:p>
        </w:tc>
        <w:tc>
          <w:tcPr>
            <w:tcW w:w="1736" w:type="dxa"/>
            <w:shd w:val="clear" w:color="auto" w:fill="D9D9D9" w:themeFill="background1" w:themeFillShade="D9"/>
            <w:vAlign w:val="center"/>
          </w:tcPr>
          <w:p w:rsidR="00B1289B" w:rsidRPr="00137AC7" w:rsidRDefault="00B1289B">
            <w:pPr>
              <w:jc w:val="center"/>
              <w:rPr>
                <w:rFonts w:cs="Arial"/>
                <w:i/>
                <w:sz w:val="20"/>
                <w:szCs w:val="20"/>
              </w:rPr>
            </w:pPr>
            <w:r w:rsidRPr="00137AC7">
              <w:rPr>
                <w:rFonts w:cs="Arial"/>
                <w:i/>
                <w:sz w:val="20"/>
                <w:szCs w:val="20"/>
              </w:rPr>
              <w:t>Section 1.4.5</w:t>
            </w:r>
          </w:p>
        </w:tc>
      </w:tr>
    </w:tbl>
    <w:p w:rsidR="00C069A2" w:rsidRDefault="001A3026" w:rsidP="00C41E61">
      <w:pPr>
        <w:pStyle w:val="Heading1"/>
      </w:pPr>
      <w:r>
        <w:rPr>
          <w:sz w:val="20"/>
          <w:szCs w:val="20"/>
        </w:rPr>
        <w:br w:type="page"/>
      </w:r>
      <w:bookmarkStart w:id="67" w:name="_Toc304800210"/>
      <w:bookmarkStart w:id="68" w:name="_Toc324340489"/>
      <w:bookmarkStart w:id="69" w:name="_Toc476228491"/>
      <w:r w:rsidR="00CF3FF0" w:rsidRPr="00CF3FF0">
        <w:lastRenderedPageBreak/>
        <w:t xml:space="preserve">Section </w:t>
      </w:r>
      <w:r w:rsidR="00C069A2" w:rsidRPr="00CF3FF0">
        <w:t>2</w:t>
      </w:r>
      <w:r w:rsidR="003129E8" w:rsidRPr="00CF3FF0">
        <w:t>.</w:t>
      </w:r>
      <w:r w:rsidR="00C069A2" w:rsidRPr="00CF3FF0">
        <w:t xml:space="preserve"> Calculation Methods</w:t>
      </w:r>
      <w:bookmarkEnd w:id="67"/>
      <w:bookmarkEnd w:id="68"/>
      <w:bookmarkEnd w:id="69"/>
    </w:p>
    <w:p w:rsidR="00C069A2" w:rsidRDefault="00C069A2" w:rsidP="00D20486">
      <w:pPr>
        <w:pStyle w:val="Heading2"/>
      </w:pPr>
      <w:bookmarkStart w:id="70" w:name="_Toc304800211"/>
      <w:bookmarkStart w:id="71" w:name="_Toc324318365"/>
      <w:bookmarkStart w:id="72" w:name="_Toc324340494"/>
      <w:bookmarkStart w:id="73" w:name="_Toc476228492"/>
      <w:r>
        <w:t xml:space="preserve">2.1 </w:t>
      </w:r>
      <w:r w:rsidR="007878B9">
        <w:t xml:space="preserve">Electric </w:t>
      </w:r>
      <w:r>
        <w:t>Savings Estimation Methodologies</w:t>
      </w:r>
      <w:bookmarkEnd w:id="70"/>
      <w:bookmarkEnd w:id="71"/>
      <w:bookmarkEnd w:id="72"/>
      <w:bookmarkEnd w:id="73"/>
    </w:p>
    <w:p w:rsidR="00025EBE" w:rsidRPr="009F1859" w:rsidRDefault="00025EBE" w:rsidP="00BC4FDF">
      <w:pPr>
        <w:numPr>
          <w:ilvl w:val="0"/>
          <w:numId w:val="16"/>
        </w:numPr>
        <w:tabs>
          <w:tab w:val="clear" w:pos="1440"/>
          <w:tab w:val="num" w:pos="360"/>
        </w:tabs>
        <w:ind w:left="360"/>
        <w:rPr>
          <w:rFonts w:cs="Arial"/>
          <w:i/>
          <w:sz w:val="20"/>
          <w:szCs w:val="20"/>
        </w:rPr>
      </w:pPr>
      <w:r>
        <w:rPr>
          <w:rFonts w:cs="Arial"/>
          <w:sz w:val="20"/>
          <w:szCs w:val="20"/>
        </w:rPr>
        <w:t xml:space="preserve">This section describes the overall </w:t>
      </w:r>
      <w:r w:rsidRPr="00D012B5">
        <w:rPr>
          <w:rFonts w:cs="Arial"/>
          <w:i/>
          <w:sz w:val="20"/>
          <w:szCs w:val="20"/>
        </w:rPr>
        <w:t>ex</w:t>
      </w:r>
      <w:r w:rsidR="008E326C" w:rsidRPr="00D012B5">
        <w:rPr>
          <w:rFonts w:cs="Arial"/>
          <w:i/>
          <w:sz w:val="20"/>
          <w:szCs w:val="20"/>
        </w:rPr>
        <w:t>-</w:t>
      </w:r>
      <w:r w:rsidRPr="00D012B5">
        <w:rPr>
          <w:rFonts w:cs="Arial"/>
          <w:i/>
          <w:sz w:val="20"/>
          <w:szCs w:val="20"/>
        </w:rPr>
        <w:t>post</w:t>
      </w:r>
      <w:r>
        <w:rPr>
          <w:rFonts w:cs="Arial"/>
          <w:sz w:val="20"/>
          <w:szCs w:val="20"/>
        </w:rPr>
        <w:t xml:space="preserve"> analysis technique for </w:t>
      </w:r>
      <w:r w:rsidR="006D35FF">
        <w:rPr>
          <w:rFonts w:cs="Arial"/>
          <w:sz w:val="20"/>
          <w:szCs w:val="20"/>
        </w:rPr>
        <w:t xml:space="preserve">estimating </w:t>
      </w:r>
      <w:r>
        <w:rPr>
          <w:rFonts w:cs="Arial"/>
          <w:sz w:val="20"/>
          <w:szCs w:val="20"/>
        </w:rPr>
        <w:t xml:space="preserve">savings resulting from </w:t>
      </w:r>
      <w:r w:rsidR="008050AD">
        <w:rPr>
          <w:rFonts w:cs="Arial"/>
          <w:sz w:val="20"/>
          <w:szCs w:val="20"/>
        </w:rPr>
        <w:t xml:space="preserve">the HER </w:t>
      </w:r>
      <w:r>
        <w:rPr>
          <w:rFonts w:cs="Arial"/>
          <w:sz w:val="20"/>
          <w:szCs w:val="20"/>
        </w:rPr>
        <w:t xml:space="preserve">program. There </w:t>
      </w:r>
      <w:r w:rsidR="006D35FF">
        <w:rPr>
          <w:rFonts w:cs="Arial"/>
          <w:sz w:val="20"/>
          <w:szCs w:val="20"/>
        </w:rPr>
        <w:t xml:space="preserve">is </w:t>
      </w:r>
      <w:r>
        <w:rPr>
          <w:rFonts w:cs="Arial"/>
          <w:sz w:val="20"/>
          <w:szCs w:val="20"/>
        </w:rPr>
        <w:t xml:space="preserve">no </w:t>
      </w:r>
      <w:r w:rsidRPr="00D012B5">
        <w:rPr>
          <w:rFonts w:cs="Arial"/>
          <w:i/>
          <w:sz w:val="20"/>
          <w:szCs w:val="20"/>
        </w:rPr>
        <w:t>ex</w:t>
      </w:r>
      <w:r w:rsidR="006D35FF" w:rsidRPr="00D012B5">
        <w:rPr>
          <w:rFonts w:cs="Arial"/>
          <w:i/>
          <w:sz w:val="20"/>
          <w:szCs w:val="20"/>
        </w:rPr>
        <w:t>-</w:t>
      </w:r>
      <w:r w:rsidRPr="00D012B5">
        <w:rPr>
          <w:rFonts w:cs="Arial"/>
          <w:i/>
          <w:sz w:val="20"/>
          <w:szCs w:val="20"/>
        </w:rPr>
        <w:t>ante</w:t>
      </w:r>
      <w:r>
        <w:rPr>
          <w:rFonts w:cs="Arial"/>
          <w:sz w:val="20"/>
          <w:szCs w:val="20"/>
        </w:rPr>
        <w:t xml:space="preserve"> value calculated as the result of this section.</w:t>
      </w:r>
    </w:p>
    <w:p w:rsidR="00BC4FDF" w:rsidRPr="00A95746" w:rsidRDefault="00A95746" w:rsidP="00BC4FDF">
      <w:pPr>
        <w:numPr>
          <w:ilvl w:val="0"/>
          <w:numId w:val="16"/>
        </w:numPr>
        <w:tabs>
          <w:tab w:val="clear" w:pos="1440"/>
          <w:tab w:val="num" w:pos="360"/>
        </w:tabs>
        <w:ind w:left="360"/>
        <w:rPr>
          <w:rFonts w:cs="Arial"/>
          <w:i/>
          <w:sz w:val="20"/>
          <w:szCs w:val="20"/>
        </w:rPr>
      </w:pPr>
      <w:r w:rsidRPr="00BC4FDF">
        <w:rPr>
          <w:rFonts w:cs="Arial"/>
          <w:sz w:val="20"/>
          <w:szCs w:val="20"/>
        </w:rPr>
        <w:t>This measure includes HVAC interactive effects savings</w:t>
      </w:r>
      <w:r w:rsidR="00BC4FDF">
        <w:rPr>
          <w:rFonts w:cs="Arial"/>
          <w:sz w:val="20"/>
          <w:szCs w:val="20"/>
        </w:rPr>
        <w:t>, as noted in 1.4.3.2</w:t>
      </w:r>
    </w:p>
    <w:p w:rsidR="004967A2" w:rsidRPr="00BC4FDF" w:rsidRDefault="00A95746" w:rsidP="00126A4E">
      <w:pPr>
        <w:numPr>
          <w:ilvl w:val="0"/>
          <w:numId w:val="14"/>
        </w:numPr>
        <w:tabs>
          <w:tab w:val="clear" w:pos="1440"/>
        </w:tabs>
        <w:ind w:left="360"/>
        <w:rPr>
          <w:rFonts w:cs="Arial"/>
          <w:i/>
          <w:sz w:val="20"/>
          <w:szCs w:val="20"/>
        </w:rPr>
      </w:pPr>
      <w:r w:rsidRPr="00BC4FDF">
        <w:rPr>
          <w:rFonts w:cs="Arial"/>
          <w:sz w:val="20"/>
          <w:szCs w:val="20"/>
        </w:rPr>
        <w:t xml:space="preserve">This measure is not an Early Retirement measure. </w:t>
      </w:r>
    </w:p>
    <w:p w:rsidR="00BC4FDF" w:rsidRDefault="00BC4FDF" w:rsidP="00126A4E">
      <w:pPr>
        <w:rPr>
          <w:rFonts w:cs="Arial"/>
          <w:i/>
          <w:sz w:val="20"/>
          <w:szCs w:val="20"/>
        </w:rPr>
      </w:pPr>
    </w:p>
    <w:p w:rsidR="007D66D9" w:rsidRDefault="007D66D9" w:rsidP="0083197C">
      <w:pPr>
        <w:rPr>
          <w:rFonts w:cs="Arial"/>
          <w:sz w:val="20"/>
          <w:szCs w:val="20"/>
        </w:rPr>
      </w:pPr>
      <w:r>
        <w:rPr>
          <w:rFonts w:cs="Arial"/>
          <w:sz w:val="20"/>
          <w:szCs w:val="20"/>
        </w:rPr>
        <w:t xml:space="preserve">The electric and gas savings </w:t>
      </w:r>
      <w:r w:rsidR="0083197C">
        <w:rPr>
          <w:rFonts w:cs="Arial"/>
          <w:sz w:val="20"/>
          <w:szCs w:val="20"/>
        </w:rPr>
        <w:t xml:space="preserve">are estimated via an econometric model which compares </w:t>
      </w:r>
      <w:r>
        <w:rPr>
          <w:rFonts w:cs="Arial"/>
          <w:sz w:val="20"/>
          <w:szCs w:val="20"/>
        </w:rPr>
        <w:t xml:space="preserve">billing data collected on the members of each of the control and treatment groups </w:t>
      </w:r>
      <w:r w:rsidR="0083197C">
        <w:rPr>
          <w:rFonts w:cs="Arial"/>
          <w:sz w:val="20"/>
          <w:szCs w:val="20"/>
        </w:rPr>
        <w:t xml:space="preserve">for </w:t>
      </w:r>
      <w:r>
        <w:rPr>
          <w:rFonts w:cs="Arial"/>
          <w:sz w:val="20"/>
          <w:szCs w:val="20"/>
        </w:rPr>
        <w:t xml:space="preserve">each </w:t>
      </w:r>
      <w:r w:rsidR="008050AD">
        <w:rPr>
          <w:rFonts w:cs="Arial"/>
          <w:sz w:val="20"/>
          <w:szCs w:val="20"/>
        </w:rPr>
        <w:t xml:space="preserve">experiment </w:t>
      </w:r>
      <w:r>
        <w:rPr>
          <w:rFonts w:cs="Arial"/>
          <w:sz w:val="20"/>
          <w:szCs w:val="20"/>
        </w:rPr>
        <w:t xml:space="preserve">as described in sections 1.2 and 1.4. The </w:t>
      </w:r>
      <w:r w:rsidR="00BA1640">
        <w:rPr>
          <w:rFonts w:cs="Arial"/>
          <w:sz w:val="20"/>
          <w:szCs w:val="20"/>
        </w:rPr>
        <w:t xml:space="preserve">statistical </w:t>
      </w:r>
      <w:r>
        <w:rPr>
          <w:rFonts w:cs="Arial"/>
          <w:sz w:val="20"/>
          <w:szCs w:val="20"/>
        </w:rPr>
        <w:t>analysis of the data requires the following assumptions:</w:t>
      </w:r>
    </w:p>
    <w:p w:rsidR="007D66D9" w:rsidRDefault="007D66D9" w:rsidP="00126A4E">
      <w:pPr>
        <w:rPr>
          <w:rFonts w:cs="Arial"/>
          <w:sz w:val="20"/>
          <w:szCs w:val="20"/>
        </w:rPr>
      </w:pPr>
    </w:p>
    <w:p w:rsidR="007D66D9" w:rsidRDefault="007D66D9" w:rsidP="007D66D9">
      <w:pPr>
        <w:pStyle w:val="ListParagraph"/>
        <w:numPr>
          <w:ilvl w:val="0"/>
          <w:numId w:val="29"/>
        </w:numPr>
        <w:rPr>
          <w:rFonts w:cs="Arial"/>
          <w:sz w:val="20"/>
          <w:szCs w:val="20"/>
        </w:rPr>
      </w:pPr>
      <w:r>
        <w:rPr>
          <w:rFonts w:cs="Arial"/>
          <w:sz w:val="20"/>
          <w:szCs w:val="20"/>
        </w:rPr>
        <w:t xml:space="preserve">The </w:t>
      </w:r>
      <w:r w:rsidR="00BA1640">
        <w:rPr>
          <w:rFonts w:cs="Arial"/>
          <w:sz w:val="20"/>
          <w:szCs w:val="20"/>
        </w:rPr>
        <w:t xml:space="preserve">estimation </w:t>
      </w:r>
      <w:r>
        <w:rPr>
          <w:rFonts w:cs="Arial"/>
          <w:sz w:val="20"/>
          <w:szCs w:val="20"/>
        </w:rPr>
        <w:t xml:space="preserve">of savings derives from </w:t>
      </w:r>
      <w:r w:rsidR="00C52701">
        <w:rPr>
          <w:rFonts w:cs="Arial"/>
          <w:sz w:val="20"/>
          <w:szCs w:val="20"/>
        </w:rPr>
        <w:t>a panel-based regression analysis w</w:t>
      </w:r>
      <w:r>
        <w:rPr>
          <w:rFonts w:cs="Arial"/>
          <w:sz w:val="20"/>
          <w:szCs w:val="20"/>
        </w:rPr>
        <w:t>here</w:t>
      </w:r>
      <w:r w:rsidR="00C52701">
        <w:rPr>
          <w:rFonts w:cs="Arial"/>
          <w:sz w:val="20"/>
          <w:szCs w:val="20"/>
        </w:rPr>
        <w:t>by</w:t>
      </w:r>
      <w:r>
        <w:rPr>
          <w:rFonts w:cs="Arial"/>
          <w:sz w:val="20"/>
          <w:szCs w:val="20"/>
        </w:rPr>
        <w:t xml:space="preserve"> the aggregate energy use of the control group and that of the treatment group are </w:t>
      </w:r>
      <w:r w:rsidR="00C52701">
        <w:rPr>
          <w:rFonts w:cs="Arial"/>
          <w:sz w:val="20"/>
          <w:szCs w:val="20"/>
        </w:rPr>
        <w:t>compared</w:t>
      </w:r>
      <w:r>
        <w:rPr>
          <w:rFonts w:cs="Arial"/>
          <w:sz w:val="20"/>
          <w:szCs w:val="20"/>
        </w:rPr>
        <w:t xml:space="preserve"> over a period of time</w:t>
      </w:r>
      <w:r w:rsidR="00C52701">
        <w:rPr>
          <w:rFonts w:cs="Arial"/>
          <w:sz w:val="20"/>
          <w:szCs w:val="20"/>
        </w:rPr>
        <w:t xml:space="preserve">. </w:t>
      </w:r>
      <w:r w:rsidR="00120191">
        <w:rPr>
          <w:rFonts w:cs="Arial"/>
          <w:sz w:val="20"/>
          <w:szCs w:val="20"/>
        </w:rPr>
        <w:t xml:space="preserve">This is discussed in Section 1.4.3.3 and </w:t>
      </w:r>
      <w:r w:rsidR="00F300A5">
        <w:rPr>
          <w:rFonts w:cs="Arial"/>
          <w:sz w:val="20"/>
          <w:szCs w:val="20"/>
        </w:rPr>
        <w:t>other References (see Reference List).</w:t>
      </w:r>
      <w:r w:rsidR="00120191">
        <w:rPr>
          <w:rFonts w:cs="Arial"/>
          <w:sz w:val="20"/>
          <w:szCs w:val="20"/>
        </w:rPr>
        <w:t xml:space="preserve"> </w:t>
      </w:r>
      <w:r w:rsidR="00F300A5">
        <w:rPr>
          <w:rFonts w:cs="Arial"/>
          <w:sz w:val="20"/>
          <w:szCs w:val="20"/>
        </w:rPr>
        <w:t xml:space="preserve">The </w:t>
      </w:r>
      <w:r>
        <w:rPr>
          <w:rFonts w:cs="Arial"/>
          <w:sz w:val="20"/>
          <w:szCs w:val="20"/>
        </w:rPr>
        <w:t xml:space="preserve">beginning and ending </w:t>
      </w:r>
      <w:r w:rsidR="00C839DB">
        <w:rPr>
          <w:rFonts w:cs="Arial"/>
          <w:sz w:val="20"/>
          <w:szCs w:val="20"/>
        </w:rPr>
        <w:t>billing aggregates are compared using regression analysis to determine a mean value of difference in the savings or increases in use</w:t>
      </w:r>
      <w:r w:rsidR="00D012B5">
        <w:rPr>
          <w:rFonts w:cs="Arial"/>
          <w:sz w:val="20"/>
          <w:szCs w:val="20"/>
        </w:rPr>
        <w:t>;</w:t>
      </w:r>
    </w:p>
    <w:p w:rsidR="00C839DB" w:rsidRDefault="00C839DB" w:rsidP="007D66D9">
      <w:pPr>
        <w:pStyle w:val="ListParagraph"/>
        <w:numPr>
          <w:ilvl w:val="0"/>
          <w:numId w:val="29"/>
        </w:numPr>
        <w:rPr>
          <w:rFonts w:cs="Arial"/>
          <w:sz w:val="20"/>
          <w:szCs w:val="20"/>
        </w:rPr>
      </w:pPr>
      <w:r>
        <w:rPr>
          <w:rFonts w:cs="Arial"/>
          <w:sz w:val="20"/>
          <w:szCs w:val="20"/>
        </w:rPr>
        <w:t>The participants are counted based on rules set out in 1.2 and 1.4, opt</w:t>
      </w:r>
      <w:r w:rsidR="00846852">
        <w:rPr>
          <w:rFonts w:cs="Arial"/>
          <w:sz w:val="20"/>
          <w:szCs w:val="20"/>
        </w:rPr>
        <w:t>-</w:t>
      </w:r>
      <w:r>
        <w:rPr>
          <w:rFonts w:cs="Arial"/>
          <w:sz w:val="20"/>
          <w:szCs w:val="20"/>
        </w:rPr>
        <w:t xml:space="preserve">outs are continued to be counted while </w:t>
      </w:r>
      <w:r w:rsidR="00BA1640">
        <w:rPr>
          <w:rFonts w:cs="Arial"/>
          <w:sz w:val="20"/>
          <w:szCs w:val="20"/>
        </w:rPr>
        <w:t>“</w:t>
      </w:r>
      <w:r>
        <w:rPr>
          <w:rFonts w:cs="Arial"/>
          <w:sz w:val="20"/>
          <w:szCs w:val="20"/>
        </w:rPr>
        <w:t>move</w:t>
      </w:r>
      <w:r w:rsidR="00BA1640">
        <w:rPr>
          <w:rFonts w:cs="Arial"/>
          <w:sz w:val="20"/>
          <w:szCs w:val="20"/>
        </w:rPr>
        <w:t>-</w:t>
      </w:r>
      <w:r>
        <w:rPr>
          <w:rFonts w:cs="Arial"/>
          <w:sz w:val="20"/>
          <w:szCs w:val="20"/>
        </w:rPr>
        <w:t>outs</w:t>
      </w:r>
      <w:r w:rsidR="00BA1640">
        <w:rPr>
          <w:rFonts w:cs="Arial"/>
          <w:sz w:val="20"/>
          <w:szCs w:val="20"/>
        </w:rPr>
        <w:t>”</w:t>
      </w:r>
      <w:r>
        <w:rPr>
          <w:rFonts w:cs="Arial"/>
          <w:sz w:val="20"/>
          <w:szCs w:val="20"/>
        </w:rPr>
        <w:t xml:space="preserve"> are not. The </w:t>
      </w:r>
      <w:r w:rsidR="00B06452">
        <w:rPr>
          <w:rFonts w:cs="Arial"/>
          <w:sz w:val="20"/>
          <w:szCs w:val="20"/>
        </w:rPr>
        <w:t>number of participants in each group constituting the control and treatment groups is</w:t>
      </w:r>
      <w:r>
        <w:rPr>
          <w:rFonts w:cs="Arial"/>
          <w:sz w:val="20"/>
          <w:szCs w:val="20"/>
        </w:rPr>
        <w:t xml:space="preserve"> counted as the participants in the group at the end of the test period.</w:t>
      </w:r>
    </w:p>
    <w:p w:rsidR="00C839DB" w:rsidRPr="002914EA" w:rsidRDefault="00C839DB" w:rsidP="0060457B">
      <w:pPr>
        <w:rPr>
          <w:rFonts w:cs="Arial"/>
          <w:sz w:val="20"/>
          <w:szCs w:val="20"/>
        </w:rPr>
      </w:pPr>
    </w:p>
    <w:p w:rsidR="00152FC2" w:rsidRDefault="002914EA" w:rsidP="00152FC2">
      <w:pPr>
        <w:rPr>
          <w:sz w:val="20"/>
          <w:szCs w:val="20"/>
        </w:rPr>
      </w:pPr>
      <w:r w:rsidRPr="00815DEB">
        <w:rPr>
          <w:sz w:val="20"/>
          <w:szCs w:val="20"/>
        </w:rPr>
        <w:t xml:space="preserve">The methodology used to estimate electric </w:t>
      </w:r>
      <w:r w:rsidR="0077634F">
        <w:rPr>
          <w:sz w:val="20"/>
          <w:szCs w:val="20"/>
        </w:rPr>
        <w:t xml:space="preserve">and gas </w:t>
      </w:r>
      <w:r w:rsidRPr="00815DEB">
        <w:rPr>
          <w:sz w:val="20"/>
          <w:szCs w:val="20"/>
        </w:rPr>
        <w:t xml:space="preserve">savings resulting from the HER program is </w:t>
      </w:r>
      <w:r>
        <w:rPr>
          <w:sz w:val="20"/>
          <w:szCs w:val="20"/>
        </w:rPr>
        <w:t xml:space="preserve">based on </w:t>
      </w:r>
      <w:r w:rsidRPr="00815DEB">
        <w:rPr>
          <w:sz w:val="20"/>
          <w:szCs w:val="20"/>
        </w:rPr>
        <w:t>a fixed-effects</w:t>
      </w:r>
      <w:r w:rsidR="00031249">
        <w:rPr>
          <w:sz w:val="20"/>
          <w:szCs w:val="20"/>
        </w:rPr>
        <w:t xml:space="preserve"> panel</w:t>
      </w:r>
      <w:r w:rsidRPr="00815DEB">
        <w:rPr>
          <w:sz w:val="20"/>
          <w:szCs w:val="20"/>
        </w:rPr>
        <w:t xml:space="preserve"> regression model</w:t>
      </w:r>
      <w:r>
        <w:rPr>
          <w:sz w:val="20"/>
          <w:szCs w:val="20"/>
        </w:rPr>
        <w:t xml:space="preserve"> </w:t>
      </w:r>
      <w:r w:rsidR="00152FC2" w:rsidRPr="00152FC2">
        <w:rPr>
          <w:sz w:val="20"/>
          <w:szCs w:val="20"/>
        </w:rPr>
        <w:t xml:space="preserve">in which monthly energy consumption for treatment and control group customers </w:t>
      </w:r>
      <w:r w:rsidR="0077634F">
        <w:rPr>
          <w:sz w:val="20"/>
          <w:szCs w:val="20"/>
        </w:rPr>
        <w:t>is</w:t>
      </w:r>
      <w:r w:rsidR="00152FC2" w:rsidRPr="00152FC2">
        <w:rPr>
          <w:sz w:val="20"/>
          <w:szCs w:val="20"/>
        </w:rPr>
        <w:t xml:space="preserve"> estimated using an indicator variable for month of the study, a treatment month indicator variable and a customer-level indicator variable</w:t>
      </w:r>
      <w:r w:rsidR="00152FC2">
        <w:rPr>
          <w:sz w:val="20"/>
          <w:szCs w:val="20"/>
        </w:rPr>
        <w:t xml:space="preserve">. Such a model </w:t>
      </w:r>
      <w:r>
        <w:rPr>
          <w:sz w:val="20"/>
          <w:szCs w:val="20"/>
        </w:rPr>
        <w:t xml:space="preserve">is the standard for evaluating behavioral programs. </w:t>
      </w:r>
      <w:r w:rsidR="00152FC2">
        <w:rPr>
          <w:sz w:val="20"/>
          <w:szCs w:val="20"/>
        </w:rPr>
        <w:t xml:space="preserve">It </w:t>
      </w:r>
      <w:r>
        <w:rPr>
          <w:sz w:val="20"/>
          <w:szCs w:val="20"/>
        </w:rPr>
        <w:t>produces a “difference-in-difference</w:t>
      </w:r>
      <w:r w:rsidRPr="002914EA">
        <w:rPr>
          <w:sz w:val="20"/>
          <w:szCs w:val="20"/>
        </w:rPr>
        <w:t>” calculation by comparing the pre- to</w:t>
      </w:r>
      <w:r>
        <w:rPr>
          <w:sz w:val="20"/>
          <w:szCs w:val="20"/>
        </w:rPr>
        <w:t xml:space="preserve"> </w:t>
      </w:r>
      <w:r w:rsidRPr="002914EA">
        <w:rPr>
          <w:sz w:val="20"/>
          <w:szCs w:val="20"/>
        </w:rPr>
        <w:t>post-</w:t>
      </w:r>
      <w:r w:rsidR="00152FC2">
        <w:rPr>
          <w:sz w:val="20"/>
          <w:szCs w:val="20"/>
        </w:rPr>
        <w:t>treatment</w:t>
      </w:r>
      <w:r w:rsidRPr="002914EA">
        <w:rPr>
          <w:sz w:val="20"/>
          <w:szCs w:val="20"/>
        </w:rPr>
        <w:t xml:space="preserve"> difference for the treatment group to the pre- to post-</w:t>
      </w:r>
      <w:r w:rsidR="00152FC2">
        <w:rPr>
          <w:sz w:val="20"/>
          <w:szCs w:val="20"/>
        </w:rPr>
        <w:t>treatment</w:t>
      </w:r>
      <w:r w:rsidRPr="002914EA">
        <w:rPr>
          <w:sz w:val="20"/>
          <w:szCs w:val="20"/>
        </w:rPr>
        <w:t xml:space="preserve"> difference for the control group.</w:t>
      </w:r>
      <w:r w:rsidR="00152FC2">
        <w:rPr>
          <w:sz w:val="20"/>
          <w:szCs w:val="20"/>
        </w:rPr>
        <w:t xml:space="preserve"> </w:t>
      </w:r>
    </w:p>
    <w:p w:rsidR="00152FC2" w:rsidRDefault="00152FC2" w:rsidP="00152FC2">
      <w:pPr>
        <w:rPr>
          <w:sz w:val="20"/>
          <w:szCs w:val="20"/>
        </w:rPr>
      </w:pPr>
    </w:p>
    <w:p w:rsidR="002914EA" w:rsidRPr="009D7D4E" w:rsidRDefault="00152FC2" w:rsidP="00152FC2">
      <w:pPr>
        <w:rPr>
          <w:rFonts w:cs="Arial"/>
          <w:sz w:val="20"/>
          <w:szCs w:val="20"/>
        </w:rPr>
      </w:pPr>
      <w:r w:rsidRPr="009D7D4E">
        <w:rPr>
          <w:rFonts w:cs="Arial"/>
          <w:sz w:val="20"/>
          <w:szCs w:val="20"/>
        </w:rPr>
        <w:t>The change that occurs in the treatment group is adjusted to reflect any change that occurred in the control group, in order to isolate changes attributable to the program. The fixed-effects equation is:</w:t>
      </w:r>
    </w:p>
    <w:p w:rsidR="00152FC2" w:rsidRPr="009D7D4E" w:rsidRDefault="00152FC2" w:rsidP="00965CA0">
      <w:pPr>
        <w:autoSpaceDE w:val="0"/>
        <w:autoSpaceDN w:val="0"/>
        <w:adjustRightInd w:val="0"/>
        <w:rPr>
          <w:rFonts w:cs="Arial"/>
          <w:sz w:val="20"/>
          <w:szCs w:val="20"/>
        </w:rPr>
      </w:pPr>
    </w:p>
    <w:p w:rsidR="00965CA0" w:rsidRPr="005B40F4" w:rsidRDefault="00965CA0" w:rsidP="00152FC2">
      <w:pPr>
        <w:autoSpaceDE w:val="0"/>
        <w:autoSpaceDN w:val="0"/>
        <w:adjustRightInd w:val="0"/>
        <w:jc w:val="center"/>
        <w:rPr>
          <w:rFonts w:cs="Arial"/>
          <w:sz w:val="36"/>
          <w:szCs w:val="36"/>
        </w:rPr>
      </w:pPr>
      <w:r w:rsidRPr="005B40F4">
        <w:rPr>
          <w:rFonts w:ascii="Cambria Math" w:hAnsi="Cambria Math" w:cs="Cambria Math"/>
          <w:sz w:val="36"/>
          <w:szCs w:val="36"/>
        </w:rPr>
        <w:t>𝐸</w:t>
      </w:r>
      <w:r w:rsidRPr="005B40F4">
        <w:rPr>
          <w:rFonts w:ascii="Cambria Math" w:hAnsi="Cambria Math" w:cs="Cambria Math"/>
          <w:sz w:val="36"/>
          <w:szCs w:val="36"/>
          <w:vertAlign w:val="subscript"/>
        </w:rPr>
        <w:t>𝑖𝑡</w:t>
      </w:r>
      <w:r w:rsidR="001A1ADE" w:rsidRPr="005B40F4">
        <w:rPr>
          <w:rFonts w:cs="Arial"/>
          <w:sz w:val="36"/>
          <w:szCs w:val="36"/>
        </w:rPr>
        <w:t xml:space="preserve"> </w:t>
      </w:r>
      <w:r w:rsidRPr="005B40F4">
        <w:rPr>
          <w:rFonts w:cs="Arial"/>
          <w:sz w:val="36"/>
          <w:szCs w:val="36"/>
        </w:rPr>
        <w:t xml:space="preserve">= </w:t>
      </w:r>
      <w:r w:rsidRPr="005B40F4">
        <w:rPr>
          <w:rFonts w:ascii="Cambria Math" w:hAnsi="Cambria Math" w:cs="Cambria Math"/>
          <w:sz w:val="36"/>
          <w:szCs w:val="36"/>
        </w:rPr>
        <w:t>𝜇</w:t>
      </w:r>
      <w:r w:rsidRPr="005B40F4">
        <w:rPr>
          <w:rFonts w:ascii="Cambria Math" w:hAnsi="Cambria Math" w:cs="Cambria Math"/>
          <w:sz w:val="36"/>
          <w:szCs w:val="36"/>
          <w:vertAlign w:val="subscript"/>
        </w:rPr>
        <w:t>𝑖</w:t>
      </w:r>
      <w:r w:rsidRPr="005B40F4">
        <w:rPr>
          <w:rFonts w:cs="Arial"/>
          <w:sz w:val="36"/>
          <w:szCs w:val="36"/>
        </w:rPr>
        <w:t xml:space="preserve"> + </w:t>
      </w:r>
      <w:r w:rsidRPr="005B40F4">
        <w:rPr>
          <w:rFonts w:ascii="Cambria Math" w:hAnsi="Cambria Math" w:cs="Cambria Math"/>
          <w:sz w:val="36"/>
          <w:szCs w:val="36"/>
        </w:rPr>
        <w:t>𝜆</w:t>
      </w:r>
      <w:r w:rsidRPr="005B40F4">
        <w:rPr>
          <w:rFonts w:ascii="Cambria Math" w:hAnsi="Cambria Math" w:cs="Cambria Math"/>
          <w:sz w:val="36"/>
          <w:szCs w:val="36"/>
          <w:vertAlign w:val="subscript"/>
        </w:rPr>
        <w:t>𝑡</w:t>
      </w:r>
      <w:r w:rsidRPr="005B40F4">
        <w:rPr>
          <w:rFonts w:cs="Arial"/>
          <w:sz w:val="36"/>
          <w:szCs w:val="36"/>
        </w:rPr>
        <w:t xml:space="preserve"> + </w:t>
      </w:r>
      <w:r w:rsidRPr="005B40F4">
        <w:rPr>
          <w:rFonts w:ascii="Cambria Math" w:hAnsi="Cambria Math" w:cs="Cambria Math"/>
          <w:sz w:val="36"/>
          <w:szCs w:val="36"/>
        </w:rPr>
        <w:t>𝛽𝑃</w:t>
      </w:r>
      <w:r w:rsidRPr="005B40F4">
        <w:rPr>
          <w:rFonts w:ascii="Cambria Math" w:hAnsi="Cambria Math" w:cs="Cambria Math"/>
          <w:sz w:val="36"/>
          <w:szCs w:val="36"/>
          <w:vertAlign w:val="subscript"/>
        </w:rPr>
        <w:t>𝑖𝑡</w:t>
      </w:r>
      <w:r w:rsidRPr="005B40F4">
        <w:rPr>
          <w:rFonts w:cs="Arial"/>
          <w:sz w:val="36"/>
          <w:szCs w:val="36"/>
        </w:rPr>
        <w:t xml:space="preserve"> + </w:t>
      </w:r>
      <w:r w:rsidRPr="005B40F4">
        <w:rPr>
          <w:rFonts w:ascii="Cambria Math" w:hAnsi="Cambria Math" w:cs="Cambria Math"/>
          <w:sz w:val="36"/>
          <w:szCs w:val="36"/>
        </w:rPr>
        <w:t>𝜀</w:t>
      </w:r>
      <w:r w:rsidRPr="005B40F4">
        <w:rPr>
          <w:rFonts w:ascii="Cambria Math" w:hAnsi="Cambria Math" w:cs="Cambria Math"/>
          <w:sz w:val="36"/>
          <w:szCs w:val="36"/>
          <w:vertAlign w:val="subscript"/>
        </w:rPr>
        <w:t>𝑖𝑡</w:t>
      </w:r>
    </w:p>
    <w:p w:rsidR="00965CA0" w:rsidRPr="009D7D4E" w:rsidRDefault="00965CA0" w:rsidP="00965CA0">
      <w:pPr>
        <w:autoSpaceDE w:val="0"/>
        <w:autoSpaceDN w:val="0"/>
        <w:adjustRightInd w:val="0"/>
        <w:rPr>
          <w:rFonts w:cs="Arial"/>
          <w:sz w:val="20"/>
          <w:szCs w:val="20"/>
        </w:rPr>
      </w:pPr>
      <w:r w:rsidRPr="009D7D4E">
        <w:rPr>
          <w:rFonts w:cs="Arial"/>
          <w:sz w:val="20"/>
          <w:szCs w:val="20"/>
        </w:rPr>
        <w:t>Where:</w:t>
      </w:r>
    </w:p>
    <w:p w:rsidR="00965CA0" w:rsidRPr="009D7D4E" w:rsidRDefault="00965CA0" w:rsidP="009D7D4E">
      <w:pPr>
        <w:pStyle w:val="ListParagraph"/>
        <w:numPr>
          <w:ilvl w:val="0"/>
          <w:numId w:val="20"/>
        </w:numPr>
        <w:autoSpaceDE w:val="0"/>
        <w:autoSpaceDN w:val="0"/>
        <w:adjustRightInd w:val="0"/>
        <w:rPr>
          <w:rFonts w:cs="Arial"/>
          <w:sz w:val="20"/>
          <w:szCs w:val="20"/>
        </w:rPr>
      </w:pPr>
      <w:r w:rsidRPr="009D7D4E">
        <w:rPr>
          <w:rFonts w:ascii="Cambria Math" w:hAnsi="Cambria Math" w:cs="Cambria Math"/>
          <w:sz w:val="20"/>
          <w:szCs w:val="20"/>
        </w:rPr>
        <w:t>𝐸</w:t>
      </w:r>
      <w:r w:rsidRPr="002C6554">
        <w:rPr>
          <w:rFonts w:ascii="Cambria Math" w:hAnsi="Cambria Math" w:cs="Cambria Math"/>
          <w:sz w:val="20"/>
          <w:szCs w:val="20"/>
          <w:vertAlign w:val="subscript"/>
        </w:rPr>
        <w:t>𝑖𝑡</w:t>
      </w:r>
      <w:r w:rsidRPr="009D7D4E">
        <w:rPr>
          <w:rFonts w:cs="Arial"/>
          <w:sz w:val="20"/>
          <w:szCs w:val="20"/>
        </w:rPr>
        <w:t xml:space="preserve"> = Average daily energy consumption for account </w:t>
      </w:r>
      <w:r w:rsidRPr="009D7D4E">
        <w:rPr>
          <w:rFonts w:ascii="Cambria Math" w:hAnsi="Cambria Math" w:cs="Cambria Math"/>
          <w:sz w:val="20"/>
          <w:szCs w:val="20"/>
        </w:rPr>
        <w:t>𝑖</w:t>
      </w:r>
      <w:r w:rsidRPr="009D7D4E">
        <w:rPr>
          <w:rFonts w:cs="Arial"/>
          <w:sz w:val="20"/>
          <w:szCs w:val="20"/>
        </w:rPr>
        <w:t xml:space="preserve"> during month </w:t>
      </w:r>
      <w:r w:rsidRPr="009D7D4E">
        <w:rPr>
          <w:rFonts w:ascii="Cambria Math" w:hAnsi="Cambria Math" w:cs="Cambria Math"/>
          <w:sz w:val="20"/>
          <w:szCs w:val="20"/>
        </w:rPr>
        <w:t>𝑡</w:t>
      </w:r>
    </w:p>
    <w:p w:rsidR="00965CA0" w:rsidRPr="0077634F" w:rsidRDefault="00965CA0" w:rsidP="0077634F">
      <w:pPr>
        <w:pStyle w:val="ListParagraph"/>
        <w:numPr>
          <w:ilvl w:val="0"/>
          <w:numId w:val="20"/>
        </w:numPr>
        <w:autoSpaceDE w:val="0"/>
        <w:autoSpaceDN w:val="0"/>
        <w:adjustRightInd w:val="0"/>
        <w:rPr>
          <w:rFonts w:cs="Arial"/>
          <w:sz w:val="20"/>
          <w:szCs w:val="20"/>
        </w:rPr>
      </w:pPr>
      <w:r w:rsidRPr="0077634F">
        <w:rPr>
          <w:rFonts w:ascii="Cambria Math" w:hAnsi="Cambria Math" w:cs="Cambria Math"/>
          <w:sz w:val="20"/>
          <w:szCs w:val="20"/>
        </w:rPr>
        <w:t>𝑃</w:t>
      </w:r>
      <w:r w:rsidRPr="0077634F">
        <w:rPr>
          <w:rFonts w:ascii="Cambria Math" w:hAnsi="Cambria Math" w:cs="Cambria Math"/>
          <w:sz w:val="20"/>
          <w:szCs w:val="20"/>
          <w:vertAlign w:val="subscript"/>
        </w:rPr>
        <w:t>𝑖𝑡</w:t>
      </w:r>
      <w:r w:rsidRPr="0077634F">
        <w:rPr>
          <w:rFonts w:cs="Arial"/>
          <w:sz w:val="20"/>
          <w:szCs w:val="20"/>
        </w:rPr>
        <w:t xml:space="preserve"> = Binary variable: one for households in the treatment group in the post period month </w:t>
      </w:r>
      <w:r w:rsidRPr="0077634F">
        <w:rPr>
          <w:rFonts w:cs="Arial"/>
          <w:i/>
          <w:iCs/>
          <w:sz w:val="20"/>
          <w:szCs w:val="20"/>
        </w:rPr>
        <w:t>t</w:t>
      </w:r>
      <w:r w:rsidRPr="0077634F">
        <w:rPr>
          <w:rFonts w:cs="Arial"/>
          <w:sz w:val="20"/>
          <w:szCs w:val="20"/>
        </w:rPr>
        <w:t>,</w:t>
      </w:r>
      <w:r w:rsidR="00F818F5">
        <w:rPr>
          <w:rFonts w:cs="Arial"/>
          <w:sz w:val="20"/>
          <w:szCs w:val="20"/>
        </w:rPr>
        <w:t xml:space="preserve"> </w:t>
      </w:r>
      <w:r w:rsidRPr="0077634F">
        <w:rPr>
          <w:rFonts w:cs="Arial"/>
          <w:sz w:val="20"/>
          <w:szCs w:val="20"/>
        </w:rPr>
        <w:t>zero otherwise</w:t>
      </w:r>
    </w:p>
    <w:p w:rsidR="00965CA0" w:rsidRPr="009D7D4E" w:rsidRDefault="00965CA0" w:rsidP="009D7D4E">
      <w:pPr>
        <w:pStyle w:val="ListParagraph"/>
        <w:numPr>
          <w:ilvl w:val="0"/>
          <w:numId w:val="20"/>
        </w:numPr>
        <w:autoSpaceDE w:val="0"/>
        <w:autoSpaceDN w:val="0"/>
        <w:adjustRightInd w:val="0"/>
        <w:rPr>
          <w:rFonts w:cs="Arial"/>
          <w:sz w:val="20"/>
          <w:szCs w:val="20"/>
        </w:rPr>
      </w:pPr>
      <w:r w:rsidRPr="009D7D4E">
        <w:rPr>
          <w:rFonts w:ascii="Cambria Math" w:hAnsi="Cambria Math" w:cs="Cambria Math"/>
          <w:sz w:val="20"/>
          <w:szCs w:val="20"/>
        </w:rPr>
        <w:t>𝜆</w:t>
      </w:r>
      <w:r w:rsidRPr="002C6554">
        <w:rPr>
          <w:rFonts w:ascii="Cambria Math" w:hAnsi="Cambria Math" w:cs="Cambria Math"/>
          <w:sz w:val="20"/>
          <w:szCs w:val="20"/>
          <w:vertAlign w:val="subscript"/>
        </w:rPr>
        <w:t>𝑡</w:t>
      </w:r>
      <w:r w:rsidRPr="009D7D4E">
        <w:rPr>
          <w:rFonts w:cs="Arial"/>
          <w:sz w:val="20"/>
          <w:szCs w:val="20"/>
        </w:rPr>
        <w:t xml:space="preserve"> = Binary variable: one for a specific month/year, zero otherwise</w:t>
      </w:r>
    </w:p>
    <w:p w:rsidR="00965CA0" w:rsidRPr="009D7D4E" w:rsidRDefault="00965CA0" w:rsidP="009D7D4E">
      <w:pPr>
        <w:pStyle w:val="ListParagraph"/>
        <w:numPr>
          <w:ilvl w:val="0"/>
          <w:numId w:val="20"/>
        </w:numPr>
        <w:autoSpaceDE w:val="0"/>
        <w:autoSpaceDN w:val="0"/>
        <w:adjustRightInd w:val="0"/>
        <w:rPr>
          <w:rFonts w:cs="Arial"/>
          <w:sz w:val="20"/>
          <w:szCs w:val="20"/>
        </w:rPr>
      </w:pPr>
      <w:r w:rsidRPr="009D7D4E">
        <w:rPr>
          <w:rFonts w:ascii="Cambria Math" w:hAnsi="Cambria Math" w:cs="Cambria Math"/>
          <w:sz w:val="20"/>
          <w:szCs w:val="20"/>
        </w:rPr>
        <w:t>𝜇</w:t>
      </w:r>
      <w:r w:rsidRPr="002C6554">
        <w:rPr>
          <w:rFonts w:ascii="Cambria Math" w:hAnsi="Cambria Math" w:cs="Cambria Math"/>
          <w:sz w:val="20"/>
          <w:szCs w:val="20"/>
          <w:vertAlign w:val="subscript"/>
        </w:rPr>
        <w:t>𝑖</w:t>
      </w:r>
      <w:r w:rsidRPr="009D7D4E">
        <w:rPr>
          <w:rFonts w:cs="Arial"/>
          <w:sz w:val="20"/>
          <w:szCs w:val="20"/>
        </w:rPr>
        <w:t xml:space="preserve"> = Account level fixed effect</w:t>
      </w:r>
    </w:p>
    <w:p w:rsidR="00965CA0" w:rsidRPr="009D7D4E" w:rsidRDefault="00965CA0" w:rsidP="009D7D4E">
      <w:pPr>
        <w:pStyle w:val="ListParagraph"/>
        <w:numPr>
          <w:ilvl w:val="0"/>
          <w:numId w:val="20"/>
        </w:numPr>
        <w:autoSpaceDE w:val="0"/>
        <w:autoSpaceDN w:val="0"/>
        <w:adjustRightInd w:val="0"/>
        <w:rPr>
          <w:rFonts w:ascii="Verdana" w:hAnsi="Verdana" w:cs="Verdana"/>
          <w:sz w:val="18"/>
          <w:szCs w:val="18"/>
        </w:rPr>
      </w:pPr>
      <w:r w:rsidRPr="009D7D4E">
        <w:rPr>
          <w:rFonts w:ascii="Cambria Math" w:hAnsi="Cambria Math" w:cs="Cambria Math"/>
          <w:sz w:val="20"/>
          <w:szCs w:val="20"/>
        </w:rPr>
        <w:t>𝜀</w:t>
      </w:r>
      <w:r w:rsidRPr="002C6554">
        <w:rPr>
          <w:rFonts w:ascii="Cambria Math" w:hAnsi="Cambria Math" w:cs="Cambria Math"/>
          <w:sz w:val="20"/>
          <w:szCs w:val="20"/>
          <w:vertAlign w:val="subscript"/>
        </w:rPr>
        <w:t>𝑖𝑡</w:t>
      </w:r>
      <w:r w:rsidRPr="009D7D4E">
        <w:rPr>
          <w:rFonts w:cs="Arial"/>
          <w:sz w:val="20"/>
          <w:szCs w:val="20"/>
        </w:rPr>
        <w:t xml:space="preserve"> = Regression residual</w:t>
      </w:r>
    </w:p>
    <w:p w:rsidR="009D7D4E" w:rsidRPr="00361A15" w:rsidRDefault="009D7D4E" w:rsidP="00965CA0">
      <w:pPr>
        <w:autoSpaceDE w:val="0"/>
        <w:autoSpaceDN w:val="0"/>
        <w:adjustRightInd w:val="0"/>
        <w:rPr>
          <w:rFonts w:cs="Arial"/>
          <w:sz w:val="20"/>
          <w:szCs w:val="20"/>
        </w:rPr>
      </w:pPr>
    </w:p>
    <w:p w:rsidR="009D7D4E" w:rsidRPr="00361A15" w:rsidRDefault="009D7D4E" w:rsidP="00965CA0">
      <w:pPr>
        <w:autoSpaceDE w:val="0"/>
        <w:autoSpaceDN w:val="0"/>
        <w:adjustRightInd w:val="0"/>
        <w:rPr>
          <w:rFonts w:cs="Arial"/>
          <w:sz w:val="20"/>
          <w:szCs w:val="20"/>
        </w:rPr>
      </w:pPr>
    </w:p>
    <w:p w:rsidR="00965CA0" w:rsidRPr="00361A15" w:rsidRDefault="00965CA0" w:rsidP="00965CA0">
      <w:pPr>
        <w:autoSpaceDE w:val="0"/>
        <w:autoSpaceDN w:val="0"/>
        <w:adjustRightInd w:val="0"/>
        <w:rPr>
          <w:rFonts w:cs="Arial"/>
          <w:sz w:val="20"/>
          <w:szCs w:val="20"/>
        </w:rPr>
      </w:pPr>
      <w:r w:rsidRPr="00361A15">
        <w:rPr>
          <w:rFonts w:cs="Arial"/>
          <w:sz w:val="20"/>
          <w:szCs w:val="20"/>
        </w:rPr>
        <w:t>This model produces estimates of average monthly savings using the following equation:</w:t>
      </w:r>
    </w:p>
    <w:p w:rsidR="00B65278" w:rsidRPr="005B40F4" w:rsidRDefault="00B37A08" w:rsidP="00B65278">
      <w:pPr>
        <w:autoSpaceDE w:val="0"/>
        <w:autoSpaceDN w:val="0"/>
        <w:adjustRightInd w:val="0"/>
        <w:jc w:val="center"/>
        <w:rPr>
          <w:rFonts w:cs="Arial"/>
          <w:sz w:val="36"/>
          <w:szCs w:val="36"/>
        </w:rPr>
      </w:pPr>
      <m:oMath>
        <m:acc>
          <m:accPr>
            <m:chr m:val="̅"/>
            <m:ctrlPr>
              <w:rPr>
                <w:rFonts w:ascii="Cambria Math" w:hAnsi="Cambria Math" w:cs="Cambria Math"/>
                <w:i/>
                <w:sz w:val="36"/>
                <w:szCs w:val="36"/>
              </w:rPr>
            </m:ctrlPr>
          </m:accPr>
          <m:e>
            <m:r>
              <w:rPr>
                <w:rFonts w:ascii="Cambria Math" w:hAnsi="Cambria Math" w:cs="Cambria Math"/>
                <w:sz w:val="36"/>
                <w:szCs w:val="36"/>
              </w:rPr>
              <m:t>S</m:t>
            </m:r>
          </m:e>
        </m:acc>
      </m:oMath>
      <w:r w:rsidR="00965CA0" w:rsidRPr="005B40F4">
        <w:rPr>
          <w:rFonts w:ascii="Cambria Math" w:hAnsi="Cambria Math" w:cs="Cambria Math"/>
          <w:sz w:val="36"/>
          <w:szCs w:val="36"/>
          <w:vertAlign w:val="subscript"/>
        </w:rPr>
        <w:t>𝑡</w:t>
      </w:r>
      <w:r w:rsidR="001A1ADE" w:rsidRPr="005B40F4">
        <w:rPr>
          <w:rFonts w:ascii="Cambria Math" w:hAnsi="Cambria Math" w:cs="Cambria Math"/>
          <w:sz w:val="36"/>
          <w:szCs w:val="36"/>
        </w:rPr>
        <w:t xml:space="preserve"> </w:t>
      </w:r>
      <w:r w:rsidR="00965CA0" w:rsidRPr="005B40F4">
        <w:rPr>
          <w:rFonts w:ascii="Cambria Math" w:hAnsi="Cambria Math" w:cs="Cambria Math"/>
          <w:sz w:val="36"/>
          <w:szCs w:val="36"/>
        </w:rPr>
        <w:t xml:space="preserve">= </w:t>
      </w:r>
      <m:oMath>
        <m:acc>
          <m:accPr>
            <m:ctrlPr>
              <w:rPr>
                <w:rFonts w:ascii="Cambria Math" w:hAnsi="Cambria Math" w:cs="Cambria Math"/>
                <w:i/>
                <w:sz w:val="36"/>
                <w:szCs w:val="36"/>
              </w:rPr>
            </m:ctrlPr>
          </m:accPr>
          <m:e>
            <m:r>
              <w:rPr>
                <w:rFonts w:ascii="Cambria Math" w:hAnsi="Cambria Math" w:cs="Cambria Math"/>
                <w:sz w:val="36"/>
                <w:szCs w:val="36"/>
              </w:rPr>
              <m:t>β</m:t>
            </m:r>
          </m:e>
        </m:acc>
      </m:oMath>
      <w:r w:rsidR="00965CA0" w:rsidRPr="005B40F4">
        <w:rPr>
          <w:rFonts w:ascii="Cambria Math" w:hAnsi="Cambria Math" w:cs="Cambria Math"/>
          <w:sz w:val="36"/>
          <w:szCs w:val="36"/>
          <w:vertAlign w:val="subscript"/>
        </w:rPr>
        <w:t>𝑡</w:t>
      </w:r>
    </w:p>
    <w:p w:rsidR="00965CA0" w:rsidRPr="00E04EC8" w:rsidRDefault="00965CA0" w:rsidP="00965CA0">
      <w:pPr>
        <w:autoSpaceDE w:val="0"/>
        <w:autoSpaceDN w:val="0"/>
        <w:adjustRightInd w:val="0"/>
        <w:rPr>
          <w:rFonts w:cs="Arial"/>
          <w:sz w:val="20"/>
          <w:szCs w:val="20"/>
        </w:rPr>
      </w:pPr>
      <w:r w:rsidRPr="00E04EC8">
        <w:rPr>
          <w:rFonts w:cs="Arial"/>
          <w:sz w:val="20"/>
          <w:szCs w:val="20"/>
        </w:rPr>
        <w:t>Where:</w:t>
      </w:r>
    </w:p>
    <w:p w:rsidR="00965CA0" w:rsidRPr="00E04EC8" w:rsidRDefault="00B37A08" w:rsidP="00E04EC8">
      <w:pPr>
        <w:pStyle w:val="ListParagraph"/>
        <w:numPr>
          <w:ilvl w:val="0"/>
          <w:numId w:val="39"/>
        </w:numPr>
        <w:autoSpaceDE w:val="0"/>
        <w:autoSpaceDN w:val="0"/>
        <w:adjustRightInd w:val="0"/>
        <w:rPr>
          <w:rFonts w:cs="Arial"/>
          <w:sz w:val="20"/>
          <w:szCs w:val="20"/>
        </w:rPr>
      </w:pPr>
      <m:oMath>
        <m:acc>
          <m:accPr>
            <m:chr m:val="̅"/>
            <m:ctrlPr>
              <w:rPr>
                <w:rFonts w:ascii="Cambria Math" w:hAnsi="Cambria Math" w:cs="Cambria Math"/>
                <w:i/>
                <w:sz w:val="20"/>
                <w:szCs w:val="20"/>
              </w:rPr>
            </m:ctrlPr>
          </m:accPr>
          <m:e>
            <m:r>
              <w:rPr>
                <w:rFonts w:ascii="Cambria Math" w:hAnsi="Cambria Math" w:cs="Cambria Math"/>
                <w:sz w:val="20"/>
                <w:szCs w:val="20"/>
              </w:rPr>
              <m:t>S</m:t>
            </m:r>
          </m:e>
        </m:acc>
      </m:oMath>
      <w:r w:rsidR="00965CA0" w:rsidRPr="00E04EC8">
        <w:rPr>
          <w:rFonts w:ascii="Cambria Math" w:hAnsi="Cambria Math" w:cs="Cambria Math"/>
          <w:sz w:val="20"/>
          <w:szCs w:val="20"/>
          <w:vertAlign w:val="subscript"/>
        </w:rPr>
        <w:t>𝑡</w:t>
      </w:r>
      <w:r w:rsidR="00E04EC8" w:rsidRPr="00030D09">
        <w:rPr>
          <w:rFonts w:cs="Arial"/>
          <w:sz w:val="20"/>
          <w:szCs w:val="20"/>
        </w:rPr>
        <w:t xml:space="preserve"> </w:t>
      </w:r>
      <w:r w:rsidR="00E04EC8">
        <w:rPr>
          <w:rFonts w:cs="Arial"/>
          <w:sz w:val="20"/>
          <w:szCs w:val="20"/>
        </w:rPr>
        <w:t xml:space="preserve">= </w:t>
      </w:r>
      <w:r w:rsidR="00965CA0" w:rsidRPr="00E04EC8">
        <w:rPr>
          <w:rFonts w:cs="Arial"/>
          <w:sz w:val="20"/>
          <w:szCs w:val="20"/>
        </w:rPr>
        <w:t xml:space="preserve">Average treatment related consumption reduction during month </w:t>
      </w:r>
      <w:r w:rsidR="00965CA0" w:rsidRPr="00E04EC8">
        <w:rPr>
          <w:rFonts w:ascii="Cambria Math" w:hAnsi="Cambria Math" w:cs="Cambria Math"/>
          <w:sz w:val="20"/>
          <w:szCs w:val="20"/>
        </w:rPr>
        <w:t>𝑡</w:t>
      </w:r>
    </w:p>
    <w:p w:rsidR="00965CA0" w:rsidRPr="00E04EC8" w:rsidRDefault="00B37A08" w:rsidP="00E04EC8">
      <w:pPr>
        <w:pStyle w:val="ListParagraph"/>
        <w:numPr>
          <w:ilvl w:val="0"/>
          <w:numId w:val="39"/>
        </w:numPr>
        <w:autoSpaceDE w:val="0"/>
        <w:autoSpaceDN w:val="0"/>
        <w:adjustRightInd w:val="0"/>
        <w:rPr>
          <w:rFonts w:cs="Arial"/>
          <w:i/>
          <w:iCs/>
          <w:sz w:val="20"/>
          <w:szCs w:val="20"/>
        </w:rPr>
      </w:pPr>
      <m:oMath>
        <m:acc>
          <m:accPr>
            <m:ctrlPr>
              <w:rPr>
                <w:rFonts w:ascii="Cambria Math" w:hAnsi="Cambria Math" w:cs="Cambria Math"/>
                <w:i/>
                <w:sz w:val="20"/>
                <w:szCs w:val="20"/>
              </w:rPr>
            </m:ctrlPr>
          </m:accPr>
          <m:e>
            <m:r>
              <w:rPr>
                <w:rFonts w:ascii="Cambria Math" w:hAnsi="Cambria Math" w:cs="Cambria Math"/>
                <w:sz w:val="20"/>
                <w:szCs w:val="20"/>
              </w:rPr>
              <m:t>β</m:t>
            </m:r>
          </m:e>
        </m:acc>
      </m:oMath>
      <w:r w:rsidR="00965CA0" w:rsidRPr="00E04EC8">
        <w:rPr>
          <w:rFonts w:ascii="Cambria Math" w:hAnsi="Cambria Math" w:cs="Cambria Math"/>
          <w:sz w:val="20"/>
          <w:szCs w:val="20"/>
          <w:vertAlign w:val="subscript"/>
        </w:rPr>
        <w:t>𝑡</w:t>
      </w:r>
      <w:r w:rsidR="00E04EC8" w:rsidRPr="00030D09">
        <w:rPr>
          <w:rFonts w:cs="Arial"/>
          <w:sz w:val="20"/>
          <w:szCs w:val="20"/>
        </w:rPr>
        <w:t xml:space="preserve"> </w:t>
      </w:r>
      <w:r w:rsidR="00E04EC8">
        <w:rPr>
          <w:rFonts w:cs="Arial"/>
          <w:sz w:val="20"/>
          <w:szCs w:val="20"/>
        </w:rPr>
        <w:t xml:space="preserve">= </w:t>
      </w:r>
      <w:r w:rsidR="00965CA0" w:rsidRPr="00E04EC8">
        <w:rPr>
          <w:rFonts w:cs="Arial"/>
          <w:sz w:val="20"/>
          <w:szCs w:val="20"/>
        </w:rPr>
        <w:t xml:space="preserve">Estimated parameter measuring the treatment group difference in the post period month </w:t>
      </w:r>
      <w:r w:rsidR="00965CA0" w:rsidRPr="00E04EC8">
        <w:rPr>
          <w:rFonts w:cs="Arial"/>
          <w:i/>
          <w:iCs/>
          <w:sz w:val="20"/>
          <w:szCs w:val="20"/>
        </w:rPr>
        <w:t>t</w:t>
      </w:r>
    </w:p>
    <w:p w:rsidR="00E04EC8" w:rsidRDefault="00E04EC8" w:rsidP="00965CA0">
      <w:pPr>
        <w:autoSpaceDE w:val="0"/>
        <w:autoSpaceDN w:val="0"/>
        <w:adjustRightInd w:val="0"/>
        <w:rPr>
          <w:rFonts w:cs="Arial"/>
          <w:sz w:val="20"/>
          <w:szCs w:val="20"/>
        </w:rPr>
      </w:pPr>
    </w:p>
    <w:p w:rsidR="0030152A" w:rsidRDefault="00965CA0" w:rsidP="0030152A">
      <w:pPr>
        <w:autoSpaceDE w:val="0"/>
        <w:autoSpaceDN w:val="0"/>
        <w:adjustRightInd w:val="0"/>
        <w:rPr>
          <w:rFonts w:cs="Arial"/>
          <w:sz w:val="20"/>
          <w:szCs w:val="20"/>
        </w:rPr>
      </w:pPr>
      <w:r w:rsidRPr="00361A15">
        <w:rPr>
          <w:rFonts w:cs="Arial"/>
          <w:sz w:val="20"/>
          <w:szCs w:val="20"/>
        </w:rPr>
        <w:t>The model also includes site-specific and month/year fixed effects. The site-specific effects control for</w:t>
      </w:r>
      <w:r w:rsidR="00361A15">
        <w:rPr>
          <w:rFonts w:cs="Arial"/>
          <w:sz w:val="20"/>
          <w:szCs w:val="20"/>
        </w:rPr>
        <w:t xml:space="preserve"> </w:t>
      </w:r>
      <w:r w:rsidRPr="00361A15">
        <w:rPr>
          <w:rFonts w:cs="Arial"/>
          <w:sz w:val="20"/>
          <w:szCs w:val="20"/>
        </w:rPr>
        <w:t>mean differences between the treatment and control groups that do not change over time. The</w:t>
      </w:r>
      <w:r w:rsidR="00361A15">
        <w:rPr>
          <w:rFonts w:cs="Arial"/>
          <w:sz w:val="20"/>
          <w:szCs w:val="20"/>
        </w:rPr>
        <w:t xml:space="preserve"> </w:t>
      </w:r>
      <w:r w:rsidRPr="00361A15">
        <w:rPr>
          <w:rFonts w:cs="Arial"/>
          <w:sz w:val="20"/>
          <w:szCs w:val="20"/>
        </w:rPr>
        <w:t>month/year fixed effects control for change over time that is common to both treatment and control</w:t>
      </w:r>
      <w:r w:rsidR="00361A15">
        <w:rPr>
          <w:rFonts w:cs="Arial"/>
          <w:sz w:val="20"/>
          <w:szCs w:val="20"/>
        </w:rPr>
        <w:t xml:space="preserve"> </w:t>
      </w:r>
      <w:r w:rsidRPr="00361A15">
        <w:rPr>
          <w:rFonts w:cs="Arial"/>
          <w:sz w:val="20"/>
          <w:szCs w:val="20"/>
        </w:rPr>
        <w:lastRenderedPageBreak/>
        <w:t>groups. The monthly post-program dummy variables pick up the average monthly effects of the treatment.</w:t>
      </w:r>
      <w:r w:rsidR="0030152A">
        <w:rPr>
          <w:rFonts w:cs="Arial"/>
          <w:sz w:val="20"/>
          <w:szCs w:val="20"/>
        </w:rPr>
        <w:t xml:space="preserve"> </w:t>
      </w:r>
      <w:r w:rsidRPr="00361A15">
        <w:rPr>
          <w:rFonts w:cs="Arial"/>
          <w:sz w:val="20"/>
          <w:szCs w:val="20"/>
        </w:rPr>
        <w:t>The total savings are a sum of the monthly average</w:t>
      </w:r>
      <w:r w:rsidR="0030152A">
        <w:rPr>
          <w:rFonts w:cs="Arial"/>
          <w:sz w:val="20"/>
          <w:szCs w:val="20"/>
        </w:rPr>
        <w:t xml:space="preserve"> </w:t>
      </w:r>
      <w:r w:rsidRPr="00361A15">
        <w:rPr>
          <w:rFonts w:cs="Arial"/>
          <w:sz w:val="20"/>
          <w:szCs w:val="20"/>
        </w:rPr>
        <w:t xml:space="preserve">savings combined with the count of households still eligible for the program in that month. </w:t>
      </w:r>
    </w:p>
    <w:p w:rsidR="0030152A" w:rsidRDefault="0030152A" w:rsidP="0030152A">
      <w:pPr>
        <w:autoSpaceDE w:val="0"/>
        <w:autoSpaceDN w:val="0"/>
        <w:adjustRightInd w:val="0"/>
        <w:rPr>
          <w:rFonts w:cs="Arial"/>
          <w:sz w:val="20"/>
          <w:szCs w:val="20"/>
        </w:rPr>
      </w:pPr>
    </w:p>
    <w:p w:rsidR="0030152A" w:rsidRDefault="0030152A" w:rsidP="0030152A">
      <w:pPr>
        <w:autoSpaceDE w:val="0"/>
        <w:autoSpaceDN w:val="0"/>
        <w:adjustRightInd w:val="0"/>
        <w:rPr>
          <w:rFonts w:cs="Arial"/>
          <w:sz w:val="20"/>
          <w:szCs w:val="20"/>
        </w:rPr>
      </w:pPr>
      <w:r>
        <w:rPr>
          <w:rFonts w:cs="Arial"/>
          <w:sz w:val="20"/>
          <w:szCs w:val="20"/>
        </w:rPr>
        <w:t>S</w:t>
      </w:r>
      <w:r w:rsidRPr="002D758F">
        <w:rPr>
          <w:rFonts w:cs="Arial"/>
          <w:sz w:val="20"/>
          <w:szCs w:val="20"/>
        </w:rPr>
        <w:t>ince our intent for the purpo</w:t>
      </w:r>
      <w:r>
        <w:rPr>
          <w:rFonts w:cs="Arial"/>
          <w:sz w:val="20"/>
          <w:szCs w:val="20"/>
        </w:rPr>
        <w:t>s</w:t>
      </w:r>
      <w:r w:rsidRPr="002D758F">
        <w:rPr>
          <w:rFonts w:cs="Arial"/>
          <w:sz w:val="20"/>
          <w:szCs w:val="20"/>
        </w:rPr>
        <w:t>es</w:t>
      </w:r>
      <w:r>
        <w:rPr>
          <w:rFonts w:cs="Arial"/>
          <w:sz w:val="20"/>
          <w:szCs w:val="20"/>
        </w:rPr>
        <w:t xml:space="preserve"> of this work paper is to define the process of calculating the savings for the </w:t>
      </w:r>
      <w:r w:rsidRPr="00C20044">
        <w:rPr>
          <w:rFonts w:cs="Arial"/>
          <w:i/>
          <w:sz w:val="20"/>
          <w:szCs w:val="20"/>
        </w:rPr>
        <w:t>ex</w:t>
      </w:r>
      <w:r>
        <w:rPr>
          <w:rFonts w:cs="Arial"/>
          <w:i/>
          <w:sz w:val="20"/>
          <w:szCs w:val="20"/>
        </w:rPr>
        <w:t>-</w:t>
      </w:r>
      <w:r w:rsidRPr="00C20044">
        <w:rPr>
          <w:rFonts w:cs="Arial"/>
          <w:i/>
          <w:sz w:val="20"/>
          <w:szCs w:val="20"/>
        </w:rPr>
        <w:t>post</w:t>
      </w:r>
      <w:r>
        <w:rPr>
          <w:rFonts w:cs="Arial"/>
          <w:sz w:val="20"/>
          <w:szCs w:val="20"/>
        </w:rPr>
        <w:t xml:space="preserve"> analysis of the program and as noted in 1.2 and various sections of 1.4, this includes the effects of opt-outs, “move-outs” and other statistical variances during the treatment period. Since we are using billing data for randomly selected user quartiles and weather areas, these variables are also considered to be accounted for. The further analysis of rebate records, home inventories, and online surveys accounts for the participation in PG&amp;E’s rebate programs and prevent from double counting savings. Interactive effects are built in due to the use of billing data.</w:t>
      </w:r>
    </w:p>
    <w:p w:rsidR="0030152A" w:rsidRDefault="0030152A" w:rsidP="0030152A">
      <w:pPr>
        <w:autoSpaceDE w:val="0"/>
        <w:autoSpaceDN w:val="0"/>
        <w:adjustRightInd w:val="0"/>
        <w:rPr>
          <w:rFonts w:cs="Arial"/>
          <w:sz w:val="20"/>
          <w:szCs w:val="20"/>
        </w:rPr>
      </w:pPr>
    </w:p>
    <w:p w:rsidR="00965CA0" w:rsidRPr="00361A15" w:rsidRDefault="00965CA0" w:rsidP="0030152A">
      <w:pPr>
        <w:autoSpaceDE w:val="0"/>
        <w:autoSpaceDN w:val="0"/>
        <w:adjustRightInd w:val="0"/>
        <w:rPr>
          <w:rFonts w:cs="Arial"/>
          <w:sz w:val="20"/>
          <w:szCs w:val="20"/>
        </w:rPr>
      </w:pPr>
      <w:r w:rsidRPr="00361A15">
        <w:rPr>
          <w:rFonts w:cs="Arial"/>
          <w:sz w:val="20"/>
          <w:szCs w:val="20"/>
        </w:rPr>
        <w:t>This model is consistent with best practices as</w:t>
      </w:r>
      <w:r w:rsidR="0030152A">
        <w:rPr>
          <w:rFonts w:cs="Arial"/>
          <w:sz w:val="20"/>
          <w:szCs w:val="20"/>
        </w:rPr>
        <w:t xml:space="preserve"> </w:t>
      </w:r>
      <w:r w:rsidRPr="00361A15">
        <w:rPr>
          <w:rFonts w:cs="Arial"/>
          <w:sz w:val="20"/>
          <w:szCs w:val="20"/>
        </w:rPr>
        <w:t>delineated in State and Local Energy Efficiency Action Network’s (SEEAction) Evaluation, Measurement,</w:t>
      </w:r>
      <w:r w:rsidR="0030152A">
        <w:rPr>
          <w:rFonts w:cs="Arial"/>
          <w:sz w:val="20"/>
          <w:szCs w:val="20"/>
        </w:rPr>
        <w:t xml:space="preserve"> </w:t>
      </w:r>
      <w:r w:rsidRPr="00361A15">
        <w:rPr>
          <w:rFonts w:cs="Arial"/>
          <w:sz w:val="20"/>
          <w:szCs w:val="20"/>
        </w:rPr>
        <w:t>and Verification (EM&amp;V) of Residential Behavior-Based Energy Efficiency Programs: Issues and</w:t>
      </w:r>
      <w:r w:rsidR="0030152A">
        <w:rPr>
          <w:rFonts w:cs="Arial"/>
          <w:sz w:val="20"/>
          <w:szCs w:val="20"/>
        </w:rPr>
        <w:t xml:space="preserve"> </w:t>
      </w:r>
      <w:r w:rsidRPr="00361A15">
        <w:rPr>
          <w:rFonts w:cs="Arial"/>
          <w:sz w:val="20"/>
          <w:szCs w:val="20"/>
        </w:rPr>
        <w:t>Recommendations.</w:t>
      </w:r>
    </w:p>
    <w:p w:rsidR="00965CA0" w:rsidRDefault="00965CA0" w:rsidP="0060457B">
      <w:pPr>
        <w:rPr>
          <w:rFonts w:cs="Arial"/>
          <w:sz w:val="20"/>
          <w:szCs w:val="20"/>
        </w:rPr>
      </w:pPr>
    </w:p>
    <w:p w:rsidR="00742BD9" w:rsidRDefault="00742BD9" w:rsidP="0060457B">
      <w:pPr>
        <w:rPr>
          <w:rFonts w:cs="Arial"/>
          <w:sz w:val="20"/>
          <w:szCs w:val="20"/>
        </w:rPr>
      </w:pPr>
    </w:p>
    <w:p w:rsidR="00C069A2" w:rsidRDefault="0030550A" w:rsidP="002E0043">
      <w:pPr>
        <w:pStyle w:val="Heading2"/>
        <w:keepNext w:val="0"/>
      </w:pPr>
      <w:bookmarkStart w:id="74" w:name="_Toc304800212"/>
      <w:bookmarkStart w:id="75" w:name="_Toc324318366"/>
      <w:bookmarkStart w:id="76" w:name="_Toc324340495"/>
      <w:bookmarkStart w:id="77" w:name="_Toc476228493"/>
      <w:r>
        <w:t>2.2. Demand R</w:t>
      </w:r>
      <w:r w:rsidR="00C069A2">
        <w:t>eduction Estimation Methodologies</w:t>
      </w:r>
      <w:bookmarkEnd w:id="74"/>
      <w:bookmarkEnd w:id="75"/>
      <w:bookmarkEnd w:id="76"/>
      <w:bookmarkEnd w:id="77"/>
    </w:p>
    <w:p w:rsidR="003515C6" w:rsidRDefault="003515C6" w:rsidP="003515C6">
      <w:pPr>
        <w:autoSpaceDE w:val="0"/>
        <w:autoSpaceDN w:val="0"/>
        <w:adjustRightInd w:val="0"/>
        <w:rPr>
          <w:rFonts w:cs="Arial"/>
          <w:sz w:val="20"/>
          <w:szCs w:val="20"/>
        </w:rPr>
      </w:pPr>
    </w:p>
    <w:p w:rsidR="008D4BB2" w:rsidRDefault="008D4BB2" w:rsidP="008D4BB2">
      <w:pPr>
        <w:autoSpaceDE w:val="0"/>
        <w:autoSpaceDN w:val="0"/>
        <w:adjustRightInd w:val="0"/>
        <w:rPr>
          <w:rFonts w:cs="Arial"/>
          <w:sz w:val="20"/>
          <w:szCs w:val="20"/>
        </w:rPr>
      </w:pPr>
      <w:r w:rsidRPr="008D4BB2">
        <w:rPr>
          <w:rFonts w:cs="Arial"/>
          <w:sz w:val="20"/>
          <w:szCs w:val="20"/>
        </w:rPr>
        <w:t xml:space="preserve">Reductions in demand at peak times that result from program participation can be </w:t>
      </w:r>
      <w:r w:rsidR="00D06F3A">
        <w:rPr>
          <w:rFonts w:cs="Arial"/>
          <w:sz w:val="20"/>
          <w:szCs w:val="20"/>
        </w:rPr>
        <w:t xml:space="preserve">estimated </w:t>
      </w:r>
      <w:r w:rsidRPr="008D4BB2">
        <w:rPr>
          <w:rFonts w:cs="Arial"/>
          <w:sz w:val="20"/>
          <w:szCs w:val="20"/>
        </w:rPr>
        <w:t>through</w:t>
      </w:r>
      <w:r w:rsidR="00D06F3A">
        <w:rPr>
          <w:rFonts w:cs="Arial"/>
          <w:sz w:val="20"/>
          <w:szCs w:val="20"/>
        </w:rPr>
        <w:t xml:space="preserve"> </w:t>
      </w:r>
      <w:r w:rsidRPr="008D4BB2">
        <w:rPr>
          <w:rFonts w:cs="Arial"/>
          <w:sz w:val="20"/>
          <w:szCs w:val="20"/>
        </w:rPr>
        <w:t xml:space="preserve">a variety of approaches. </w:t>
      </w:r>
      <w:r w:rsidR="00D06F3A">
        <w:rPr>
          <w:rFonts w:cs="Arial"/>
          <w:sz w:val="20"/>
          <w:szCs w:val="20"/>
        </w:rPr>
        <w:t xml:space="preserve">During prior impact evaluations, </w:t>
      </w:r>
      <w:r w:rsidR="00D06F3A">
        <w:rPr>
          <w:rFonts w:eastAsiaTheme="minorHAnsi" w:cs="Arial"/>
          <w:sz w:val="20"/>
          <w:szCs w:val="20"/>
        </w:rPr>
        <w:t xml:space="preserve">DNV GL contracted by the </w:t>
      </w:r>
      <w:r w:rsidR="00D06F3A" w:rsidRPr="00030D09">
        <w:rPr>
          <w:rFonts w:cs="Arial"/>
          <w:sz w:val="20"/>
          <w:szCs w:val="20"/>
        </w:rPr>
        <w:t xml:space="preserve">Energy Division of the </w:t>
      </w:r>
      <w:r w:rsidR="00D06F3A">
        <w:rPr>
          <w:rFonts w:cs="Arial"/>
          <w:sz w:val="20"/>
          <w:szCs w:val="20"/>
        </w:rPr>
        <w:t>CPUC</w:t>
      </w:r>
      <w:r w:rsidR="00D06F3A" w:rsidRPr="004C5FE9">
        <w:rPr>
          <w:rFonts w:eastAsiaTheme="minorHAnsi" w:cs="Arial"/>
          <w:sz w:val="20"/>
          <w:szCs w:val="20"/>
        </w:rPr>
        <w:t xml:space="preserve"> </w:t>
      </w:r>
      <w:r w:rsidRPr="008D4BB2">
        <w:rPr>
          <w:rFonts w:cs="Arial"/>
          <w:sz w:val="20"/>
          <w:szCs w:val="20"/>
        </w:rPr>
        <w:t>used the peak</w:t>
      </w:r>
      <w:r w:rsidR="00D06F3A">
        <w:rPr>
          <w:rFonts w:cs="Arial"/>
          <w:sz w:val="20"/>
          <w:szCs w:val="20"/>
        </w:rPr>
        <w:t xml:space="preserve"> </w:t>
      </w:r>
      <w:r w:rsidRPr="008D4BB2">
        <w:rPr>
          <w:rFonts w:cs="Arial"/>
          <w:sz w:val="20"/>
          <w:szCs w:val="20"/>
        </w:rPr>
        <w:t>period definition provided by the Database for Ener</w:t>
      </w:r>
      <w:r w:rsidR="00B65278">
        <w:rPr>
          <w:rFonts w:cs="Arial"/>
          <w:sz w:val="20"/>
          <w:szCs w:val="20"/>
        </w:rPr>
        <w:t>gy Efficiency Resources (DEER).</w:t>
      </w:r>
      <w:r w:rsidRPr="008D4BB2">
        <w:rPr>
          <w:rFonts w:cs="Arial"/>
          <w:sz w:val="20"/>
          <w:szCs w:val="20"/>
        </w:rPr>
        <w:t xml:space="preserve"> This definition takes</w:t>
      </w:r>
      <w:r w:rsidR="00B65278">
        <w:rPr>
          <w:rFonts w:cs="Arial"/>
          <w:sz w:val="20"/>
          <w:szCs w:val="20"/>
        </w:rPr>
        <w:t xml:space="preserve"> </w:t>
      </w:r>
      <w:r w:rsidRPr="008D4BB2">
        <w:rPr>
          <w:rFonts w:cs="Arial"/>
          <w:sz w:val="20"/>
          <w:szCs w:val="20"/>
        </w:rPr>
        <w:t>into account the average temperature, average afternoon temperature (12 p.m.–6 p.m.), and maximum</w:t>
      </w:r>
      <w:r w:rsidR="00B65278">
        <w:rPr>
          <w:rFonts w:cs="Arial"/>
          <w:sz w:val="20"/>
          <w:szCs w:val="20"/>
        </w:rPr>
        <w:t xml:space="preserve"> </w:t>
      </w:r>
      <w:r w:rsidRPr="008D4BB2">
        <w:rPr>
          <w:rFonts w:cs="Arial"/>
          <w:sz w:val="20"/>
          <w:szCs w:val="20"/>
        </w:rPr>
        <w:t>temperature over the course of three-day heatwave candidates. Each candidate is a combination of three</w:t>
      </w:r>
      <w:r w:rsidR="00B65278">
        <w:rPr>
          <w:rFonts w:cs="Arial"/>
          <w:sz w:val="20"/>
          <w:szCs w:val="20"/>
        </w:rPr>
        <w:t xml:space="preserve"> </w:t>
      </w:r>
      <w:r w:rsidRPr="008D4BB2">
        <w:rPr>
          <w:rFonts w:cs="Arial"/>
          <w:sz w:val="20"/>
          <w:szCs w:val="20"/>
        </w:rPr>
        <w:t>consecutive non-holiday weekdays occurring between June 1 and September 30.</w:t>
      </w:r>
      <w:r w:rsidR="00B65278">
        <w:rPr>
          <w:rFonts w:cs="Arial"/>
          <w:sz w:val="20"/>
          <w:szCs w:val="20"/>
        </w:rPr>
        <w:t xml:space="preserve"> </w:t>
      </w:r>
      <w:r w:rsidRPr="008D4BB2">
        <w:rPr>
          <w:rFonts w:cs="Arial"/>
          <w:sz w:val="20"/>
          <w:szCs w:val="20"/>
        </w:rPr>
        <w:t>Using this definition, the optimal heatwave (HW) for each climate zone is ultimately selected by choosing</w:t>
      </w:r>
      <w:r w:rsidR="00B65278">
        <w:rPr>
          <w:rFonts w:cs="Arial"/>
          <w:sz w:val="20"/>
          <w:szCs w:val="20"/>
        </w:rPr>
        <w:t xml:space="preserve"> </w:t>
      </w:r>
      <w:r w:rsidRPr="008D4BB2">
        <w:rPr>
          <w:rFonts w:cs="Arial"/>
          <w:sz w:val="20"/>
          <w:szCs w:val="20"/>
        </w:rPr>
        <w:t>the single candidate three-day-period with the highest peak score (Score</w:t>
      </w:r>
      <w:r w:rsidRPr="00B65278">
        <w:rPr>
          <w:rFonts w:ascii="Cambria Math" w:hAnsi="Cambria Math" w:cs="Arial"/>
          <w:sz w:val="20"/>
          <w:szCs w:val="20"/>
          <w:vertAlign w:val="subscript"/>
        </w:rPr>
        <w:t>𝑘</w:t>
      </w:r>
      <w:r w:rsidRPr="008D4BB2">
        <w:rPr>
          <w:rFonts w:cs="Arial"/>
          <w:sz w:val="20"/>
          <w:szCs w:val="20"/>
        </w:rPr>
        <w:t>) among all possible candidates.</w:t>
      </w:r>
    </w:p>
    <w:p w:rsidR="00B65278" w:rsidRPr="008D4BB2" w:rsidRDefault="00B65278" w:rsidP="008D4BB2">
      <w:pPr>
        <w:autoSpaceDE w:val="0"/>
        <w:autoSpaceDN w:val="0"/>
        <w:adjustRightInd w:val="0"/>
        <w:rPr>
          <w:rFonts w:cs="Arial"/>
          <w:sz w:val="20"/>
          <w:szCs w:val="20"/>
        </w:rPr>
      </w:pPr>
    </w:p>
    <w:p w:rsidR="008D4BB2" w:rsidRDefault="008D4BB2" w:rsidP="008D4BB2">
      <w:pPr>
        <w:autoSpaceDE w:val="0"/>
        <w:autoSpaceDN w:val="0"/>
        <w:adjustRightInd w:val="0"/>
        <w:rPr>
          <w:rFonts w:cs="Arial"/>
          <w:sz w:val="20"/>
          <w:szCs w:val="20"/>
        </w:rPr>
      </w:pPr>
      <w:r w:rsidRPr="008D4BB2">
        <w:rPr>
          <w:rFonts w:cs="Arial"/>
          <w:sz w:val="20"/>
          <w:szCs w:val="20"/>
        </w:rPr>
        <w:t xml:space="preserve">The mathematical expression </w:t>
      </w:r>
      <w:r w:rsidR="00C273C5">
        <w:rPr>
          <w:rFonts w:cs="Arial"/>
          <w:sz w:val="20"/>
          <w:szCs w:val="20"/>
        </w:rPr>
        <w:t>is</w:t>
      </w:r>
      <w:r w:rsidRPr="008D4BB2">
        <w:rPr>
          <w:rFonts w:cs="Arial"/>
          <w:sz w:val="20"/>
          <w:szCs w:val="20"/>
        </w:rPr>
        <w:t xml:space="preserve"> given by:</w:t>
      </w:r>
    </w:p>
    <w:p w:rsidR="00A63FEB" w:rsidRPr="005B40F4" w:rsidRDefault="00A63FEB" w:rsidP="00A63FEB">
      <w:pPr>
        <w:autoSpaceDE w:val="0"/>
        <w:autoSpaceDN w:val="0"/>
        <w:adjustRightInd w:val="0"/>
        <w:jc w:val="center"/>
        <w:rPr>
          <w:rFonts w:ascii="Cambria Math" w:hAnsi="Cambria Math" w:cs="Cambria Math"/>
          <w:sz w:val="36"/>
          <w:szCs w:val="36"/>
        </w:rPr>
      </w:pPr>
      <m:oMath>
        <m:r>
          <w:rPr>
            <w:rFonts w:ascii="Cambria Math" w:hAnsi="Cambria Math" w:cs="Cambria Math"/>
            <w:sz w:val="36"/>
            <w:szCs w:val="36"/>
          </w:rPr>
          <m:t>HW</m:t>
        </m:r>
      </m:oMath>
      <w:r w:rsidRPr="005B40F4">
        <w:rPr>
          <w:rFonts w:ascii="Cambria Math" w:hAnsi="Cambria Math" w:cs="Cambria Math"/>
          <w:sz w:val="36"/>
          <w:szCs w:val="36"/>
        </w:rPr>
        <w:t xml:space="preserve"> = </w:t>
      </w:r>
      <m:oMath>
        <m:func>
          <m:funcPr>
            <m:ctrlPr>
              <w:rPr>
                <w:rFonts w:ascii="Cambria Math" w:hAnsi="Cambria Math" w:cs="Cambria Math"/>
                <w:i/>
                <w:sz w:val="36"/>
                <w:szCs w:val="36"/>
              </w:rPr>
            </m:ctrlPr>
          </m:funcPr>
          <m:fName>
            <m:limLow>
              <m:limLowPr>
                <m:ctrlPr>
                  <w:rPr>
                    <w:rFonts w:ascii="Cambria Math" w:hAnsi="Cambria Math" w:cs="Cambria Math"/>
                    <w:i/>
                    <w:sz w:val="36"/>
                    <w:szCs w:val="36"/>
                  </w:rPr>
                </m:ctrlPr>
              </m:limLowPr>
              <m:e>
                <m:r>
                  <m:rPr>
                    <m:sty m:val="p"/>
                  </m:rPr>
                  <w:rPr>
                    <w:rFonts w:ascii="Cambria Math" w:hAnsi="Cambria Math" w:cs="Cambria Math"/>
                    <w:sz w:val="36"/>
                    <w:szCs w:val="36"/>
                  </w:rPr>
                  <m:t>max</m:t>
                </m:r>
              </m:e>
              <m:lim>
                <m:r>
                  <w:rPr>
                    <w:rFonts w:ascii="Cambria Math" w:hAnsi="Cambria Math" w:cs="Cambria Math"/>
                    <w:sz w:val="36"/>
                    <w:szCs w:val="36"/>
                  </w:rPr>
                  <m:t>1≤k≤K</m:t>
                </m:r>
              </m:lim>
            </m:limLow>
          </m:fName>
          <m:e>
            <m:sSub>
              <m:sSubPr>
                <m:ctrlPr>
                  <w:rPr>
                    <w:rFonts w:ascii="Cambria Math" w:hAnsi="Cambria Math" w:cs="Cambria Math"/>
                    <w:i/>
                    <w:sz w:val="36"/>
                    <w:szCs w:val="36"/>
                  </w:rPr>
                </m:ctrlPr>
              </m:sSubPr>
              <m:e>
                <m:r>
                  <w:rPr>
                    <w:rFonts w:ascii="Cambria Math" w:hAnsi="Cambria Math" w:cs="Cambria Math"/>
                    <w:sz w:val="36"/>
                    <w:szCs w:val="36"/>
                  </w:rPr>
                  <m:t>(Score</m:t>
                </m:r>
              </m:e>
              <m:sub>
                <m:r>
                  <w:rPr>
                    <w:rFonts w:ascii="Cambria Math" w:hAnsi="Cambria Math" w:cs="Cambria Math"/>
                    <w:sz w:val="36"/>
                    <w:szCs w:val="36"/>
                  </w:rPr>
                  <m:t>k</m:t>
                </m:r>
              </m:sub>
            </m:sSub>
            <m:r>
              <w:rPr>
                <w:rFonts w:ascii="Cambria Math" w:hAnsi="Cambria Math" w:cs="Cambria Math"/>
                <w:sz w:val="36"/>
                <w:szCs w:val="36"/>
              </w:rPr>
              <m:t>)</m:t>
            </m:r>
          </m:e>
        </m:func>
      </m:oMath>
    </w:p>
    <w:p w:rsidR="00A63FEB" w:rsidRPr="005B40F4" w:rsidRDefault="00A63FEB" w:rsidP="00A63FEB">
      <w:pPr>
        <w:autoSpaceDE w:val="0"/>
        <w:autoSpaceDN w:val="0"/>
        <w:adjustRightInd w:val="0"/>
        <w:jc w:val="center"/>
        <w:rPr>
          <w:rFonts w:ascii="Cambria Math" w:hAnsi="Cambria Math" w:cs="Cambria Math"/>
          <w:sz w:val="36"/>
          <w:szCs w:val="36"/>
        </w:rPr>
      </w:pPr>
    </w:p>
    <w:p w:rsidR="00063BFD" w:rsidRPr="005B40F4" w:rsidRDefault="00B37A08" w:rsidP="00A63FEB">
      <w:pPr>
        <w:autoSpaceDE w:val="0"/>
        <w:autoSpaceDN w:val="0"/>
        <w:adjustRightInd w:val="0"/>
        <w:jc w:val="center"/>
        <w:rPr>
          <w:rFonts w:cs="Arial"/>
          <w:sz w:val="36"/>
          <w:szCs w:val="36"/>
        </w:rPr>
      </w:pPr>
      <m:oMath>
        <m:sSub>
          <m:sSubPr>
            <m:ctrlPr>
              <w:rPr>
                <w:rFonts w:ascii="Cambria Math" w:hAnsi="Cambria Math" w:cs="Cambria Math"/>
                <w:i/>
                <w:sz w:val="36"/>
                <w:szCs w:val="36"/>
              </w:rPr>
            </m:ctrlPr>
          </m:sSubPr>
          <m:e>
            <m:r>
              <w:rPr>
                <w:rFonts w:ascii="Cambria Math" w:hAnsi="Cambria Math" w:cs="Cambria Math"/>
                <w:sz w:val="36"/>
                <w:szCs w:val="36"/>
              </w:rPr>
              <m:t>Score</m:t>
            </m:r>
          </m:e>
          <m:sub>
            <m:r>
              <w:rPr>
                <w:rFonts w:ascii="Cambria Math" w:hAnsi="Cambria Math" w:cs="Cambria Math"/>
                <w:sz w:val="36"/>
                <w:szCs w:val="36"/>
              </w:rPr>
              <m:t>k</m:t>
            </m:r>
          </m:sub>
        </m:sSub>
      </m:oMath>
      <w:r w:rsidR="00A63FEB" w:rsidRPr="005B40F4">
        <w:rPr>
          <w:rFonts w:ascii="Cambria Math" w:hAnsi="Cambria Math" w:cs="Cambria Math"/>
          <w:sz w:val="36"/>
          <w:szCs w:val="36"/>
        </w:rPr>
        <w:t xml:space="preserve"> = </w:t>
      </w:r>
      <m:oMath>
        <m:func>
          <m:funcPr>
            <m:ctrlPr>
              <w:rPr>
                <w:rFonts w:ascii="Cambria Math" w:hAnsi="Cambria Math" w:cs="Cambria Math"/>
                <w:i/>
                <w:sz w:val="36"/>
                <w:szCs w:val="36"/>
              </w:rPr>
            </m:ctrlPr>
          </m:funcPr>
          <m:fName>
            <m:limLow>
              <m:limLowPr>
                <m:ctrlPr>
                  <w:rPr>
                    <w:rFonts w:ascii="Cambria Math" w:hAnsi="Cambria Math" w:cs="Cambria Math"/>
                    <w:i/>
                    <w:sz w:val="36"/>
                    <w:szCs w:val="36"/>
                  </w:rPr>
                </m:ctrlPr>
              </m:limLowPr>
              <m:e>
                <m:r>
                  <m:rPr>
                    <m:sty m:val="p"/>
                  </m:rPr>
                  <w:rPr>
                    <w:rFonts w:ascii="Cambria Math" w:hAnsi="Cambria Math" w:cs="Cambria Math"/>
                    <w:sz w:val="36"/>
                    <w:szCs w:val="36"/>
                  </w:rPr>
                  <m:t>max</m:t>
                </m:r>
              </m:e>
              <m:lim>
                <m:r>
                  <w:rPr>
                    <w:rFonts w:ascii="Cambria Math" w:hAnsi="Cambria Math" w:cs="Cambria Math"/>
                    <w:sz w:val="36"/>
                    <w:szCs w:val="36"/>
                  </w:rPr>
                  <m:t>1≤d≤3</m:t>
                </m:r>
              </m:lim>
            </m:limLow>
          </m:fName>
          <m:e>
            <m:sSub>
              <m:sSubPr>
                <m:ctrlPr>
                  <w:rPr>
                    <w:rFonts w:ascii="Cambria Math" w:hAnsi="Cambria Math" w:cs="Cambria Math"/>
                    <w:i/>
                    <w:sz w:val="36"/>
                    <w:szCs w:val="36"/>
                  </w:rPr>
                </m:ctrlPr>
              </m:sSubPr>
              <m:e>
                <m:r>
                  <w:rPr>
                    <w:rFonts w:ascii="Cambria Math" w:hAnsi="Cambria Math" w:cs="Cambria Math"/>
                    <w:sz w:val="36"/>
                    <w:szCs w:val="36"/>
                  </w:rPr>
                  <m:t>(temp</m:t>
                </m:r>
              </m:e>
              <m:sub>
                <m:r>
                  <w:rPr>
                    <w:rFonts w:ascii="Cambria Math" w:hAnsi="Cambria Math" w:cs="Cambria Math"/>
                    <w:sz w:val="36"/>
                    <w:szCs w:val="36"/>
                  </w:rPr>
                  <m:t>d,k</m:t>
                </m:r>
              </m:sub>
            </m:sSub>
            <m:r>
              <w:rPr>
                <w:rFonts w:ascii="Cambria Math" w:hAnsi="Cambria Math" w:cs="Cambria Math"/>
                <w:sz w:val="36"/>
                <w:szCs w:val="36"/>
              </w:rPr>
              <m:t>)</m:t>
            </m:r>
          </m:e>
        </m:func>
        <m:r>
          <w:rPr>
            <w:rFonts w:ascii="Cambria Math" w:hAnsi="Cambria Math" w:cs="Cambria Math"/>
            <w:sz w:val="36"/>
            <w:szCs w:val="36"/>
          </w:rPr>
          <m:t>+</m:t>
        </m:r>
        <m:f>
          <m:fPr>
            <m:ctrlPr>
              <w:rPr>
                <w:rFonts w:ascii="Cambria Math" w:hAnsi="Cambria Math" w:cs="Cambria Math"/>
                <w:i/>
                <w:sz w:val="36"/>
                <w:szCs w:val="36"/>
              </w:rPr>
            </m:ctrlPr>
          </m:fPr>
          <m:num>
            <m:r>
              <w:rPr>
                <w:rFonts w:ascii="Cambria Math" w:hAnsi="Cambria Math" w:cs="Cambria Math"/>
                <w:sz w:val="36"/>
                <w:szCs w:val="36"/>
              </w:rPr>
              <m:t>1</m:t>
            </m:r>
          </m:num>
          <m:den>
            <m:r>
              <w:rPr>
                <w:rFonts w:ascii="Cambria Math" w:hAnsi="Cambria Math" w:cs="Cambria Math"/>
                <w:sz w:val="36"/>
                <w:szCs w:val="36"/>
              </w:rPr>
              <m:t>d</m:t>
            </m:r>
          </m:den>
        </m:f>
        <m:nary>
          <m:naryPr>
            <m:chr m:val="∑"/>
            <m:limLoc m:val="undOvr"/>
            <m:ctrlPr>
              <w:rPr>
                <w:rFonts w:ascii="Cambria Math" w:hAnsi="Cambria Math" w:cs="Cambria Math"/>
                <w:i/>
                <w:sz w:val="36"/>
                <w:szCs w:val="36"/>
              </w:rPr>
            </m:ctrlPr>
          </m:naryPr>
          <m:sub>
            <m:r>
              <w:rPr>
                <w:rFonts w:ascii="Cambria Math" w:hAnsi="Cambria Math" w:cs="Cambria Math"/>
                <w:sz w:val="36"/>
                <w:szCs w:val="36"/>
              </w:rPr>
              <m:t>d=1</m:t>
            </m:r>
          </m:sub>
          <m:sup>
            <m:r>
              <w:rPr>
                <w:rFonts w:ascii="Cambria Math" w:hAnsi="Cambria Math" w:cs="Cambria Math"/>
                <w:sz w:val="36"/>
                <w:szCs w:val="36"/>
              </w:rPr>
              <m:t>3</m:t>
            </m:r>
          </m:sup>
          <m:e>
            <m:sSub>
              <m:sSubPr>
                <m:ctrlPr>
                  <w:rPr>
                    <w:rFonts w:ascii="Cambria Math" w:hAnsi="Cambria Math" w:cs="Cambria Math"/>
                    <w:i/>
                    <w:sz w:val="36"/>
                    <w:szCs w:val="36"/>
                  </w:rPr>
                </m:ctrlPr>
              </m:sSubPr>
              <m:e>
                <m:r>
                  <w:rPr>
                    <w:rFonts w:ascii="Cambria Math" w:hAnsi="Cambria Math" w:cs="Cambria Math"/>
                    <w:sz w:val="36"/>
                    <w:szCs w:val="36"/>
                  </w:rPr>
                  <m:t>(daily_mean</m:t>
                </m:r>
              </m:e>
              <m:sub>
                <m:r>
                  <w:rPr>
                    <w:rFonts w:ascii="Cambria Math" w:hAnsi="Cambria Math" w:cs="Cambria Math"/>
                    <w:sz w:val="36"/>
                    <w:szCs w:val="36"/>
                  </w:rPr>
                  <m:t>d,k</m:t>
                </m:r>
              </m:sub>
            </m:sSub>
            <m:r>
              <w:rPr>
                <w:rFonts w:ascii="Cambria Math" w:hAnsi="Cambria Math" w:cs="Cambria Math"/>
                <w:sz w:val="36"/>
                <w:szCs w:val="36"/>
              </w:rPr>
              <m:t>)+</m:t>
            </m:r>
            <m:f>
              <m:fPr>
                <m:ctrlPr>
                  <w:rPr>
                    <w:rFonts w:ascii="Cambria Math" w:hAnsi="Cambria Math" w:cs="Cambria Math"/>
                    <w:i/>
                    <w:sz w:val="36"/>
                    <w:szCs w:val="36"/>
                  </w:rPr>
                </m:ctrlPr>
              </m:fPr>
              <m:num>
                <m:r>
                  <w:rPr>
                    <w:rFonts w:ascii="Cambria Math" w:hAnsi="Cambria Math" w:cs="Cambria Math"/>
                    <w:sz w:val="36"/>
                    <w:szCs w:val="36"/>
                  </w:rPr>
                  <m:t>1</m:t>
                </m:r>
              </m:num>
              <m:den>
                <m:r>
                  <w:rPr>
                    <w:rFonts w:ascii="Cambria Math" w:hAnsi="Cambria Math" w:cs="Cambria Math"/>
                    <w:sz w:val="36"/>
                    <w:szCs w:val="36"/>
                  </w:rPr>
                  <m:t>d</m:t>
                </m:r>
              </m:den>
            </m:f>
            <m:nary>
              <m:naryPr>
                <m:chr m:val="∑"/>
                <m:limLoc m:val="undOvr"/>
                <m:ctrlPr>
                  <w:rPr>
                    <w:rFonts w:ascii="Cambria Math" w:hAnsi="Cambria Math" w:cs="Cambria Math"/>
                    <w:i/>
                    <w:sz w:val="36"/>
                    <w:szCs w:val="36"/>
                  </w:rPr>
                </m:ctrlPr>
              </m:naryPr>
              <m:sub>
                <m:r>
                  <w:rPr>
                    <w:rFonts w:ascii="Cambria Math" w:hAnsi="Cambria Math" w:cs="Cambria Math"/>
                    <w:sz w:val="36"/>
                    <w:szCs w:val="36"/>
                  </w:rPr>
                  <m:t>d=1</m:t>
                </m:r>
              </m:sub>
              <m:sup>
                <m:r>
                  <w:rPr>
                    <w:rFonts w:ascii="Cambria Math" w:hAnsi="Cambria Math" w:cs="Cambria Math"/>
                    <w:sz w:val="36"/>
                    <w:szCs w:val="36"/>
                  </w:rPr>
                  <m:t>3</m:t>
                </m:r>
              </m:sup>
              <m:e>
                <m:sSub>
                  <m:sSubPr>
                    <m:ctrlPr>
                      <w:rPr>
                        <w:rFonts w:ascii="Cambria Math" w:hAnsi="Cambria Math" w:cs="Cambria Math"/>
                        <w:i/>
                        <w:sz w:val="36"/>
                        <w:szCs w:val="36"/>
                      </w:rPr>
                    </m:ctrlPr>
                  </m:sSubPr>
                  <m:e>
                    <m:r>
                      <w:rPr>
                        <w:rFonts w:ascii="Cambria Math" w:hAnsi="Cambria Math" w:cs="Cambria Math"/>
                        <w:sz w:val="36"/>
                        <w:szCs w:val="36"/>
                      </w:rPr>
                      <m:t>(afternoon_avg</m:t>
                    </m:r>
                  </m:e>
                  <m:sub>
                    <m:r>
                      <w:rPr>
                        <w:rFonts w:ascii="Cambria Math" w:hAnsi="Cambria Math" w:cs="Cambria Math"/>
                        <w:sz w:val="36"/>
                        <w:szCs w:val="36"/>
                      </w:rPr>
                      <m:t>d,k</m:t>
                    </m:r>
                  </m:sub>
                </m:sSub>
                <m:r>
                  <w:rPr>
                    <w:rFonts w:ascii="Cambria Math" w:hAnsi="Cambria Math" w:cs="Cambria Math"/>
                    <w:sz w:val="36"/>
                    <w:szCs w:val="36"/>
                  </w:rPr>
                  <m:t>)</m:t>
                </m:r>
              </m:e>
            </m:nary>
          </m:e>
        </m:nary>
      </m:oMath>
    </w:p>
    <w:p w:rsidR="008D4BB2" w:rsidRPr="008D4BB2" w:rsidRDefault="008D4BB2" w:rsidP="008D4BB2">
      <w:pPr>
        <w:autoSpaceDE w:val="0"/>
        <w:autoSpaceDN w:val="0"/>
        <w:adjustRightInd w:val="0"/>
        <w:rPr>
          <w:rFonts w:cs="Arial"/>
          <w:sz w:val="20"/>
          <w:szCs w:val="20"/>
        </w:rPr>
      </w:pPr>
      <w:r w:rsidRPr="008D4BB2">
        <w:rPr>
          <w:rFonts w:cs="Arial"/>
          <w:sz w:val="20"/>
          <w:szCs w:val="20"/>
        </w:rPr>
        <w:t>Where</w:t>
      </w:r>
      <w:r w:rsidR="005B40F4">
        <w:rPr>
          <w:rFonts w:cs="Arial"/>
          <w:sz w:val="20"/>
          <w:szCs w:val="20"/>
        </w:rPr>
        <w:t>:</w:t>
      </w:r>
    </w:p>
    <w:p w:rsidR="005B40F4" w:rsidRPr="00E7227D" w:rsidRDefault="008D4BB2" w:rsidP="00E7227D">
      <w:pPr>
        <w:pStyle w:val="ListParagraph"/>
        <w:numPr>
          <w:ilvl w:val="0"/>
          <w:numId w:val="20"/>
        </w:numPr>
        <w:autoSpaceDE w:val="0"/>
        <w:autoSpaceDN w:val="0"/>
        <w:adjustRightInd w:val="0"/>
        <w:rPr>
          <w:rFonts w:cs="Arial"/>
          <w:sz w:val="20"/>
          <w:szCs w:val="20"/>
        </w:rPr>
      </w:pPr>
      <w:r w:rsidRPr="00860947">
        <w:rPr>
          <w:rFonts w:ascii="Cambria Math" w:hAnsi="Cambria Math" w:cs="Cambria Math"/>
          <w:sz w:val="20"/>
          <w:szCs w:val="20"/>
        </w:rPr>
        <w:t>𝐻𝑊</w:t>
      </w:r>
      <w:r w:rsidRPr="00860947">
        <w:rPr>
          <w:rFonts w:cs="Arial"/>
          <w:sz w:val="20"/>
          <w:szCs w:val="20"/>
        </w:rPr>
        <w:t xml:space="preserve"> = Zone-specific set of three consecu</w:t>
      </w:r>
      <w:r w:rsidR="005B40F4" w:rsidRPr="00860947">
        <w:rPr>
          <w:rFonts w:cs="Arial"/>
          <w:sz w:val="20"/>
          <w:szCs w:val="20"/>
        </w:rPr>
        <w:t>tive non-holiday weekdays that</w:t>
      </w:r>
      <w:r w:rsidRPr="00860947">
        <w:rPr>
          <w:rFonts w:cs="Arial"/>
          <w:sz w:val="20"/>
          <w:szCs w:val="20"/>
        </w:rPr>
        <w:t xml:space="preserve"> has the</w:t>
      </w:r>
      <w:r w:rsidR="005B40F4" w:rsidRPr="00860947">
        <w:rPr>
          <w:rFonts w:cs="Arial"/>
          <w:sz w:val="20"/>
          <w:szCs w:val="20"/>
        </w:rPr>
        <w:t xml:space="preserve"> </w:t>
      </w:r>
      <w:r w:rsidRPr="00860947">
        <w:rPr>
          <w:rFonts w:cs="Arial"/>
          <w:sz w:val="20"/>
          <w:szCs w:val="20"/>
        </w:rPr>
        <w:t>highest value of Score</w:t>
      </w:r>
      <w:r w:rsidRPr="00860947">
        <w:rPr>
          <w:rFonts w:cs="Arial"/>
          <w:sz w:val="20"/>
          <w:szCs w:val="20"/>
          <w:vertAlign w:val="subscript"/>
        </w:rPr>
        <w:t>k</w:t>
      </w:r>
      <w:r w:rsidRPr="00860947">
        <w:rPr>
          <w:rFonts w:cs="Arial"/>
          <w:sz w:val="20"/>
          <w:szCs w:val="20"/>
        </w:rPr>
        <w:t xml:space="preserve"> for heat wave candidate </w:t>
      </w:r>
      <w:r w:rsidRPr="00860947">
        <w:rPr>
          <w:rFonts w:ascii="Cambria Math" w:hAnsi="Cambria Math" w:cs="Cambria Math"/>
          <w:sz w:val="20"/>
          <w:szCs w:val="20"/>
        </w:rPr>
        <w:t>𝑘</w:t>
      </w:r>
      <w:r w:rsidRPr="00860947">
        <w:rPr>
          <w:rFonts w:cs="Arial"/>
          <w:sz w:val="20"/>
          <w:szCs w:val="20"/>
        </w:rPr>
        <w:t xml:space="preserve"> across all possible candidates</w:t>
      </w:r>
      <w:r w:rsidR="005B40F4" w:rsidRPr="00860947">
        <w:rPr>
          <w:rFonts w:cs="Arial"/>
          <w:sz w:val="20"/>
          <w:szCs w:val="20"/>
        </w:rPr>
        <w:t xml:space="preserve"> </w:t>
      </w:r>
      <w:r w:rsidRPr="00860947">
        <w:rPr>
          <w:rFonts w:ascii="Cambria Math" w:hAnsi="Cambria Math" w:cs="Cambria Math"/>
          <w:sz w:val="20"/>
          <w:szCs w:val="20"/>
        </w:rPr>
        <w:t>𝐾</w:t>
      </w:r>
    </w:p>
    <w:p w:rsidR="005B40F4" w:rsidRPr="00860947" w:rsidRDefault="008D4BB2" w:rsidP="00E7227D">
      <w:pPr>
        <w:pStyle w:val="ListParagraph"/>
        <w:numPr>
          <w:ilvl w:val="0"/>
          <w:numId w:val="20"/>
        </w:numPr>
        <w:autoSpaceDE w:val="0"/>
        <w:autoSpaceDN w:val="0"/>
        <w:adjustRightInd w:val="0"/>
        <w:rPr>
          <w:rFonts w:cs="Arial"/>
          <w:sz w:val="20"/>
          <w:szCs w:val="20"/>
        </w:rPr>
      </w:pPr>
      <w:r w:rsidRPr="00E7227D">
        <w:rPr>
          <w:rFonts w:cs="Arial"/>
          <w:sz w:val="20"/>
          <w:szCs w:val="20"/>
        </w:rPr>
        <w:t>Score</w:t>
      </w:r>
      <w:r w:rsidRPr="00E7227D">
        <w:rPr>
          <w:rFonts w:ascii="Cambria Math" w:hAnsi="Cambria Math" w:cs="Cambria Math"/>
          <w:sz w:val="20"/>
          <w:szCs w:val="20"/>
          <w:vertAlign w:val="subscript"/>
        </w:rPr>
        <w:t>𝑘</w:t>
      </w:r>
      <w:r w:rsidRPr="00E7227D">
        <w:rPr>
          <w:rFonts w:cs="Arial"/>
          <w:sz w:val="20"/>
          <w:szCs w:val="20"/>
        </w:rPr>
        <w:t xml:space="preserve"> = The summation of maximum temp</w:t>
      </w:r>
      <w:r w:rsidR="00C273C5">
        <w:rPr>
          <w:rFonts w:cs="Arial"/>
          <w:sz w:val="20"/>
          <w:szCs w:val="20"/>
        </w:rPr>
        <w:t>erature</w:t>
      </w:r>
      <w:r w:rsidRPr="00E7227D">
        <w:rPr>
          <w:rFonts w:cs="Arial"/>
          <w:sz w:val="20"/>
          <w:szCs w:val="20"/>
        </w:rPr>
        <w:t>, average daily, and afternoon average</w:t>
      </w:r>
      <w:r w:rsidR="005B40F4" w:rsidRPr="00860947">
        <w:rPr>
          <w:rFonts w:cs="Arial"/>
          <w:sz w:val="20"/>
          <w:szCs w:val="20"/>
        </w:rPr>
        <w:t xml:space="preserve"> </w:t>
      </w:r>
      <w:r w:rsidRPr="00860947">
        <w:rPr>
          <w:rFonts w:cs="Arial"/>
          <w:sz w:val="20"/>
          <w:szCs w:val="20"/>
        </w:rPr>
        <w:t>temperature</w:t>
      </w:r>
    </w:p>
    <w:p w:rsidR="00860947" w:rsidRDefault="00860947" w:rsidP="00E7227D">
      <w:pPr>
        <w:pStyle w:val="ListParagraph"/>
        <w:numPr>
          <w:ilvl w:val="0"/>
          <w:numId w:val="20"/>
        </w:numPr>
        <w:autoSpaceDE w:val="0"/>
        <w:autoSpaceDN w:val="0"/>
        <w:adjustRightInd w:val="0"/>
        <w:rPr>
          <w:rFonts w:cs="Arial"/>
          <w:sz w:val="20"/>
          <w:szCs w:val="20"/>
        </w:rPr>
      </w:pPr>
      <w:r w:rsidRPr="00E7227D">
        <w:rPr>
          <w:rFonts w:cs="Arial"/>
          <w:sz w:val="20"/>
          <w:szCs w:val="20"/>
        </w:rPr>
        <w:t>temp</w:t>
      </w:r>
      <w:r w:rsidR="008D4BB2" w:rsidRPr="00E7227D">
        <w:rPr>
          <w:rFonts w:ascii="Cambria Math" w:hAnsi="Cambria Math" w:cs="Cambria Math"/>
          <w:sz w:val="20"/>
          <w:szCs w:val="20"/>
          <w:vertAlign w:val="subscript"/>
        </w:rPr>
        <w:t>𝑑</w:t>
      </w:r>
      <w:r w:rsidR="008D4BB2" w:rsidRPr="00E7227D">
        <w:rPr>
          <w:rFonts w:cs="Arial"/>
          <w:sz w:val="20"/>
          <w:szCs w:val="20"/>
          <w:vertAlign w:val="subscript"/>
        </w:rPr>
        <w:t>,</w:t>
      </w:r>
      <w:r w:rsidR="008D4BB2" w:rsidRPr="00E7227D">
        <w:rPr>
          <w:rFonts w:ascii="Cambria Math" w:hAnsi="Cambria Math" w:cs="Cambria Math"/>
          <w:sz w:val="20"/>
          <w:szCs w:val="20"/>
          <w:vertAlign w:val="subscript"/>
        </w:rPr>
        <w:t>𝑘</w:t>
      </w:r>
      <w:r w:rsidR="008D4BB2" w:rsidRPr="00E7227D">
        <w:rPr>
          <w:rFonts w:cs="Arial"/>
          <w:sz w:val="20"/>
          <w:szCs w:val="20"/>
        </w:rPr>
        <w:t xml:space="preserve"> = The hourly temperature value across all hours on day d, for heat wave</w:t>
      </w:r>
      <w:r w:rsidRPr="00860947">
        <w:rPr>
          <w:rFonts w:cs="Arial"/>
          <w:sz w:val="20"/>
          <w:szCs w:val="20"/>
        </w:rPr>
        <w:t xml:space="preserve"> </w:t>
      </w:r>
      <w:r w:rsidR="008D4BB2" w:rsidRPr="00860947">
        <w:rPr>
          <w:rFonts w:cs="Arial"/>
          <w:sz w:val="20"/>
          <w:szCs w:val="20"/>
        </w:rPr>
        <w:t>candidate k</w:t>
      </w:r>
    </w:p>
    <w:p w:rsidR="00860947" w:rsidRDefault="008D4BB2" w:rsidP="00E7227D">
      <w:pPr>
        <w:pStyle w:val="ListParagraph"/>
        <w:numPr>
          <w:ilvl w:val="0"/>
          <w:numId w:val="20"/>
        </w:numPr>
        <w:autoSpaceDE w:val="0"/>
        <w:autoSpaceDN w:val="0"/>
        <w:adjustRightInd w:val="0"/>
        <w:rPr>
          <w:rFonts w:cs="Arial"/>
          <w:sz w:val="20"/>
          <w:szCs w:val="20"/>
        </w:rPr>
      </w:pPr>
      <w:r w:rsidRPr="00860947">
        <w:rPr>
          <w:rFonts w:ascii="Cambria Math" w:hAnsi="Cambria Math" w:cs="Cambria Math"/>
          <w:sz w:val="20"/>
          <w:szCs w:val="20"/>
        </w:rPr>
        <w:t>𝑑𝑎𝑖𝑙𝑦</w:t>
      </w:r>
      <w:r w:rsidRPr="00860947">
        <w:rPr>
          <w:rFonts w:cs="Arial"/>
          <w:sz w:val="20"/>
          <w:szCs w:val="20"/>
        </w:rPr>
        <w:t>_</w:t>
      </w:r>
      <w:r w:rsidRPr="00860947">
        <w:rPr>
          <w:rFonts w:ascii="Cambria Math" w:hAnsi="Cambria Math" w:cs="Cambria Math"/>
          <w:sz w:val="20"/>
          <w:szCs w:val="20"/>
        </w:rPr>
        <w:t>𝑚𝑒𝑎𝑛</w:t>
      </w:r>
      <w:r w:rsidRPr="00E7227D">
        <w:rPr>
          <w:rFonts w:ascii="Cambria Math" w:hAnsi="Cambria Math" w:cs="Cambria Math"/>
          <w:sz w:val="20"/>
          <w:szCs w:val="20"/>
          <w:vertAlign w:val="subscript"/>
        </w:rPr>
        <w:t>𝑑</w:t>
      </w:r>
      <w:r w:rsidRPr="00E7227D">
        <w:rPr>
          <w:rFonts w:cs="Arial"/>
          <w:sz w:val="20"/>
          <w:szCs w:val="20"/>
          <w:vertAlign w:val="subscript"/>
        </w:rPr>
        <w:t>,</w:t>
      </w:r>
      <w:r w:rsidRPr="00E7227D">
        <w:rPr>
          <w:rFonts w:ascii="Cambria Math" w:hAnsi="Cambria Math" w:cs="Cambria Math"/>
          <w:sz w:val="20"/>
          <w:szCs w:val="20"/>
          <w:vertAlign w:val="subscript"/>
        </w:rPr>
        <w:t>𝑘</w:t>
      </w:r>
      <w:r w:rsidRPr="00860947">
        <w:rPr>
          <w:rFonts w:cs="Arial"/>
          <w:sz w:val="20"/>
          <w:szCs w:val="20"/>
        </w:rPr>
        <w:t xml:space="preserve"> = The average hourly temperature across all hours on day d, for heat wave</w:t>
      </w:r>
      <w:r w:rsidR="00860947" w:rsidRPr="00860947">
        <w:rPr>
          <w:rFonts w:cs="Arial"/>
          <w:sz w:val="20"/>
          <w:szCs w:val="20"/>
        </w:rPr>
        <w:t xml:space="preserve"> </w:t>
      </w:r>
      <w:r w:rsidRPr="00860947">
        <w:rPr>
          <w:rFonts w:cs="Arial"/>
          <w:sz w:val="20"/>
          <w:szCs w:val="20"/>
        </w:rPr>
        <w:t>candidate k</w:t>
      </w:r>
    </w:p>
    <w:p w:rsidR="008D4BB2" w:rsidRPr="00860947" w:rsidRDefault="008D4BB2" w:rsidP="00E7227D">
      <w:pPr>
        <w:pStyle w:val="ListParagraph"/>
        <w:numPr>
          <w:ilvl w:val="0"/>
          <w:numId w:val="20"/>
        </w:numPr>
        <w:autoSpaceDE w:val="0"/>
        <w:autoSpaceDN w:val="0"/>
        <w:adjustRightInd w:val="0"/>
        <w:rPr>
          <w:rFonts w:cs="Arial"/>
          <w:sz w:val="20"/>
          <w:szCs w:val="20"/>
        </w:rPr>
      </w:pPr>
      <w:r w:rsidRPr="00860947">
        <w:rPr>
          <w:rFonts w:ascii="Cambria Math" w:hAnsi="Cambria Math" w:cs="Cambria Math"/>
          <w:sz w:val="20"/>
          <w:szCs w:val="20"/>
        </w:rPr>
        <w:t>𝑎𝑓𝑡𝑒𝑟𝑛𝑜𝑜𝑛</w:t>
      </w:r>
      <w:r w:rsidRPr="00860947">
        <w:rPr>
          <w:rFonts w:cs="Arial"/>
          <w:sz w:val="20"/>
          <w:szCs w:val="20"/>
        </w:rPr>
        <w:t>_</w:t>
      </w:r>
      <w:r w:rsidRPr="00860947">
        <w:rPr>
          <w:rFonts w:ascii="Cambria Math" w:hAnsi="Cambria Math" w:cs="Cambria Math"/>
          <w:sz w:val="20"/>
          <w:szCs w:val="20"/>
        </w:rPr>
        <w:t>𝑎𝑣𝑔</w:t>
      </w:r>
      <w:r w:rsidRPr="00E7227D">
        <w:rPr>
          <w:rFonts w:ascii="Cambria Math" w:hAnsi="Cambria Math" w:cs="Cambria Math"/>
          <w:sz w:val="20"/>
          <w:szCs w:val="20"/>
          <w:vertAlign w:val="subscript"/>
        </w:rPr>
        <w:t>𝑑</w:t>
      </w:r>
      <w:r w:rsidRPr="00E7227D">
        <w:rPr>
          <w:rFonts w:cs="Arial"/>
          <w:sz w:val="20"/>
          <w:szCs w:val="20"/>
          <w:vertAlign w:val="subscript"/>
        </w:rPr>
        <w:t>,</w:t>
      </w:r>
      <w:r w:rsidRPr="00E7227D">
        <w:rPr>
          <w:rFonts w:ascii="Cambria Math" w:hAnsi="Cambria Math" w:cs="Cambria Math"/>
          <w:sz w:val="20"/>
          <w:szCs w:val="20"/>
          <w:vertAlign w:val="subscript"/>
        </w:rPr>
        <w:t>𝑘</w:t>
      </w:r>
      <w:r w:rsidRPr="00860947">
        <w:rPr>
          <w:rFonts w:cs="Arial"/>
          <w:sz w:val="20"/>
          <w:szCs w:val="20"/>
        </w:rPr>
        <w:t xml:space="preserve"> = The average hourly temperature between 12 and 6 PM on day d, for heat wave</w:t>
      </w:r>
      <w:r w:rsidR="00860947">
        <w:rPr>
          <w:rFonts w:cs="Arial"/>
          <w:sz w:val="20"/>
          <w:szCs w:val="20"/>
        </w:rPr>
        <w:t xml:space="preserve"> candidate</w:t>
      </w:r>
    </w:p>
    <w:p w:rsidR="00860947" w:rsidRDefault="00860947" w:rsidP="008D4BB2">
      <w:pPr>
        <w:autoSpaceDE w:val="0"/>
        <w:autoSpaceDN w:val="0"/>
        <w:adjustRightInd w:val="0"/>
        <w:rPr>
          <w:rFonts w:cs="Arial"/>
          <w:sz w:val="20"/>
          <w:szCs w:val="20"/>
        </w:rPr>
      </w:pPr>
    </w:p>
    <w:p w:rsidR="00C45CC3" w:rsidRDefault="008F04F3" w:rsidP="008D4BB2">
      <w:pPr>
        <w:autoSpaceDE w:val="0"/>
        <w:autoSpaceDN w:val="0"/>
        <w:adjustRightInd w:val="0"/>
        <w:rPr>
          <w:rFonts w:cs="Arial"/>
          <w:sz w:val="20"/>
          <w:szCs w:val="20"/>
        </w:rPr>
      </w:pPr>
      <w:r>
        <w:rPr>
          <w:rFonts w:cs="Arial"/>
          <w:sz w:val="20"/>
          <w:szCs w:val="20"/>
        </w:rPr>
        <w:t>S</w:t>
      </w:r>
      <w:r w:rsidR="008D4BB2" w:rsidRPr="00860947">
        <w:rPr>
          <w:rFonts w:cs="Arial"/>
          <w:sz w:val="20"/>
          <w:szCs w:val="20"/>
        </w:rPr>
        <w:t xml:space="preserve">tatistical differences in demand between treatment and control groups </w:t>
      </w:r>
      <w:r>
        <w:rPr>
          <w:rFonts w:cs="Arial"/>
          <w:sz w:val="20"/>
          <w:szCs w:val="20"/>
        </w:rPr>
        <w:t xml:space="preserve">can be done </w:t>
      </w:r>
      <w:r w:rsidR="008D4BB2" w:rsidRPr="00860947">
        <w:rPr>
          <w:rFonts w:cs="Arial"/>
          <w:sz w:val="20"/>
          <w:szCs w:val="20"/>
        </w:rPr>
        <w:t>us</w:t>
      </w:r>
      <w:r w:rsidR="008D4BB2" w:rsidRPr="00E7227D">
        <w:rPr>
          <w:rFonts w:cs="Arial"/>
          <w:sz w:val="20"/>
          <w:szCs w:val="20"/>
        </w:rPr>
        <w:t>ing 15-</w:t>
      </w:r>
      <w:r w:rsidR="008D4BB2" w:rsidRPr="008F04F3">
        <w:rPr>
          <w:rFonts w:cs="Arial"/>
          <w:sz w:val="20"/>
          <w:szCs w:val="20"/>
        </w:rPr>
        <w:t xml:space="preserve">minute and 60-minute </w:t>
      </w:r>
      <w:r>
        <w:rPr>
          <w:rFonts w:cs="Arial"/>
          <w:sz w:val="20"/>
          <w:szCs w:val="20"/>
        </w:rPr>
        <w:t xml:space="preserve">interval meter </w:t>
      </w:r>
      <w:r w:rsidR="00C45CC3">
        <w:rPr>
          <w:rFonts w:cs="Arial"/>
          <w:sz w:val="20"/>
          <w:szCs w:val="20"/>
        </w:rPr>
        <w:t>data (also named</w:t>
      </w:r>
      <w:r>
        <w:rPr>
          <w:rFonts w:cs="Arial"/>
          <w:sz w:val="20"/>
          <w:szCs w:val="20"/>
        </w:rPr>
        <w:t xml:space="preserve"> </w:t>
      </w:r>
      <w:r w:rsidR="00AD78A5">
        <w:rPr>
          <w:rFonts w:cs="Arial"/>
          <w:sz w:val="20"/>
          <w:szCs w:val="20"/>
        </w:rPr>
        <w:t>Advanced Metering Infrastructure</w:t>
      </w:r>
      <w:r w:rsidR="00C45CC3">
        <w:rPr>
          <w:rFonts w:cs="Arial"/>
          <w:sz w:val="20"/>
          <w:szCs w:val="20"/>
        </w:rPr>
        <w:t xml:space="preserve"> </w:t>
      </w:r>
      <w:r w:rsidR="00695CBB">
        <w:rPr>
          <w:rFonts w:cs="Arial"/>
          <w:sz w:val="20"/>
          <w:szCs w:val="20"/>
        </w:rPr>
        <w:t>[</w:t>
      </w:r>
      <w:r w:rsidR="008D4BB2" w:rsidRPr="008F04F3">
        <w:rPr>
          <w:rFonts w:cs="Arial"/>
          <w:sz w:val="20"/>
          <w:szCs w:val="20"/>
        </w:rPr>
        <w:t>AMI</w:t>
      </w:r>
      <w:r w:rsidR="00695CBB">
        <w:rPr>
          <w:rFonts w:cs="Arial"/>
          <w:sz w:val="20"/>
          <w:szCs w:val="20"/>
        </w:rPr>
        <w:t>]</w:t>
      </w:r>
      <w:r w:rsidR="008D4BB2" w:rsidRPr="008F04F3">
        <w:rPr>
          <w:rFonts w:cs="Arial"/>
          <w:sz w:val="20"/>
          <w:szCs w:val="20"/>
        </w:rPr>
        <w:t xml:space="preserve"> data</w:t>
      </w:r>
      <w:r w:rsidR="00C45CC3">
        <w:rPr>
          <w:rFonts w:cs="Arial"/>
          <w:sz w:val="20"/>
          <w:szCs w:val="20"/>
        </w:rPr>
        <w:t>)</w:t>
      </w:r>
      <w:r w:rsidR="008D4BB2" w:rsidRPr="008F04F3">
        <w:rPr>
          <w:rFonts w:cs="Arial"/>
          <w:sz w:val="20"/>
          <w:szCs w:val="20"/>
        </w:rPr>
        <w:t>, and consumption during the hours of 2 p.m.</w:t>
      </w:r>
      <w:r w:rsidR="00695CBB">
        <w:rPr>
          <w:rFonts w:cs="Arial"/>
          <w:sz w:val="20"/>
          <w:szCs w:val="20"/>
        </w:rPr>
        <w:t xml:space="preserve"> and </w:t>
      </w:r>
      <w:r w:rsidR="008D4BB2" w:rsidRPr="008F04F3">
        <w:rPr>
          <w:rFonts w:cs="Arial"/>
          <w:sz w:val="20"/>
          <w:szCs w:val="20"/>
        </w:rPr>
        <w:t>5 p.m. of the most</w:t>
      </w:r>
      <w:r w:rsidR="00C45CC3">
        <w:rPr>
          <w:rFonts w:cs="Arial"/>
          <w:sz w:val="20"/>
          <w:szCs w:val="20"/>
        </w:rPr>
        <w:t xml:space="preserve"> </w:t>
      </w:r>
      <w:r w:rsidR="008D4BB2" w:rsidRPr="00C45CC3">
        <w:rPr>
          <w:rFonts w:cs="Arial"/>
          <w:sz w:val="20"/>
          <w:szCs w:val="20"/>
        </w:rPr>
        <w:t xml:space="preserve">common heat wave. </w:t>
      </w:r>
    </w:p>
    <w:p w:rsidR="00C45CC3" w:rsidRDefault="00C45CC3" w:rsidP="008D4BB2">
      <w:pPr>
        <w:autoSpaceDE w:val="0"/>
        <w:autoSpaceDN w:val="0"/>
        <w:adjustRightInd w:val="0"/>
        <w:rPr>
          <w:rFonts w:cs="Arial"/>
          <w:sz w:val="20"/>
          <w:szCs w:val="20"/>
        </w:rPr>
      </w:pPr>
    </w:p>
    <w:p w:rsidR="008D4BB2" w:rsidRDefault="00C45CC3" w:rsidP="008D4BB2">
      <w:pPr>
        <w:autoSpaceDE w:val="0"/>
        <w:autoSpaceDN w:val="0"/>
        <w:adjustRightInd w:val="0"/>
        <w:rPr>
          <w:rFonts w:cs="Arial"/>
          <w:sz w:val="20"/>
          <w:szCs w:val="20"/>
        </w:rPr>
      </w:pPr>
      <w:r>
        <w:rPr>
          <w:rFonts w:cs="Arial"/>
          <w:sz w:val="20"/>
          <w:szCs w:val="20"/>
        </w:rPr>
        <w:lastRenderedPageBreak/>
        <w:t>Since the HER program is built as a RCT</w:t>
      </w:r>
      <w:r w:rsidR="008D4BB2" w:rsidRPr="00C45CC3">
        <w:rPr>
          <w:rFonts w:cs="Arial"/>
          <w:sz w:val="20"/>
          <w:szCs w:val="20"/>
        </w:rPr>
        <w:t>, the</w:t>
      </w:r>
      <w:r>
        <w:rPr>
          <w:rFonts w:cs="Arial"/>
          <w:sz w:val="20"/>
          <w:szCs w:val="20"/>
        </w:rPr>
        <w:t xml:space="preserve"> </w:t>
      </w:r>
      <w:r w:rsidR="008D4BB2" w:rsidRPr="00C45CC3">
        <w:rPr>
          <w:rFonts w:cs="Arial"/>
          <w:sz w:val="20"/>
          <w:szCs w:val="20"/>
        </w:rPr>
        <w:t>simplest approach is to calculate the difference in average hourly load between treatment and control</w:t>
      </w:r>
      <w:r>
        <w:rPr>
          <w:rFonts w:cs="Arial"/>
          <w:sz w:val="20"/>
          <w:szCs w:val="20"/>
        </w:rPr>
        <w:t xml:space="preserve"> </w:t>
      </w:r>
      <w:r w:rsidR="008D4BB2" w:rsidRPr="00C45CC3">
        <w:rPr>
          <w:rFonts w:cs="Arial"/>
          <w:sz w:val="20"/>
          <w:szCs w:val="20"/>
        </w:rPr>
        <w:t>households during peak periods. This is referred to as a “post-only” framework as it employs only data</w:t>
      </w:r>
      <w:r>
        <w:rPr>
          <w:rFonts w:cs="Arial"/>
          <w:sz w:val="20"/>
          <w:szCs w:val="20"/>
        </w:rPr>
        <w:t xml:space="preserve"> that is</w:t>
      </w:r>
      <w:r w:rsidR="008D4BB2" w:rsidRPr="00C45CC3">
        <w:rPr>
          <w:rFonts w:cs="Arial"/>
          <w:sz w:val="20"/>
          <w:szCs w:val="20"/>
        </w:rPr>
        <w:t xml:space="preserve"> observed after the launch date of the program and does not make use of any pre-program period</w:t>
      </w:r>
      <w:r>
        <w:rPr>
          <w:rFonts w:cs="Arial"/>
          <w:sz w:val="20"/>
          <w:szCs w:val="20"/>
        </w:rPr>
        <w:t xml:space="preserve"> </w:t>
      </w:r>
      <w:r w:rsidR="008D4BB2" w:rsidRPr="00C45CC3">
        <w:rPr>
          <w:rFonts w:cs="Arial"/>
          <w:sz w:val="20"/>
          <w:szCs w:val="20"/>
        </w:rPr>
        <w:t>data.</w:t>
      </w:r>
    </w:p>
    <w:p w:rsidR="00C45CC3" w:rsidRPr="00C45CC3" w:rsidRDefault="00C45CC3" w:rsidP="008D4BB2">
      <w:pPr>
        <w:autoSpaceDE w:val="0"/>
        <w:autoSpaceDN w:val="0"/>
        <w:adjustRightInd w:val="0"/>
        <w:rPr>
          <w:rFonts w:cs="Arial"/>
          <w:sz w:val="20"/>
          <w:szCs w:val="20"/>
        </w:rPr>
      </w:pPr>
    </w:p>
    <w:p w:rsidR="003515C6" w:rsidRDefault="008D4BB2" w:rsidP="008D4BB2">
      <w:pPr>
        <w:autoSpaceDE w:val="0"/>
        <w:autoSpaceDN w:val="0"/>
        <w:adjustRightInd w:val="0"/>
        <w:rPr>
          <w:rFonts w:cs="Arial"/>
          <w:sz w:val="20"/>
          <w:szCs w:val="20"/>
        </w:rPr>
      </w:pPr>
      <w:r w:rsidRPr="00C45CC3">
        <w:rPr>
          <w:rFonts w:cs="Arial"/>
          <w:sz w:val="20"/>
          <w:szCs w:val="20"/>
        </w:rPr>
        <w:t>The general equation for th</w:t>
      </w:r>
      <w:r w:rsidRPr="008D4BB2">
        <w:rPr>
          <w:rFonts w:cs="Arial"/>
          <w:sz w:val="20"/>
          <w:szCs w:val="20"/>
        </w:rPr>
        <w:t>e post-only approach is given below:</w:t>
      </w:r>
    </w:p>
    <w:p w:rsidR="00C45CC3" w:rsidRPr="005B40F4" w:rsidRDefault="00B37A08" w:rsidP="00C45CC3">
      <w:pPr>
        <w:autoSpaceDE w:val="0"/>
        <w:autoSpaceDN w:val="0"/>
        <w:adjustRightInd w:val="0"/>
        <w:jc w:val="center"/>
        <w:rPr>
          <w:rFonts w:ascii="Cambria Math" w:hAnsi="Cambria Math" w:cs="Cambria Math"/>
          <w:sz w:val="36"/>
          <w:szCs w:val="36"/>
        </w:rPr>
      </w:pPr>
      <m:oMath>
        <m:acc>
          <m:accPr>
            <m:chr m:val="̅"/>
            <m:ctrlPr>
              <w:rPr>
                <w:rFonts w:ascii="Cambria Math" w:hAnsi="Cambria Math" w:cs="Cambria Math"/>
                <w:i/>
                <w:sz w:val="36"/>
                <w:szCs w:val="36"/>
              </w:rPr>
            </m:ctrlPr>
          </m:accPr>
          <m:e>
            <m:r>
              <w:rPr>
                <w:rFonts w:ascii="Cambria Math" w:hAnsi="Cambria Math" w:cs="Cambria Math"/>
                <w:sz w:val="36"/>
                <w:szCs w:val="36"/>
              </w:rPr>
              <m:t>kW</m:t>
            </m:r>
          </m:e>
        </m:acc>
      </m:oMath>
      <w:r w:rsidR="00C45CC3" w:rsidRPr="005B40F4">
        <w:rPr>
          <w:rFonts w:ascii="Cambria Math" w:hAnsi="Cambria Math" w:cs="Cambria Math"/>
          <w:sz w:val="36"/>
          <w:szCs w:val="36"/>
        </w:rPr>
        <w:t xml:space="preserve"> </w:t>
      </w:r>
      <w:r w:rsidR="00C45CC3">
        <w:rPr>
          <w:rFonts w:ascii="Cambria Math" w:hAnsi="Cambria Math" w:cs="Cambria Math"/>
          <w:sz w:val="36"/>
          <w:szCs w:val="36"/>
        </w:rPr>
        <w:t xml:space="preserve">savings </w:t>
      </w:r>
      <w:r w:rsidR="00C45CC3" w:rsidRPr="005B40F4">
        <w:rPr>
          <w:rFonts w:ascii="Cambria Math" w:hAnsi="Cambria Math" w:cs="Cambria Math"/>
          <w:sz w:val="36"/>
          <w:szCs w:val="36"/>
        </w:rPr>
        <w:t xml:space="preserve">= </w:t>
      </w:r>
      <m:oMath>
        <m:acc>
          <m:accPr>
            <m:chr m:val="̅"/>
            <m:ctrlPr>
              <w:rPr>
                <w:rFonts w:ascii="Cambria Math" w:hAnsi="Cambria Math" w:cs="Cambria Math"/>
                <w:i/>
                <w:sz w:val="36"/>
                <w:szCs w:val="36"/>
              </w:rPr>
            </m:ctrlPr>
          </m:accPr>
          <m:e>
            <m:sSub>
              <m:sSubPr>
                <m:ctrlPr>
                  <w:rPr>
                    <w:rFonts w:ascii="Cambria Math" w:hAnsi="Cambria Math" w:cs="Cambria Math"/>
                    <w:i/>
                    <w:sz w:val="36"/>
                    <w:szCs w:val="36"/>
                  </w:rPr>
                </m:ctrlPr>
              </m:sSubPr>
              <m:e>
                <m:r>
                  <w:rPr>
                    <w:rFonts w:ascii="Cambria Math" w:hAnsi="Cambria Math" w:cs="Cambria Math"/>
                    <w:sz w:val="36"/>
                    <w:szCs w:val="36"/>
                  </w:rPr>
                  <m:t>post_kW</m:t>
                </m:r>
              </m:e>
              <m:sub>
                <m:r>
                  <w:rPr>
                    <w:rFonts w:ascii="Cambria Math" w:hAnsi="Cambria Math" w:cs="Cambria Math"/>
                    <w:sz w:val="36"/>
                    <w:szCs w:val="36"/>
                  </w:rPr>
                  <m:t>C</m:t>
                </m:r>
              </m:sub>
            </m:sSub>
          </m:e>
        </m:acc>
      </m:oMath>
      <w:r w:rsidR="00C45CC3">
        <w:rPr>
          <w:rFonts w:ascii="Cambria Math" w:hAnsi="Cambria Math" w:cs="Cambria Math"/>
          <w:sz w:val="36"/>
          <w:szCs w:val="36"/>
        </w:rPr>
        <w:t xml:space="preserve"> - </w:t>
      </w:r>
      <m:oMath>
        <m:acc>
          <m:accPr>
            <m:chr m:val="̅"/>
            <m:ctrlPr>
              <w:rPr>
                <w:rFonts w:ascii="Cambria Math" w:hAnsi="Cambria Math" w:cs="Cambria Math"/>
                <w:i/>
                <w:sz w:val="36"/>
                <w:szCs w:val="36"/>
              </w:rPr>
            </m:ctrlPr>
          </m:accPr>
          <m:e>
            <m:sSub>
              <m:sSubPr>
                <m:ctrlPr>
                  <w:rPr>
                    <w:rFonts w:ascii="Cambria Math" w:hAnsi="Cambria Math" w:cs="Cambria Math"/>
                    <w:i/>
                    <w:sz w:val="36"/>
                    <w:szCs w:val="36"/>
                  </w:rPr>
                </m:ctrlPr>
              </m:sSubPr>
              <m:e>
                <m:r>
                  <w:rPr>
                    <w:rFonts w:ascii="Cambria Math" w:hAnsi="Cambria Math" w:cs="Cambria Math"/>
                    <w:sz w:val="36"/>
                    <w:szCs w:val="36"/>
                  </w:rPr>
                  <m:t>post_kW</m:t>
                </m:r>
              </m:e>
              <m:sub>
                <m:r>
                  <w:rPr>
                    <w:rFonts w:ascii="Cambria Math" w:hAnsi="Cambria Math" w:cs="Cambria Math"/>
                    <w:sz w:val="36"/>
                    <w:szCs w:val="36"/>
                  </w:rPr>
                  <m:t>T</m:t>
                </m:r>
              </m:sub>
            </m:sSub>
          </m:e>
        </m:acc>
      </m:oMath>
    </w:p>
    <w:p w:rsidR="0065231B" w:rsidRPr="008D4BB2" w:rsidRDefault="0065231B" w:rsidP="0065231B">
      <w:pPr>
        <w:autoSpaceDE w:val="0"/>
        <w:autoSpaceDN w:val="0"/>
        <w:adjustRightInd w:val="0"/>
        <w:rPr>
          <w:rFonts w:cs="Arial"/>
          <w:sz w:val="20"/>
          <w:szCs w:val="20"/>
        </w:rPr>
      </w:pPr>
      <w:r w:rsidRPr="008D4BB2">
        <w:rPr>
          <w:rFonts w:cs="Arial"/>
          <w:sz w:val="20"/>
          <w:szCs w:val="20"/>
        </w:rPr>
        <w:t>Where</w:t>
      </w:r>
      <w:r>
        <w:rPr>
          <w:rFonts w:cs="Arial"/>
          <w:sz w:val="20"/>
          <w:szCs w:val="20"/>
        </w:rPr>
        <w:t>:</w:t>
      </w:r>
    </w:p>
    <w:p w:rsidR="0065231B" w:rsidRDefault="00B37A08" w:rsidP="00B466FD">
      <w:pPr>
        <w:pStyle w:val="ListParagraph"/>
        <w:numPr>
          <w:ilvl w:val="0"/>
          <w:numId w:val="20"/>
        </w:numPr>
        <w:autoSpaceDE w:val="0"/>
        <w:autoSpaceDN w:val="0"/>
        <w:adjustRightInd w:val="0"/>
        <w:rPr>
          <w:rFonts w:cs="Arial"/>
          <w:sz w:val="20"/>
          <w:szCs w:val="20"/>
        </w:rPr>
      </w:pPr>
      <m:oMath>
        <m:acc>
          <m:accPr>
            <m:chr m:val="̅"/>
            <m:ctrlPr>
              <w:rPr>
                <w:rFonts w:ascii="Cambria Math" w:hAnsi="Cambria Math" w:cs="Cambria Math"/>
                <w:i/>
                <w:sz w:val="20"/>
                <w:szCs w:val="20"/>
              </w:rPr>
            </m:ctrlPr>
          </m:accPr>
          <m:e>
            <m:r>
              <w:rPr>
                <w:rFonts w:ascii="Cambria Math" w:hAnsi="Cambria Math" w:cs="Cambria Math"/>
                <w:sz w:val="20"/>
                <w:szCs w:val="20"/>
              </w:rPr>
              <m:t>kW</m:t>
            </m:r>
          </m:e>
        </m:acc>
      </m:oMath>
      <w:r w:rsidR="0065231B" w:rsidRPr="00030D09">
        <w:rPr>
          <w:rFonts w:cs="Arial"/>
          <w:sz w:val="20"/>
          <w:szCs w:val="20"/>
        </w:rPr>
        <w:t xml:space="preserve"> </w:t>
      </w:r>
      <w:r w:rsidR="0065231B" w:rsidRPr="0065231B">
        <w:rPr>
          <w:rFonts w:cs="Arial"/>
          <w:i/>
          <w:sz w:val="20"/>
          <w:szCs w:val="20"/>
        </w:rPr>
        <w:t>savings</w:t>
      </w:r>
      <w:r w:rsidR="0065231B">
        <w:rPr>
          <w:rFonts w:cs="Arial"/>
          <w:sz w:val="20"/>
          <w:szCs w:val="20"/>
        </w:rPr>
        <w:t xml:space="preserve"> = </w:t>
      </w:r>
      <w:r w:rsidR="008D4BB2" w:rsidRPr="0065231B">
        <w:rPr>
          <w:rFonts w:cs="Arial"/>
          <w:sz w:val="20"/>
          <w:szCs w:val="20"/>
        </w:rPr>
        <w:t>Average demand reductions during the peak period</w:t>
      </w:r>
    </w:p>
    <w:p w:rsidR="008D4BB2" w:rsidRPr="00B466FD" w:rsidRDefault="008D4BB2" w:rsidP="00B466FD">
      <w:pPr>
        <w:pStyle w:val="ListParagraph"/>
        <w:numPr>
          <w:ilvl w:val="0"/>
          <w:numId w:val="20"/>
        </w:numPr>
        <w:autoSpaceDE w:val="0"/>
        <w:autoSpaceDN w:val="0"/>
        <w:adjustRightInd w:val="0"/>
        <w:rPr>
          <w:rFonts w:cs="Arial"/>
          <w:sz w:val="20"/>
          <w:szCs w:val="20"/>
        </w:rPr>
      </w:pPr>
      <w:r w:rsidRPr="00B466FD">
        <w:rPr>
          <w:rFonts w:cs="Arial"/>
          <w:sz w:val="20"/>
          <w:szCs w:val="20"/>
        </w:rPr>
        <w:t>̅</w:t>
      </w:r>
      <m:oMath>
        <m:sSub>
          <m:sSubPr>
            <m:ctrlPr>
              <w:rPr>
                <w:rFonts w:ascii="Cambria Math" w:hAnsi="Cambria Math" w:cs="Cambria Math"/>
                <w:i/>
                <w:sz w:val="20"/>
                <w:szCs w:val="20"/>
              </w:rPr>
            </m:ctrlPr>
          </m:sSubPr>
          <m:e>
            <m:acc>
              <m:accPr>
                <m:chr m:val="̅"/>
                <m:ctrlPr>
                  <w:rPr>
                    <w:rFonts w:ascii="Cambria Math" w:hAnsi="Cambria Math" w:cs="Cambria Math"/>
                    <w:i/>
                    <w:sz w:val="20"/>
                    <w:szCs w:val="20"/>
                  </w:rPr>
                </m:ctrlPr>
              </m:accPr>
              <m:e>
                <m:r>
                  <w:rPr>
                    <w:rFonts w:ascii="Cambria Math" w:hAnsi="Cambria Math" w:cs="Cambria Math"/>
                    <w:sz w:val="20"/>
                    <w:szCs w:val="20"/>
                  </w:rPr>
                  <m:t>kW</m:t>
                </m:r>
              </m:e>
            </m:acc>
          </m:e>
          <m:sub>
            <m:r>
              <w:rPr>
                <w:rFonts w:ascii="Cambria Math" w:hAnsi="Cambria Math" w:cs="Cambria Math"/>
                <w:sz w:val="20"/>
                <w:szCs w:val="20"/>
              </w:rPr>
              <m:t>C</m:t>
            </m:r>
          </m:sub>
        </m:sSub>
      </m:oMath>
      <w:r w:rsidR="0065231B" w:rsidRPr="0065231B">
        <w:rPr>
          <w:rFonts w:cs="Arial"/>
          <w:sz w:val="20"/>
          <w:szCs w:val="20"/>
        </w:rPr>
        <w:t xml:space="preserve"> = </w:t>
      </w:r>
      <w:r w:rsidRPr="0065231B">
        <w:rPr>
          <w:rFonts w:cs="Arial"/>
          <w:sz w:val="20"/>
          <w:szCs w:val="20"/>
        </w:rPr>
        <w:t>Average hourly load of the control group during the peak period in the post period being</w:t>
      </w:r>
      <w:r w:rsidR="0065231B">
        <w:rPr>
          <w:rFonts w:cs="Arial"/>
          <w:sz w:val="20"/>
          <w:szCs w:val="20"/>
        </w:rPr>
        <w:t xml:space="preserve"> </w:t>
      </w:r>
      <w:r w:rsidR="0065231B" w:rsidRPr="00B466FD">
        <w:rPr>
          <w:rFonts w:cs="Arial"/>
          <w:sz w:val="20"/>
          <w:szCs w:val="20"/>
        </w:rPr>
        <w:t>evaluated</w:t>
      </w:r>
    </w:p>
    <w:p w:rsidR="0065231B" w:rsidRPr="00A95404" w:rsidRDefault="00B37A08" w:rsidP="0065231B">
      <w:pPr>
        <w:pStyle w:val="ListParagraph"/>
        <w:numPr>
          <w:ilvl w:val="0"/>
          <w:numId w:val="20"/>
        </w:numPr>
        <w:autoSpaceDE w:val="0"/>
        <w:autoSpaceDN w:val="0"/>
        <w:adjustRightInd w:val="0"/>
        <w:rPr>
          <w:rFonts w:cs="Arial"/>
          <w:sz w:val="20"/>
          <w:szCs w:val="20"/>
        </w:rPr>
      </w:pPr>
      <m:oMath>
        <m:sSub>
          <m:sSubPr>
            <m:ctrlPr>
              <w:rPr>
                <w:rFonts w:ascii="Cambria Math" w:hAnsi="Cambria Math" w:cs="Cambria Math"/>
                <w:i/>
                <w:sz w:val="20"/>
                <w:szCs w:val="20"/>
              </w:rPr>
            </m:ctrlPr>
          </m:sSubPr>
          <m:e>
            <m:acc>
              <m:accPr>
                <m:chr m:val="̅"/>
                <m:ctrlPr>
                  <w:rPr>
                    <w:rFonts w:ascii="Cambria Math" w:hAnsi="Cambria Math" w:cs="Cambria Math"/>
                    <w:i/>
                    <w:sz w:val="20"/>
                    <w:szCs w:val="20"/>
                  </w:rPr>
                </m:ctrlPr>
              </m:accPr>
              <m:e>
                <m:r>
                  <w:rPr>
                    <w:rFonts w:ascii="Cambria Math" w:hAnsi="Cambria Math" w:cs="Cambria Math"/>
                    <w:sz w:val="20"/>
                    <w:szCs w:val="20"/>
                  </w:rPr>
                  <m:t>kW</m:t>
                </m:r>
              </m:e>
            </m:acc>
          </m:e>
          <m:sub>
            <m:r>
              <w:rPr>
                <w:rFonts w:ascii="Cambria Math" w:hAnsi="Cambria Math" w:cs="Cambria Math"/>
                <w:sz w:val="20"/>
                <w:szCs w:val="20"/>
              </w:rPr>
              <m:t>T</m:t>
            </m:r>
          </m:sub>
        </m:sSub>
      </m:oMath>
      <w:r w:rsidR="0065231B" w:rsidRPr="0065231B">
        <w:rPr>
          <w:rFonts w:cs="Arial"/>
          <w:sz w:val="20"/>
          <w:szCs w:val="20"/>
        </w:rPr>
        <w:t xml:space="preserve"> = Average hourly load of the </w:t>
      </w:r>
      <w:r w:rsidR="0065231B">
        <w:rPr>
          <w:rFonts w:cs="Arial"/>
          <w:sz w:val="20"/>
          <w:szCs w:val="20"/>
        </w:rPr>
        <w:t xml:space="preserve">treatment </w:t>
      </w:r>
      <w:r w:rsidR="0065231B" w:rsidRPr="0065231B">
        <w:rPr>
          <w:rFonts w:cs="Arial"/>
          <w:sz w:val="20"/>
          <w:szCs w:val="20"/>
        </w:rPr>
        <w:t>group during the peak period in the post period being</w:t>
      </w:r>
      <w:r w:rsidR="0065231B">
        <w:rPr>
          <w:rFonts w:cs="Arial"/>
          <w:sz w:val="20"/>
          <w:szCs w:val="20"/>
        </w:rPr>
        <w:t xml:space="preserve"> </w:t>
      </w:r>
      <w:r w:rsidR="0065231B" w:rsidRPr="00A95404">
        <w:rPr>
          <w:rFonts w:cs="Arial"/>
          <w:sz w:val="20"/>
          <w:szCs w:val="20"/>
        </w:rPr>
        <w:t>evaluated</w:t>
      </w:r>
    </w:p>
    <w:p w:rsidR="0065231B" w:rsidRDefault="0065231B" w:rsidP="008D4BB2">
      <w:pPr>
        <w:autoSpaceDE w:val="0"/>
        <w:autoSpaceDN w:val="0"/>
        <w:adjustRightInd w:val="0"/>
        <w:rPr>
          <w:rFonts w:cs="Arial"/>
          <w:sz w:val="20"/>
          <w:szCs w:val="20"/>
        </w:rPr>
      </w:pPr>
    </w:p>
    <w:p w:rsidR="0065231B" w:rsidRDefault="0065231B" w:rsidP="0065231B">
      <w:pPr>
        <w:autoSpaceDE w:val="0"/>
        <w:autoSpaceDN w:val="0"/>
        <w:adjustRightInd w:val="0"/>
        <w:rPr>
          <w:rFonts w:cs="Arial"/>
          <w:sz w:val="20"/>
          <w:szCs w:val="20"/>
        </w:rPr>
      </w:pPr>
      <w:r>
        <w:rPr>
          <w:rFonts w:cs="Arial"/>
          <w:sz w:val="20"/>
          <w:szCs w:val="20"/>
        </w:rPr>
        <w:t>Another methodology is more suitable when pre-existing differences exist between avera</w:t>
      </w:r>
      <w:r w:rsidR="00695CBB">
        <w:rPr>
          <w:rFonts w:cs="Arial"/>
          <w:sz w:val="20"/>
          <w:szCs w:val="20"/>
        </w:rPr>
        <w:t>ge treatment and control load. A</w:t>
      </w:r>
      <w:r w:rsidRPr="008D4BB2">
        <w:rPr>
          <w:rFonts w:cs="Arial"/>
          <w:sz w:val="20"/>
          <w:szCs w:val="20"/>
        </w:rPr>
        <w:t xml:space="preserve"> difference-in-differences approach </w:t>
      </w:r>
      <w:r>
        <w:rPr>
          <w:rFonts w:cs="Arial"/>
          <w:sz w:val="20"/>
          <w:szCs w:val="20"/>
        </w:rPr>
        <w:t xml:space="preserve">would </w:t>
      </w:r>
      <w:r w:rsidR="00695CBB">
        <w:rPr>
          <w:rFonts w:cs="Arial"/>
          <w:sz w:val="20"/>
          <w:szCs w:val="20"/>
        </w:rPr>
        <w:t xml:space="preserve">then </w:t>
      </w:r>
      <w:r>
        <w:rPr>
          <w:rFonts w:cs="Arial"/>
          <w:sz w:val="20"/>
          <w:szCs w:val="20"/>
        </w:rPr>
        <w:t>be</w:t>
      </w:r>
      <w:r w:rsidRPr="008D4BB2">
        <w:rPr>
          <w:rFonts w:cs="Arial"/>
          <w:sz w:val="20"/>
          <w:szCs w:val="20"/>
        </w:rPr>
        <w:t xml:space="preserve"> a more</w:t>
      </w:r>
      <w:r>
        <w:rPr>
          <w:rFonts w:cs="Arial"/>
          <w:sz w:val="20"/>
          <w:szCs w:val="20"/>
        </w:rPr>
        <w:t xml:space="preserve"> </w:t>
      </w:r>
      <w:r w:rsidRPr="008D4BB2">
        <w:rPr>
          <w:rFonts w:cs="Arial"/>
          <w:sz w:val="20"/>
          <w:szCs w:val="20"/>
        </w:rPr>
        <w:t>appropriate method for controlling the differences in demand from pre- to post-period</w:t>
      </w:r>
      <w:r w:rsidR="00695CBB">
        <w:rPr>
          <w:rFonts w:cs="Arial"/>
          <w:sz w:val="20"/>
          <w:szCs w:val="20"/>
        </w:rPr>
        <w:t xml:space="preserve"> to avoid biased estimates of demand reduction</w:t>
      </w:r>
      <w:r w:rsidRPr="008D4BB2">
        <w:rPr>
          <w:rFonts w:cs="Arial"/>
          <w:sz w:val="20"/>
          <w:szCs w:val="20"/>
        </w:rPr>
        <w:t>.</w:t>
      </w:r>
    </w:p>
    <w:p w:rsidR="0065231B" w:rsidRDefault="0065231B" w:rsidP="0065231B">
      <w:pPr>
        <w:autoSpaceDE w:val="0"/>
        <w:autoSpaceDN w:val="0"/>
        <w:adjustRightInd w:val="0"/>
        <w:rPr>
          <w:rFonts w:cs="Arial"/>
          <w:sz w:val="20"/>
          <w:szCs w:val="20"/>
        </w:rPr>
      </w:pPr>
    </w:p>
    <w:p w:rsidR="007878B9" w:rsidRPr="00BF0332" w:rsidRDefault="00276ED1" w:rsidP="00BF0332">
      <w:pPr>
        <w:pStyle w:val="Heading2"/>
      </w:pPr>
      <w:bookmarkStart w:id="78" w:name="_Toc304800213"/>
      <w:bookmarkStart w:id="79" w:name="_Toc324318367"/>
      <w:bookmarkStart w:id="80" w:name="_Toc324340496"/>
      <w:bookmarkStart w:id="81" w:name="_Toc476228494"/>
      <w:r w:rsidRPr="00BF0332">
        <w:t xml:space="preserve">2.3. </w:t>
      </w:r>
      <w:r w:rsidR="007878B9" w:rsidRPr="00BF0332">
        <w:t>Gas Savings Estimation Methodologies</w:t>
      </w:r>
      <w:bookmarkEnd w:id="78"/>
      <w:bookmarkEnd w:id="79"/>
      <w:bookmarkEnd w:id="80"/>
      <w:bookmarkEnd w:id="81"/>
    </w:p>
    <w:p w:rsidR="00025EBE" w:rsidRPr="00FB6EA3" w:rsidRDefault="00025EBE" w:rsidP="00025EBE">
      <w:pPr>
        <w:numPr>
          <w:ilvl w:val="0"/>
          <w:numId w:val="16"/>
        </w:numPr>
        <w:tabs>
          <w:tab w:val="clear" w:pos="1440"/>
          <w:tab w:val="num" w:pos="360"/>
        </w:tabs>
        <w:ind w:left="360"/>
        <w:rPr>
          <w:rFonts w:cs="Arial"/>
          <w:i/>
          <w:sz w:val="20"/>
          <w:szCs w:val="20"/>
        </w:rPr>
      </w:pPr>
      <w:r>
        <w:rPr>
          <w:rFonts w:cs="Arial"/>
          <w:sz w:val="20"/>
          <w:szCs w:val="20"/>
        </w:rPr>
        <w:t xml:space="preserve">This section describes the overall </w:t>
      </w:r>
      <w:r w:rsidRPr="002245C0">
        <w:rPr>
          <w:rFonts w:cs="Arial"/>
          <w:i/>
          <w:sz w:val="20"/>
          <w:szCs w:val="20"/>
        </w:rPr>
        <w:t>ex</w:t>
      </w:r>
      <w:r w:rsidR="0024237F" w:rsidRPr="002245C0">
        <w:rPr>
          <w:rFonts w:cs="Arial"/>
          <w:i/>
          <w:sz w:val="20"/>
          <w:szCs w:val="20"/>
        </w:rPr>
        <w:t>-</w:t>
      </w:r>
      <w:r w:rsidRPr="002245C0">
        <w:rPr>
          <w:rFonts w:cs="Arial"/>
          <w:i/>
          <w:sz w:val="20"/>
          <w:szCs w:val="20"/>
        </w:rPr>
        <w:t>post</w:t>
      </w:r>
      <w:r>
        <w:rPr>
          <w:rFonts w:cs="Arial"/>
          <w:sz w:val="20"/>
          <w:szCs w:val="20"/>
        </w:rPr>
        <w:t xml:space="preserve"> analysis technique for </w:t>
      </w:r>
      <w:r w:rsidR="00FE3C5A">
        <w:rPr>
          <w:rFonts w:cs="Arial"/>
          <w:sz w:val="20"/>
          <w:szCs w:val="20"/>
        </w:rPr>
        <w:t xml:space="preserve">estimating </w:t>
      </w:r>
      <w:r>
        <w:rPr>
          <w:rFonts w:cs="Arial"/>
          <w:sz w:val="20"/>
          <w:szCs w:val="20"/>
        </w:rPr>
        <w:t xml:space="preserve">savings resulting from </w:t>
      </w:r>
      <w:r w:rsidR="00FE3C5A">
        <w:rPr>
          <w:rFonts w:cs="Arial"/>
          <w:sz w:val="20"/>
          <w:szCs w:val="20"/>
        </w:rPr>
        <w:t xml:space="preserve">the HER </w:t>
      </w:r>
      <w:r>
        <w:rPr>
          <w:rFonts w:cs="Arial"/>
          <w:sz w:val="20"/>
          <w:szCs w:val="20"/>
        </w:rPr>
        <w:t xml:space="preserve">program. There </w:t>
      </w:r>
      <w:r w:rsidR="002245C0">
        <w:rPr>
          <w:rFonts w:cs="Arial"/>
          <w:sz w:val="20"/>
          <w:szCs w:val="20"/>
        </w:rPr>
        <w:t xml:space="preserve">is </w:t>
      </w:r>
      <w:r>
        <w:rPr>
          <w:rFonts w:cs="Arial"/>
          <w:sz w:val="20"/>
          <w:szCs w:val="20"/>
        </w:rPr>
        <w:t xml:space="preserve">no </w:t>
      </w:r>
      <w:r w:rsidRPr="002245C0">
        <w:rPr>
          <w:rFonts w:cs="Arial"/>
          <w:i/>
          <w:sz w:val="20"/>
          <w:szCs w:val="20"/>
        </w:rPr>
        <w:t>ex</w:t>
      </w:r>
      <w:r w:rsidR="0024237F" w:rsidRPr="002245C0">
        <w:rPr>
          <w:rFonts w:cs="Arial"/>
          <w:i/>
          <w:sz w:val="20"/>
          <w:szCs w:val="20"/>
        </w:rPr>
        <w:t>-</w:t>
      </w:r>
      <w:r w:rsidRPr="002245C0">
        <w:rPr>
          <w:rFonts w:cs="Arial"/>
          <w:i/>
          <w:sz w:val="20"/>
          <w:szCs w:val="20"/>
        </w:rPr>
        <w:t>ante</w:t>
      </w:r>
      <w:r>
        <w:rPr>
          <w:rFonts w:cs="Arial"/>
          <w:sz w:val="20"/>
          <w:szCs w:val="20"/>
        </w:rPr>
        <w:t xml:space="preserve"> values calculated as the result of this section.</w:t>
      </w:r>
    </w:p>
    <w:p w:rsidR="00CF3FF0" w:rsidRPr="00A95746" w:rsidRDefault="00CF3FF0" w:rsidP="00CF3FF0">
      <w:pPr>
        <w:numPr>
          <w:ilvl w:val="0"/>
          <w:numId w:val="16"/>
        </w:numPr>
        <w:tabs>
          <w:tab w:val="clear" w:pos="1440"/>
          <w:tab w:val="num" w:pos="360"/>
        </w:tabs>
        <w:ind w:left="360"/>
        <w:rPr>
          <w:rFonts w:cs="Arial"/>
          <w:i/>
          <w:sz w:val="20"/>
          <w:szCs w:val="20"/>
        </w:rPr>
      </w:pPr>
      <w:r w:rsidRPr="008F34D9">
        <w:rPr>
          <w:rFonts w:cs="Arial"/>
          <w:sz w:val="20"/>
          <w:szCs w:val="20"/>
        </w:rPr>
        <w:t>This measure includes HVAC interactive effects savings</w:t>
      </w:r>
      <w:r w:rsidR="008F34D9">
        <w:rPr>
          <w:rFonts w:cs="Arial"/>
          <w:sz w:val="20"/>
          <w:szCs w:val="20"/>
        </w:rPr>
        <w:t>, as noted in 1.4.3.2</w:t>
      </w:r>
    </w:p>
    <w:p w:rsidR="00A95746" w:rsidRPr="00A95746" w:rsidRDefault="00A95746" w:rsidP="00CF3FF0">
      <w:pPr>
        <w:numPr>
          <w:ilvl w:val="0"/>
          <w:numId w:val="16"/>
        </w:numPr>
        <w:tabs>
          <w:tab w:val="clear" w:pos="1440"/>
          <w:tab w:val="num" w:pos="360"/>
        </w:tabs>
        <w:ind w:left="360"/>
        <w:rPr>
          <w:rFonts w:cs="Arial"/>
          <w:i/>
          <w:sz w:val="20"/>
          <w:szCs w:val="20"/>
        </w:rPr>
      </w:pPr>
      <w:r w:rsidRPr="00A95746">
        <w:rPr>
          <w:rFonts w:cs="Arial"/>
          <w:sz w:val="20"/>
          <w:szCs w:val="20"/>
        </w:rPr>
        <w:t>This measure</w:t>
      </w:r>
      <w:r w:rsidRPr="008F34D9">
        <w:rPr>
          <w:rFonts w:cs="Arial"/>
          <w:sz w:val="20"/>
          <w:szCs w:val="20"/>
        </w:rPr>
        <w:t xml:space="preserve"> is not</w:t>
      </w:r>
      <w:r>
        <w:rPr>
          <w:rFonts w:cs="Arial"/>
          <w:sz w:val="20"/>
          <w:szCs w:val="20"/>
        </w:rPr>
        <w:t xml:space="preserve"> an Early Retirement measure. </w:t>
      </w:r>
    </w:p>
    <w:p w:rsidR="00A95746" w:rsidRDefault="00A95746" w:rsidP="00A95746">
      <w:pPr>
        <w:rPr>
          <w:rFonts w:cs="Arial"/>
          <w:i/>
          <w:sz w:val="20"/>
          <w:szCs w:val="20"/>
        </w:rPr>
      </w:pPr>
    </w:p>
    <w:p w:rsidR="000C3A71" w:rsidRDefault="000C798C" w:rsidP="00A95746">
      <w:pPr>
        <w:rPr>
          <w:rFonts w:cs="Arial"/>
          <w:sz w:val="20"/>
          <w:szCs w:val="20"/>
        </w:rPr>
      </w:pPr>
      <w:r>
        <w:rPr>
          <w:rFonts w:cs="Arial"/>
          <w:sz w:val="20"/>
          <w:szCs w:val="20"/>
        </w:rPr>
        <w:t>The gas energy savings for each measure follow the same process as do the electric savings except</w:t>
      </w:r>
      <w:r w:rsidR="00C20044">
        <w:rPr>
          <w:rFonts w:cs="Arial"/>
          <w:sz w:val="20"/>
          <w:szCs w:val="20"/>
        </w:rPr>
        <w:t xml:space="preserve"> they utilize</w:t>
      </w:r>
      <w:r>
        <w:rPr>
          <w:rFonts w:cs="Arial"/>
          <w:sz w:val="20"/>
          <w:szCs w:val="20"/>
        </w:rPr>
        <w:t xml:space="preserve"> gas billing data </w:t>
      </w:r>
      <w:r w:rsidR="00C20044">
        <w:rPr>
          <w:rFonts w:cs="Arial"/>
          <w:sz w:val="20"/>
          <w:szCs w:val="20"/>
        </w:rPr>
        <w:t xml:space="preserve">rather than electric billing data </w:t>
      </w:r>
      <w:r>
        <w:rPr>
          <w:rFonts w:cs="Arial"/>
          <w:sz w:val="20"/>
          <w:szCs w:val="20"/>
        </w:rPr>
        <w:t>for the affected households.</w:t>
      </w:r>
    </w:p>
    <w:p w:rsidR="00B06452" w:rsidRDefault="00B06452" w:rsidP="00B06452">
      <w:pPr>
        <w:rPr>
          <w:rFonts w:cs="Arial"/>
          <w:sz w:val="20"/>
          <w:szCs w:val="20"/>
        </w:rPr>
      </w:pPr>
    </w:p>
    <w:p w:rsidR="00B7164C" w:rsidRPr="007C475D" w:rsidRDefault="000C3A71" w:rsidP="00766954">
      <w:pPr>
        <w:pStyle w:val="Heading1"/>
      </w:pPr>
      <w:r>
        <w:rPr>
          <w:sz w:val="20"/>
          <w:szCs w:val="20"/>
        </w:rPr>
        <w:br w:type="page"/>
      </w:r>
      <w:bookmarkStart w:id="82" w:name="_Toc304800214"/>
      <w:bookmarkStart w:id="83" w:name="_Toc324318368"/>
      <w:bookmarkStart w:id="84" w:name="_Toc324340497"/>
      <w:bookmarkStart w:id="85" w:name="_Toc476228495"/>
      <w:r w:rsidR="00C069A2" w:rsidRPr="007C475D">
        <w:lastRenderedPageBreak/>
        <w:t>Section 3</w:t>
      </w:r>
      <w:r w:rsidR="003129E8" w:rsidRPr="007C475D">
        <w:t>.</w:t>
      </w:r>
      <w:r w:rsidR="00C069A2" w:rsidRPr="007C475D">
        <w:t xml:space="preserve"> Load Shapes</w:t>
      </w:r>
      <w:bookmarkEnd w:id="82"/>
      <w:bookmarkEnd w:id="83"/>
      <w:bookmarkEnd w:id="84"/>
      <w:bookmarkEnd w:id="85"/>
      <w:r w:rsidR="00844B27" w:rsidRPr="007C475D">
        <w:t xml:space="preserve"> </w:t>
      </w:r>
    </w:p>
    <w:p w:rsidR="00B65D48" w:rsidRDefault="00391CE7" w:rsidP="00423B48">
      <w:pPr>
        <w:pStyle w:val="Reminder"/>
        <w:rPr>
          <w:rFonts w:ascii="Arial" w:hAnsi="Arial" w:cs="Arial"/>
          <w:i w:val="0"/>
          <w:color w:val="auto"/>
          <w:sz w:val="20"/>
          <w:szCs w:val="20"/>
        </w:rPr>
      </w:pPr>
      <w:r w:rsidRPr="00DA5D3B">
        <w:rPr>
          <w:rFonts w:ascii="Arial" w:hAnsi="Arial" w:cs="Arial"/>
          <w:i w:val="0"/>
          <w:color w:val="auto"/>
          <w:sz w:val="20"/>
          <w:szCs w:val="20"/>
        </w:rPr>
        <w:t>The load shape for this program</w:t>
      </w:r>
      <w:r w:rsidR="00D35B3D">
        <w:rPr>
          <w:rFonts w:ascii="Arial" w:hAnsi="Arial" w:cs="Arial"/>
          <w:i w:val="0"/>
          <w:color w:val="auto"/>
          <w:sz w:val="20"/>
          <w:szCs w:val="20"/>
        </w:rPr>
        <w:t xml:space="preserve"> should be</w:t>
      </w:r>
      <w:r w:rsidRPr="00DA5D3B">
        <w:rPr>
          <w:rFonts w:ascii="Arial" w:hAnsi="Arial" w:cs="Arial"/>
          <w:i w:val="0"/>
          <w:color w:val="auto"/>
          <w:sz w:val="20"/>
          <w:szCs w:val="20"/>
        </w:rPr>
        <w:t xml:space="preserve"> determined by actual </w:t>
      </w:r>
      <w:r w:rsidR="00D35B3D">
        <w:rPr>
          <w:rFonts w:ascii="Arial" w:hAnsi="Arial" w:cs="Arial"/>
          <w:i w:val="0"/>
          <w:color w:val="auto"/>
          <w:sz w:val="20"/>
          <w:szCs w:val="20"/>
        </w:rPr>
        <w:t>interval meter</w:t>
      </w:r>
      <w:r w:rsidR="00D35B3D" w:rsidRPr="00DA5D3B">
        <w:rPr>
          <w:rFonts w:ascii="Arial" w:hAnsi="Arial" w:cs="Arial"/>
          <w:i w:val="0"/>
          <w:color w:val="auto"/>
          <w:sz w:val="20"/>
          <w:szCs w:val="20"/>
        </w:rPr>
        <w:t xml:space="preserve"> </w:t>
      </w:r>
      <w:r w:rsidRPr="00DA5D3B">
        <w:rPr>
          <w:rFonts w:ascii="Arial" w:hAnsi="Arial" w:cs="Arial"/>
          <w:i w:val="0"/>
          <w:color w:val="auto"/>
          <w:sz w:val="20"/>
          <w:szCs w:val="20"/>
        </w:rPr>
        <w:t>data</w:t>
      </w:r>
      <w:r w:rsidR="00C57854">
        <w:rPr>
          <w:rFonts w:ascii="Arial" w:hAnsi="Arial" w:cs="Arial"/>
          <w:i w:val="0"/>
          <w:color w:val="auto"/>
          <w:sz w:val="20"/>
          <w:szCs w:val="20"/>
        </w:rPr>
        <w:t>.</w:t>
      </w:r>
      <w:r>
        <w:rPr>
          <w:rFonts w:ascii="Arial" w:hAnsi="Arial" w:cs="Arial"/>
          <w:i w:val="0"/>
          <w:color w:val="auto"/>
          <w:sz w:val="20"/>
          <w:szCs w:val="20"/>
        </w:rPr>
        <w:t xml:space="preserve"> </w:t>
      </w:r>
    </w:p>
    <w:p w:rsidR="00294B0F" w:rsidRPr="00800D93" w:rsidRDefault="00294B0F" w:rsidP="00423B48">
      <w:pPr>
        <w:pStyle w:val="Reminder"/>
        <w:rPr>
          <w:rFonts w:ascii="Arial" w:hAnsi="Arial" w:cs="Arial"/>
          <w:i w:val="0"/>
          <w:color w:val="auto"/>
          <w:sz w:val="20"/>
          <w:szCs w:val="20"/>
          <w:highlight w:val="cyan"/>
        </w:rPr>
      </w:pPr>
    </w:p>
    <w:p w:rsidR="003A26AC" w:rsidRPr="00800D93" w:rsidRDefault="003A26AC" w:rsidP="003A26AC">
      <w:pPr>
        <w:pStyle w:val="Reminders"/>
        <w:rPr>
          <w:rFonts w:ascii="Arial" w:hAnsi="Arial" w:cs="Arial"/>
          <w:i w:val="0"/>
          <w:color w:val="auto"/>
          <w:sz w:val="20"/>
          <w:szCs w:val="20"/>
        </w:rPr>
      </w:pPr>
      <w:r w:rsidRPr="00800D93">
        <w:rPr>
          <w:rFonts w:ascii="Arial" w:hAnsi="Arial" w:cs="Arial"/>
          <w:i w:val="0"/>
          <w:color w:val="auto"/>
          <w:sz w:val="20"/>
          <w:szCs w:val="20"/>
        </w:rPr>
        <w:t>The previous version of this work</w:t>
      </w:r>
      <w:r w:rsidR="00513467" w:rsidRPr="00800D93">
        <w:rPr>
          <w:rFonts w:ascii="Arial" w:hAnsi="Arial" w:cs="Arial"/>
          <w:i w:val="0"/>
          <w:color w:val="auto"/>
          <w:sz w:val="20"/>
          <w:szCs w:val="20"/>
        </w:rPr>
        <w:t xml:space="preserve"> </w:t>
      </w:r>
      <w:r w:rsidRPr="00800D93">
        <w:rPr>
          <w:rFonts w:ascii="Arial" w:hAnsi="Arial" w:cs="Arial"/>
          <w:i w:val="0"/>
          <w:color w:val="auto"/>
          <w:sz w:val="20"/>
          <w:szCs w:val="20"/>
        </w:rPr>
        <w:t xml:space="preserve">paper (Revision # 0, 3/1/2013) was produced prior to the analysis of the differences between the hourly energy use of customers assigned to HER treatment and HER control groups. Because no calculation of the avoided energy use was available, the HER </w:t>
      </w:r>
      <w:r w:rsidR="002B7260" w:rsidRPr="00800D93">
        <w:rPr>
          <w:rFonts w:ascii="Arial" w:hAnsi="Arial" w:cs="Arial"/>
          <w:i w:val="0"/>
          <w:color w:val="auto"/>
          <w:sz w:val="20"/>
          <w:szCs w:val="20"/>
        </w:rPr>
        <w:t>w</w:t>
      </w:r>
      <w:r w:rsidRPr="00800D93">
        <w:rPr>
          <w:rFonts w:ascii="Arial" w:hAnsi="Arial" w:cs="Arial"/>
          <w:i w:val="0"/>
          <w:color w:val="auto"/>
          <w:sz w:val="20"/>
          <w:szCs w:val="20"/>
        </w:rPr>
        <w:t>ork</w:t>
      </w:r>
      <w:r w:rsidR="00513467" w:rsidRPr="00800D93">
        <w:rPr>
          <w:rFonts w:ascii="Arial" w:hAnsi="Arial" w:cs="Arial"/>
          <w:i w:val="0"/>
          <w:color w:val="auto"/>
          <w:sz w:val="20"/>
          <w:szCs w:val="20"/>
        </w:rPr>
        <w:t xml:space="preserve"> </w:t>
      </w:r>
      <w:r w:rsidRPr="00800D93">
        <w:rPr>
          <w:rFonts w:ascii="Arial" w:hAnsi="Arial" w:cs="Arial"/>
          <w:i w:val="0"/>
          <w:color w:val="auto"/>
          <w:sz w:val="20"/>
          <w:szCs w:val="20"/>
        </w:rPr>
        <w:t xml:space="preserve">paper specified a conservative DEER Load Profile, Res. Refrigerator–Freezer Monthly (DEER:RefgFrzr_HighEff), acting as a “strawman” suitable for initial valuation of the program. </w:t>
      </w:r>
    </w:p>
    <w:p w:rsidR="003A26AC" w:rsidRPr="00800D93" w:rsidRDefault="003A26AC" w:rsidP="003A26AC">
      <w:pPr>
        <w:pStyle w:val="Reminders"/>
        <w:rPr>
          <w:rFonts w:ascii="Arial" w:hAnsi="Arial" w:cs="Arial"/>
          <w:i w:val="0"/>
          <w:color w:val="auto"/>
          <w:sz w:val="20"/>
          <w:szCs w:val="20"/>
        </w:rPr>
      </w:pPr>
    </w:p>
    <w:p w:rsidR="00FA62A2" w:rsidRPr="00800D93" w:rsidRDefault="00C21061" w:rsidP="00294B0F">
      <w:pPr>
        <w:pStyle w:val="Reminders"/>
        <w:rPr>
          <w:rFonts w:ascii="Arial" w:hAnsi="Arial" w:cs="Arial"/>
          <w:i w:val="0"/>
          <w:color w:val="auto"/>
          <w:sz w:val="20"/>
          <w:szCs w:val="20"/>
        </w:rPr>
      </w:pPr>
      <w:r w:rsidRPr="00800D93">
        <w:rPr>
          <w:rFonts w:ascii="Arial" w:hAnsi="Arial" w:cs="Arial"/>
          <w:i w:val="0"/>
          <w:color w:val="auto"/>
          <w:sz w:val="20"/>
          <w:szCs w:val="20"/>
        </w:rPr>
        <w:t xml:space="preserve">As of summer 2016, the majority of customers assigned to HER treatment groups have been treated for about two years or more. For those experiments, the average household’s savings has decelerated and grows marginally over time (as seen in most HER programs). This steady state </w:t>
      </w:r>
      <w:r>
        <w:rPr>
          <w:rFonts w:ascii="Arial" w:hAnsi="Arial" w:cs="Arial"/>
          <w:i w:val="0"/>
          <w:color w:val="auto"/>
          <w:sz w:val="20"/>
          <w:szCs w:val="20"/>
        </w:rPr>
        <w:t>wa</w:t>
      </w:r>
      <w:r w:rsidRPr="00800D93">
        <w:rPr>
          <w:rFonts w:ascii="Arial" w:hAnsi="Arial" w:cs="Arial"/>
          <w:i w:val="0"/>
          <w:color w:val="auto"/>
          <w:sz w:val="20"/>
          <w:szCs w:val="20"/>
        </w:rPr>
        <w:t>s an appropriate time to calculate the actual load shape of avoided energy use by comparing the average usage of treated customers to that of control customers</w:t>
      </w:r>
      <w:r>
        <w:rPr>
          <w:rFonts w:ascii="Arial" w:hAnsi="Arial" w:cs="Arial"/>
          <w:i w:val="0"/>
          <w:color w:val="auto"/>
          <w:sz w:val="20"/>
          <w:szCs w:val="20"/>
        </w:rPr>
        <w:t xml:space="preserve"> and generate the avoided cost load shape for PG&amp;E’s HER program.</w:t>
      </w:r>
    </w:p>
    <w:p w:rsidR="00FA62A2" w:rsidRPr="00800D93" w:rsidRDefault="00FA62A2" w:rsidP="00294B0F">
      <w:pPr>
        <w:pStyle w:val="Reminders"/>
        <w:rPr>
          <w:rFonts w:ascii="Arial" w:hAnsi="Arial" w:cs="Arial"/>
          <w:i w:val="0"/>
          <w:color w:val="auto"/>
          <w:sz w:val="20"/>
          <w:szCs w:val="20"/>
        </w:rPr>
      </w:pPr>
    </w:p>
    <w:p w:rsidR="00FA62A2" w:rsidRPr="00C95410" w:rsidRDefault="00FA62A2" w:rsidP="00FA62A2">
      <w:pPr>
        <w:pStyle w:val="Reminders"/>
        <w:rPr>
          <w:rFonts w:ascii="Arial" w:hAnsi="Arial" w:cs="Arial"/>
          <w:i w:val="0"/>
          <w:color w:val="auto"/>
          <w:sz w:val="20"/>
          <w:szCs w:val="20"/>
        </w:rPr>
      </w:pPr>
      <w:r w:rsidRPr="00C95410">
        <w:rPr>
          <w:rFonts w:ascii="Arial" w:hAnsi="Arial" w:cs="Arial"/>
          <w:i w:val="0"/>
          <w:color w:val="auto"/>
          <w:sz w:val="20"/>
          <w:szCs w:val="20"/>
        </w:rPr>
        <w:t xml:space="preserve">The process </w:t>
      </w:r>
      <w:r w:rsidR="00C21061" w:rsidRPr="00C21061">
        <w:rPr>
          <w:rFonts w:ascii="Arial" w:hAnsi="Arial" w:cs="Arial"/>
          <w:i w:val="0"/>
          <w:color w:val="auto"/>
          <w:sz w:val="20"/>
          <w:szCs w:val="20"/>
        </w:rPr>
        <w:t>to generate th</w:t>
      </w:r>
      <w:r w:rsidR="00774D12">
        <w:rPr>
          <w:rFonts w:ascii="Arial" w:hAnsi="Arial" w:cs="Arial"/>
          <w:i w:val="0"/>
          <w:color w:val="auto"/>
          <w:sz w:val="20"/>
          <w:szCs w:val="20"/>
        </w:rPr>
        <w:t>is</w:t>
      </w:r>
      <w:r w:rsidRPr="00C95410">
        <w:rPr>
          <w:rFonts w:ascii="Arial" w:hAnsi="Arial" w:cs="Arial"/>
          <w:i w:val="0"/>
          <w:color w:val="auto"/>
          <w:sz w:val="20"/>
          <w:szCs w:val="20"/>
        </w:rPr>
        <w:t xml:space="preserve"> avoided cost load shape consisted of two steps:</w:t>
      </w:r>
    </w:p>
    <w:p w:rsidR="00FA62A2" w:rsidRPr="00C95410" w:rsidRDefault="00FA62A2" w:rsidP="00FA62A2">
      <w:pPr>
        <w:pStyle w:val="Reminders"/>
        <w:numPr>
          <w:ilvl w:val="0"/>
          <w:numId w:val="44"/>
        </w:numPr>
        <w:rPr>
          <w:rFonts w:ascii="Arial" w:hAnsi="Arial" w:cs="Arial"/>
          <w:i w:val="0"/>
          <w:color w:val="auto"/>
          <w:sz w:val="20"/>
          <w:szCs w:val="20"/>
        </w:rPr>
      </w:pPr>
      <w:r w:rsidRPr="00C95410">
        <w:rPr>
          <w:rFonts w:ascii="Arial" w:hAnsi="Arial" w:cs="Arial"/>
          <w:i w:val="0"/>
          <w:color w:val="auto"/>
          <w:sz w:val="20"/>
          <w:szCs w:val="20"/>
        </w:rPr>
        <w:t>Creating of hourl</w:t>
      </w:r>
      <w:r w:rsidR="00A41ACF" w:rsidRPr="00C95410">
        <w:rPr>
          <w:rFonts w:ascii="Arial" w:hAnsi="Arial" w:cs="Arial"/>
          <w:i w:val="0"/>
          <w:color w:val="auto"/>
          <w:sz w:val="20"/>
          <w:szCs w:val="20"/>
        </w:rPr>
        <w:t>y avoided energy use load shape</w:t>
      </w:r>
      <w:r w:rsidRPr="00C95410">
        <w:rPr>
          <w:rFonts w:ascii="Arial" w:hAnsi="Arial" w:cs="Arial"/>
          <w:i w:val="0"/>
          <w:color w:val="auto"/>
          <w:sz w:val="20"/>
          <w:szCs w:val="20"/>
        </w:rPr>
        <w:t xml:space="preserve"> for 2015, and</w:t>
      </w:r>
    </w:p>
    <w:p w:rsidR="00FA62A2" w:rsidRPr="00A46305" w:rsidRDefault="00FA62A2" w:rsidP="00FA62A2">
      <w:pPr>
        <w:pStyle w:val="Reminders"/>
        <w:numPr>
          <w:ilvl w:val="0"/>
          <w:numId w:val="44"/>
        </w:numPr>
        <w:rPr>
          <w:rFonts w:ascii="Arial" w:hAnsi="Arial" w:cs="Arial"/>
          <w:i w:val="0"/>
          <w:color w:val="auto"/>
          <w:sz w:val="20"/>
          <w:szCs w:val="20"/>
        </w:rPr>
      </w:pPr>
      <w:r w:rsidRPr="00C95410">
        <w:rPr>
          <w:rFonts w:ascii="Arial" w:hAnsi="Arial" w:cs="Arial"/>
          <w:i w:val="0"/>
          <w:color w:val="auto"/>
          <w:sz w:val="20"/>
          <w:szCs w:val="20"/>
        </w:rPr>
        <w:t xml:space="preserve">Matching </w:t>
      </w:r>
      <w:r w:rsidR="00A41ACF" w:rsidRPr="00C95410">
        <w:rPr>
          <w:rFonts w:ascii="Arial" w:hAnsi="Arial" w:cs="Arial"/>
          <w:i w:val="0"/>
          <w:color w:val="auto"/>
          <w:sz w:val="20"/>
          <w:szCs w:val="20"/>
        </w:rPr>
        <w:t>this</w:t>
      </w:r>
      <w:r w:rsidRPr="00C95410">
        <w:rPr>
          <w:rFonts w:ascii="Arial" w:hAnsi="Arial" w:cs="Arial"/>
          <w:i w:val="0"/>
          <w:color w:val="auto"/>
          <w:sz w:val="20"/>
          <w:szCs w:val="20"/>
        </w:rPr>
        <w:t xml:space="preserve"> load </w:t>
      </w:r>
      <w:r w:rsidR="00A41ACF" w:rsidRPr="00C95410">
        <w:rPr>
          <w:rFonts w:ascii="Arial" w:hAnsi="Arial" w:cs="Arial"/>
          <w:i w:val="0"/>
          <w:color w:val="auto"/>
          <w:sz w:val="20"/>
          <w:szCs w:val="20"/>
        </w:rPr>
        <w:t>shape</w:t>
      </w:r>
      <w:r w:rsidRPr="00C95410">
        <w:rPr>
          <w:rFonts w:ascii="Arial" w:hAnsi="Arial" w:cs="Arial"/>
          <w:i w:val="0"/>
          <w:color w:val="auto"/>
          <w:sz w:val="20"/>
          <w:szCs w:val="20"/>
        </w:rPr>
        <w:t xml:space="preserve"> to approved DEER residential load shapes using an Excel-based tool provided to PG&amp;E by E3.</w:t>
      </w:r>
    </w:p>
    <w:p w:rsidR="00FA62A2" w:rsidRPr="00A46305" w:rsidRDefault="00FA62A2" w:rsidP="00294B0F">
      <w:pPr>
        <w:pStyle w:val="Reminders"/>
        <w:rPr>
          <w:rFonts w:ascii="Arial" w:hAnsi="Arial" w:cs="Arial"/>
          <w:i w:val="0"/>
          <w:color w:val="auto"/>
          <w:sz w:val="20"/>
          <w:szCs w:val="20"/>
        </w:rPr>
      </w:pPr>
    </w:p>
    <w:p w:rsidR="00FA62A2" w:rsidRPr="00A46305" w:rsidRDefault="00FA62A2" w:rsidP="00FA62A2">
      <w:pPr>
        <w:pStyle w:val="Reminders"/>
        <w:rPr>
          <w:rFonts w:ascii="Arial" w:hAnsi="Arial" w:cs="Arial"/>
          <w:b/>
          <w:i w:val="0"/>
          <w:color w:val="auto"/>
          <w:sz w:val="20"/>
          <w:szCs w:val="20"/>
        </w:rPr>
      </w:pPr>
      <w:r w:rsidRPr="00A46305">
        <w:rPr>
          <w:rFonts w:ascii="Arial" w:hAnsi="Arial" w:cs="Arial"/>
          <w:b/>
          <w:i w:val="0"/>
          <w:color w:val="auto"/>
          <w:sz w:val="20"/>
          <w:szCs w:val="20"/>
        </w:rPr>
        <w:t>Data Source for the Load Shape</w:t>
      </w:r>
    </w:p>
    <w:p w:rsidR="00FA62A2" w:rsidRPr="00A46305" w:rsidRDefault="00FA62A2" w:rsidP="00FA62A2">
      <w:pPr>
        <w:pStyle w:val="Reminders"/>
        <w:rPr>
          <w:rFonts w:ascii="Arial" w:hAnsi="Arial" w:cs="Arial"/>
          <w:i w:val="0"/>
          <w:color w:val="auto"/>
          <w:sz w:val="20"/>
          <w:szCs w:val="20"/>
        </w:rPr>
      </w:pPr>
      <w:r w:rsidRPr="00A46305">
        <w:rPr>
          <w:rFonts w:ascii="Arial" w:hAnsi="Arial" w:cs="Arial"/>
          <w:i w:val="0"/>
          <w:color w:val="auto"/>
          <w:sz w:val="20"/>
          <w:szCs w:val="20"/>
        </w:rPr>
        <w:t>Hourly-level electric usage data from HER treatment and control customers was used to derive the shape of avoided energy use (“HER load shape”) for the most recent calendar year available (2015). Given that about two years of HER treatment are required to reach near-maximum household savings rates, usage data from treatment and control customers from the following HER experimental waves were included in this analysis:</w:t>
      </w:r>
    </w:p>
    <w:p w:rsidR="00FA62A2" w:rsidRPr="00A46305" w:rsidRDefault="00FA62A2" w:rsidP="00FA62A2">
      <w:pPr>
        <w:pStyle w:val="Reminders"/>
        <w:numPr>
          <w:ilvl w:val="0"/>
          <w:numId w:val="43"/>
        </w:numPr>
        <w:rPr>
          <w:rFonts w:ascii="Arial" w:hAnsi="Arial" w:cs="Arial"/>
          <w:i w:val="0"/>
          <w:color w:val="auto"/>
          <w:sz w:val="20"/>
          <w:szCs w:val="20"/>
        </w:rPr>
      </w:pPr>
      <w:r w:rsidRPr="00A46305">
        <w:rPr>
          <w:rFonts w:ascii="Arial" w:hAnsi="Arial" w:cs="Arial"/>
          <w:i w:val="0"/>
          <w:color w:val="auto"/>
          <w:sz w:val="20"/>
          <w:szCs w:val="20"/>
        </w:rPr>
        <w:t>Beta</w:t>
      </w:r>
      <w:r w:rsidR="00E33F27">
        <w:rPr>
          <w:rFonts w:ascii="Arial" w:hAnsi="Arial" w:cs="Arial"/>
          <w:i w:val="0"/>
          <w:color w:val="auto"/>
          <w:sz w:val="20"/>
          <w:szCs w:val="20"/>
        </w:rPr>
        <w:t xml:space="preserve"> Wave</w:t>
      </w:r>
      <w:r w:rsidRPr="00A46305">
        <w:rPr>
          <w:rFonts w:ascii="Arial" w:hAnsi="Arial" w:cs="Arial"/>
          <w:i w:val="0"/>
          <w:color w:val="auto"/>
          <w:sz w:val="20"/>
          <w:szCs w:val="20"/>
        </w:rPr>
        <w:t xml:space="preserve"> (launched in August 2011 with approximately 60,000 customers in treatment)</w:t>
      </w:r>
    </w:p>
    <w:p w:rsidR="00FA62A2" w:rsidRPr="00A46305" w:rsidRDefault="00FA62A2" w:rsidP="00FA62A2">
      <w:pPr>
        <w:pStyle w:val="Reminders"/>
        <w:numPr>
          <w:ilvl w:val="0"/>
          <w:numId w:val="43"/>
        </w:numPr>
        <w:rPr>
          <w:rFonts w:ascii="Arial" w:hAnsi="Arial" w:cs="Arial"/>
          <w:i w:val="0"/>
          <w:color w:val="auto"/>
          <w:sz w:val="20"/>
          <w:szCs w:val="20"/>
        </w:rPr>
      </w:pPr>
      <w:r w:rsidRPr="00A46305">
        <w:rPr>
          <w:rFonts w:ascii="Arial" w:hAnsi="Arial" w:cs="Arial"/>
          <w:i w:val="0"/>
          <w:color w:val="auto"/>
          <w:sz w:val="20"/>
          <w:szCs w:val="20"/>
        </w:rPr>
        <w:t>Gamma</w:t>
      </w:r>
      <w:r w:rsidR="00E33F27">
        <w:rPr>
          <w:rFonts w:ascii="Arial" w:hAnsi="Arial" w:cs="Arial"/>
          <w:i w:val="0"/>
          <w:color w:val="auto"/>
          <w:sz w:val="20"/>
          <w:szCs w:val="20"/>
        </w:rPr>
        <w:t xml:space="preserve"> Wave</w:t>
      </w:r>
      <w:r w:rsidRPr="00A46305">
        <w:rPr>
          <w:rFonts w:ascii="Arial" w:hAnsi="Arial" w:cs="Arial"/>
          <w:i w:val="0"/>
          <w:color w:val="auto"/>
          <w:sz w:val="20"/>
          <w:szCs w:val="20"/>
        </w:rPr>
        <w:t xml:space="preserve"> (launched in November 2011 with approximately 210,000 customers in treatment)</w:t>
      </w:r>
    </w:p>
    <w:p w:rsidR="00FA62A2" w:rsidRPr="00A46305" w:rsidRDefault="00FA62A2" w:rsidP="00FA62A2">
      <w:pPr>
        <w:pStyle w:val="Reminders"/>
        <w:numPr>
          <w:ilvl w:val="0"/>
          <w:numId w:val="43"/>
        </w:numPr>
        <w:rPr>
          <w:rFonts w:ascii="Arial" w:hAnsi="Arial" w:cs="Arial"/>
          <w:i w:val="0"/>
          <w:color w:val="auto"/>
          <w:sz w:val="20"/>
          <w:szCs w:val="20"/>
        </w:rPr>
      </w:pPr>
      <w:r w:rsidRPr="00A46305">
        <w:rPr>
          <w:rFonts w:ascii="Arial" w:hAnsi="Arial" w:cs="Arial"/>
          <w:i w:val="0"/>
          <w:color w:val="auto"/>
          <w:sz w:val="20"/>
          <w:szCs w:val="20"/>
        </w:rPr>
        <w:t>Wave One (launched in February 2012 with approximately 400,000 customers in treatment, and</w:t>
      </w:r>
    </w:p>
    <w:p w:rsidR="00FA62A2" w:rsidRPr="00A46305" w:rsidRDefault="00FA62A2" w:rsidP="00FA62A2">
      <w:pPr>
        <w:pStyle w:val="Reminders"/>
        <w:numPr>
          <w:ilvl w:val="0"/>
          <w:numId w:val="43"/>
        </w:numPr>
        <w:rPr>
          <w:rFonts w:ascii="Arial" w:hAnsi="Arial" w:cs="Arial"/>
          <w:i w:val="0"/>
          <w:color w:val="auto"/>
          <w:sz w:val="20"/>
          <w:szCs w:val="20"/>
        </w:rPr>
      </w:pPr>
      <w:r w:rsidRPr="00A46305">
        <w:rPr>
          <w:rFonts w:ascii="Arial" w:hAnsi="Arial" w:cs="Arial"/>
          <w:i w:val="0"/>
          <w:color w:val="auto"/>
          <w:sz w:val="20"/>
          <w:szCs w:val="20"/>
        </w:rPr>
        <w:t>Wave Two (launched in February 2013 with approximately 400,000 customers in treatment.</w:t>
      </w:r>
    </w:p>
    <w:p w:rsidR="00FA62A2" w:rsidRPr="00A46305" w:rsidRDefault="00FA62A2" w:rsidP="00FA62A2">
      <w:pPr>
        <w:pStyle w:val="Reminders"/>
        <w:rPr>
          <w:rFonts w:ascii="Arial" w:hAnsi="Arial" w:cs="Arial"/>
          <w:i w:val="0"/>
          <w:color w:val="auto"/>
          <w:sz w:val="20"/>
          <w:szCs w:val="20"/>
        </w:rPr>
      </w:pPr>
    </w:p>
    <w:p w:rsidR="00FA62A2" w:rsidRPr="00A46305" w:rsidRDefault="00FA62A2" w:rsidP="00FA62A2">
      <w:pPr>
        <w:pStyle w:val="Reminders"/>
        <w:rPr>
          <w:rFonts w:ascii="Arial" w:hAnsi="Arial" w:cs="Arial"/>
          <w:i w:val="0"/>
          <w:color w:val="auto"/>
          <w:sz w:val="20"/>
          <w:szCs w:val="20"/>
        </w:rPr>
      </w:pPr>
      <w:r w:rsidRPr="00A46305">
        <w:rPr>
          <w:rFonts w:ascii="Arial" w:hAnsi="Arial" w:cs="Arial"/>
          <w:i w:val="0"/>
          <w:color w:val="auto"/>
          <w:sz w:val="20"/>
          <w:szCs w:val="20"/>
        </w:rPr>
        <w:t xml:space="preserve">These experiments represented the majority of HER treatment households and savings in </w:t>
      </w:r>
      <w:r w:rsidR="00BD7D03">
        <w:rPr>
          <w:rFonts w:ascii="Arial" w:hAnsi="Arial" w:cs="Arial"/>
          <w:i w:val="0"/>
          <w:color w:val="auto"/>
          <w:sz w:val="20"/>
          <w:szCs w:val="20"/>
        </w:rPr>
        <w:t>summer 2016</w:t>
      </w:r>
      <w:r w:rsidRPr="00A46305">
        <w:rPr>
          <w:rFonts w:ascii="Arial" w:hAnsi="Arial" w:cs="Arial"/>
          <w:i w:val="0"/>
          <w:color w:val="auto"/>
          <w:sz w:val="20"/>
          <w:szCs w:val="20"/>
        </w:rPr>
        <w:t>. We do not expect that including other experiments would result in significant differences of load shape.</w:t>
      </w:r>
    </w:p>
    <w:p w:rsidR="00FA62A2" w:rsidRPr="00A46305" w:rsidRDefault="00FA62A2" w:rsidP="00FA62A2">
      <w:pPr>
        <w:pStyle w:val="Reminders"/>
        <w:rPr>
          <w:rFonts w:ascii="Arial" w:hAnsi="Arial" w:cs="Arial"/>
          <w:i w:val="0"/>
          <w:color w:val="auto"/>
          <w:sz w:val="20"/>
          <w:szCs w:val="20"/>
        </w:rPr>
      </w:pPr>
    </w:p>
    <w:p w:rsidR="00FA62A2" w:rsidRPr="00A46305" w:rsidRDefault="00FA62A2" w:rsidP="00FA62A2">
      <w:pPr>
        <w:pStyle w:val="Reminders"/>
        <w:rPr>
          <w:rFonts w:ascii="Arial" w:hAnsi="Arial" w:cs="Arial"/>
          <w:b/>
          <w:i w:val="0"/>
          <w:color w:val="auto"/>
          <w:sz w:val="20"/>
          <w:szCs w:val="20"/>
        </w:rPr>
      </w:pPr>
      <w:r w:rsidRPr="00A46305">
        <w:rPr>
          <w:rFonts w:ascii="Arial" w:hAnsi="Arial" w:cs="Arial"/>
          <w:b/>
          <w:i w:val="0"/>
          <w:color w:val="auto"/>
          <w:sz w:val="20"/>
          <w:szCs w:val="20"/>
        </w:rPr>
        <w:t>Creation of the Hourly Avoided Energy Use Load Shape for 2015</w:t>
      </w:r>
    </w:p>
    <w:p w:rsidR="00A1455B" w:rsidRPr="00A46305" w:rsidRDefault="00A41ACF" w:rsidP="00A41ACF">
      <w:pPr>
        <w:pStyle w:val="Reminders"/>
        <w:rPr>
          <w:rFonts w:ascii="Arial" w:hAnsi="Arial" w:cs="Arial"/>
          <w:i w:val="0"/>
          <w:color w:val="auto"/>
          <w:sz w:val="20"/>
          <w:szCs w:val="20"/>
        </w:rPr>
      </w:pPr>
      <w:r w:rsidRPr="00A46305">
        <w:rPr>
          <w:rFonts w:ascii="Arial" w:hAnsi="Arial" w:cs="Arial"/>
          <w:i w:val="0"/>
          <w:color w:val="auto"/>
          <w:sz w:val="20"/>
          <w:szCs w:val="20"/>
        </w:rPr>
        <w:t xml:space="preserve">In September 2016, PG&amp;E tasked HER vendor </w:t>
      </w:r>
      <w:r w:rsidR="00766954" w:rsidRPr="00766954">
        <w:rPr>
          <w:rFonts w:cs="Arial"/>
          <w:i w:val="0"/>
          <w:color w:val="auto"/>
          <w:sz w:val="20"/>
          <w:szCs w:val="20"/>
        </w:rPr>
        <w:t>OPOWER</w:t>
      </w:r>
      <w:r w:rsidRPr="00766954">
        <w:rPr>
          <w:rFonts w:ascii="Arial" w:hAnsi="Arial" w:cs="Arial"/>
          <w:i w:val="0"/>
          <w:color w:val="auto"/>
          <w:sz w:val="20"/>
          <w:szCs w:val="20"/>
        </w:rPr>
        <w:t xml:space="preserve"> </w:t>
      </w:r>
      <w:r w:rsidRPr="00A46305">
        <w:rPr>
          <w:rFonts w:ascii="Arial" w:hAnsi="Arial" w:cs="Arial"/>
          <w:i w:val="0"/>
          <w:color w:val="auto"/>
          <w:sz w:val="20"/>
          <w:szCs w:val="20"/>
        </w:rPr>
        <w:t xml:space="preserve">to produce an avoided energy use load shape (expressed in kWh) for 2015 for PG&amp;E customers who had been enrolled in HER </w:t>
      </w:r>
      <w:r w:rsidR="00A1455B" w:rsidRPr="00A46305">
        <w:rPr>
          <w:rFonts w:ascii="Arial" w:hAnsi="Arial" w:cs="Arial"/>
          <w:i w:val="0"/>
          <w:color w:val="auto"/>
          <w:sz w:val="20"/>
          <w:szCs w:val="20"/>
        </w:rPr>
        <w:t xml:space="preserve">experiments </w:t>
      </w:r>
      <w:r w:rsidRPr="00A46305">
        <w:rPr>
          <w:rFonts w:ascii="Arial" w:hAnsi="Arial" w:cs="Arial"/>
          <w:i w:val="0"/>
          <w:color w:val="auto"/>
          <w:sz w:val="20"/>
          <w:szCs w:val="20"/>
        </w:rPr>
        <w:t>for approximately two years or more</w:t>
      </w:r>
      <w:r w:rsidR="00A1455B" w:rsidRPr="00A46305">
        <w:rPr>
          <w:rFonts w:ascii="Arial" w:hAnsi="Arial" w:cs="Arial"/>
          <w:i w:val="0"/>
          <w:color w:val="auto"/>
          <w:sz w:val="20"/>
          <w:szCs w:val="20"/>
        </w:rPr>
        <w:t xml:space="preserve"> as described above.</w:t>
      </w:r>
    </w:p>
    <w:p w:rsidR="00A1455B" w:rsidRPr="00A46305" w:rsidRDefault="00A1455B" w:rsidP="00A41ACF">
      <w:pPr>
        <w:pStyle w:val="Reminders"/>
        <w:rPr>
          <w:rFonts w:ascii="Arial" w:hAnsi="Arial" w:cs="Arial"/>
          <w:i w:val="0"/>
          <w:color w:val="auto"/>
          <w:sz w:val="20"/>
          <w:szCs w:val="20"/>
        </w:rPr>
      </w:pPr>
    </w:p>
    <w:p w:rsidR="00A41ACF" w:rsidRPr="00A46305" w:rsidRDefault="00766954" w:rsidP="00A41ACF">
      <w:pPr>
        <w:pStyle w:val="Reminders"/>
        <w:rPr>
          <w:rFonts w:ascii="Arial" w:hAnsi="Arial" w:cs="Arial"/>
          <w:i w:val="0"/>
          <w:color w:val="auto"/>
          <w:sz w:val="20"/>
          <w:szCs w:val="20"/>
        </w:rPr>
      </w:pPr>
      <w:r w:rsidRPr="00766954">
        <w:rPr>
          <w:rFonts w:cs="Arial"/>
          <w:i w:val="0"/>
          <w:color w:val="auto"/>
          <w:sz w:val="20"/>
          <w:szCs w:val="20"/>
        </w:rPr>
        <w:t>OPOWER</w:t>
      </w:r>
      <w:r w:rsidRPr="00766954">
        <w:rPr>
          <w:rFonts w:ascii="Arial" w:hAnsi="Arial" w:cs="Arial"/>
          <w:i w:val="0"/>
          <w:color w:val="auto"/>
          <w:sz w:val="20"/>
          <w:szCs w:val="20"/>
        </w:rPr>
        <w:t xml:space="preserve"> </w:t>
      </w:r>
      <w:r w:rsidR="00A41ACF" w:rsidRPr="00A46305">
        <w:rPr>
          <w:rFonts w:ascii="Arial" w:hAnsi="Arial" w:cs="Arial"/>
          <w:i w:val="0"/>
          <w:color w:val="auto"/>
          <w:sz w:val="20"/>
          <w:szCs w:val="20"/>
        </w:rPr>
        <w:t>applied the following process to create the hourly avoided energy use load shape for 2015:</w:t>
      </w:r>
    </w:p>
    <w:p w:rsidR="00A1455B" w:rsidRPr="00A46305" w:rsidRDefault="00A41ACF" w:rsidP="00E37614">
      <w:pPr>
        <w:pStyle w:val="Reminders"/>
        <w:numPr>
          <w:ilvl w:val="0"/>
          <w:numId w:val="45"/>
        </w:numPr>
        <w:rPr>
          <w:rFonts w:ascii="Arial" w:hAnsi="Arial" w:cs="Arial"/>
          <w:i w:val="0"/>
          <w:color w:val="auto"/>
          <w:sz w:val="20"/>
          <w:szCs w:val="20"/>
        </w:rPr>
      </w:pPr>
      <w:r w:rsidRPr="00A46305">
        <w:rPr>
          <w:rFonts w:ascii="Arial" w:hAnsi="Arial" w:cs="Arial"/>
          <w:i w:val="0"/>
          <w:color w:val="auto"/>
          <w:sz w:val="20"/>
          <w:szCs w:val="20"/>
        </w:rPr>
        <w:t xml:space="preserve">The difference between treatment and control average hourly usage within each </w:t>
      </w:r>
      <w:r w:rsidR="00A1455B" w:rsidRPr="00A46305">
        <w:rPr>
          <w:rFonts w:ascii="Arial" w:hAnsi="Arial" w:cs="Arial"/>
          <w:i w:val="0"/>
          <w:color w:val="auto"/>
          <w:sz w:val="20"/>
          <w:szCs w:val="20"/>
        </w:rPr>
        <w:t>experiment</w:t>
      </w:r>
      <w:r w:rsidRPr="00A46305">
        <w:rPr>
          <w:rFonts w:ascii="Arial" w:hAnsi="Arial" w:cs="Arial"/>
          <w:i w:val="0"/>
          <w:color w:val="auto"/>
          <w:sz w:val="20"/>
          <w:szCs w:val="20"/>
        </w:rPr>
        <w:t xml:space="preserve"> was computed for each hour of 2015. This produced an estimate of the average impact of </w:t>
      </w:r>
      <w:r w:rsidR="00A1455B" w:rsidRPr="00A46305">
        <w:rPr>
          <w:rFonts w:ascii="Arial" w:hAnsi="Arial" w:cs="Arial"/>
          <w:i w:val="0"/>
          <w:color w:val="auto"/>
          <w:sz w:val="20"/>
          <w:szCs w:val="20"/>
        </w:rPr>
        <w:t xml:space="preserve">the HER program </w:t>
      </w:r>
      <w:r w:rsidRPr="00A46305">
        <w:rPr>
          <w:rFonts w:ascii="Arial" w:hAnsi="Arial" w:cs="Arial"/>
          <w:i w:val="0"/>
          <w:color w:val="auto"/>
          <w:sz w:val="20"/>
          <w:szCs w:val="20"/>
        </w:rPr>
        <w:t xml:space="preserve">on treatment usage in each </w:t>
      </w:r>
      <w:r w:rsidR="00A1455B" w:rsidRPr="00A46305">
        <w:rPr>
          <w:rFonts w:ascii="Arial" w:hAnsi="Arial" w:cs="Arial"/>
          <w:i w:val="0"/>
          <w:color w:val="auto"/>
          <w:sz w:val="20"/>
          <w:szCs w:val="20"/>
        </w:rPr>
        <w:t>experiment for each hour of 2015</w:t>
      </w:r>
      <w:r w:rsidR="00F663CA" w:rsidRPr="00A46305">
        <w:rPr>
          <w:rFonts w:ascii="Arial" w:hAnsi="Arial" w:cs="Arial"/>
          <w:i w:val="0"/>
          <w:color w:val="auto"/>
          <w:sz w:val="20"/>
          <w:szCs w:val="20"/>
        </w:rPr>
        <w:t>;</w:t>
      </w:r>
    </w:p>
    <w:p w:rsidR="00A1455B" w:rsidRPr="00A46305" w:rsidRDefault="00A41ACF" w:rsidP="00E37614">
      <w:pPr>
        <w:pStyle w:val="Reminders"/>
        <w:numPr>
          <w:ilvl w:val="0"/>
          <w:numId w:val="45"/>
        </w:numPr>
        <w:rPr>
          <w:rFonts w:ascii="Arial" w:hAnsi="Arial" w:cs="Arial"/>
          <w:i w:val="0"/>
          <w:color w:val="auto"/>
          <w:sz w:val="20"/>
          <w:szCs w:val="20"/>
        </w:rPr>
      </w:pPr>
      <w:r w:rsidRPr="00A46305">
        <w:rPr>
          <w:rFonts w:ascii="Arial" w:hAnsi="Arial" w:cs="Arial"/>
          <w:i w:val="0"/>
          <w:color w:val="auto"/>
          <w:sz w:val="20"/>
          <w:szCs w:val="20"/>
        </w:rPr>
        <w:t xml:space="preserve">Multiplying the estimates of average savings per customer in each </w:t>
      </w:r>
      <w:r w:rsidR="00A1455B" w:rsidRPr="00A46305">
        <w:rPr>
          <w:rFonts w:ascii="Arial" w:hAnsi="Arial" w:cs="Arial"/>
          <w:i w:val="0"/>
          <w:color w:val="auto"/>
          <w:sz w:val="20"/>
          <w:szCs w:val="20"/>
        </w:rPr>
        <w:t xml:space="preserve">experiment </w:t>
      </w:r>
      <w:r w:rsidRPr="00A46305">
        <w:rPr>
          <w:rFonts w:ascii="Arial" w:hAnsi="Arial" w:cs="Arial"/>
          <w:i w:val="0"/>
          <w:color w:val="auto"/>
          <w:sz w:val="20"/>
          <w:szCs w:val="20"/>
        </w:rPr>
        <w:t xml:space="preserve">and hour by the number of treatment customers active in that </w:t>
      </w:r>
      <w:r w:rsidR="00A1455B" w:rsidRPr="00A46305">
        <w:rPr>
          <w:rFonts w:ascii="Arial" w:hAnsi="Arial" w:cs="Arial"/>
          <w:i w:val="0"/>
          <w:color w:val="auto"/>
          <w:sz w:val="20"/>
          <w:szCs w:val="20"/>
        </w:rPr>
        <w:t xml:space="preserve">experiment </w:t>
      </w:r>
      <w:r w:rsidRPr="00A46305">
        <w:rPr>
          <w:rFonts w:ascii="Arial" w:hAnsi="Arial" w:cs="Arial"/>
          <w:i w:val="0"/>
          <w:color w:val="auto"/>
          <w:sz w:val="20"/>
          <w:szCs w:val="20"/>
        </w:rPr>
        <w:t xml:space="preserve">on that date produced an estimate of total kWh saved for that </w:t>
      </w:r>
      <w:r w:rsidR="00A1455B" w:rsidRPr="00A46305">
        <w:rPr>
          <w:rFonts w:ascii="Arial" w:hAnsi="Arial" w:cs="Arial"/>
          <w:i w:val="0"/>
          <w:color w:val="auto"/>
          <w:sz w:val="20"/>
          <w:szCs w:val="20"/>
        </w:rPr>
        <w:t>experiment in each hour</w:t>
      </w:r>
      <w:r w:rsidR="00F663CA" w:rsidRPr="00A46305">
        <w:rPr>
          <w:rFonts w:ascii="Arial" w:hAnsi="Arial" w:cs="Arial"/>
          <w:i w:val="0"/>
          <w:color w:val="auto"/>
          <w:sz w:val="20"/>
          <w:szCs w:val="20"/>
        </w:rPr>
        <w:t>;</w:t>
      </w:r>
    </w:p>
    <w:p w:rsidR="00F663CA" w:rsidRPr="00A46305" w:rsidRDefault="00A41ACF" w:rsidP="00E37614">
      <w:pPr>
        <w:pStyle w:val="Reminders"/>
        <w:numPr>
          <w:ilvl w:val="0"/>
          <w:numId w:val="45"/>
        </w:numPr>
        <w:rPr>
          <w:rFonts w:ascii="Arial" w:hAnsi="Arial" w:cs="Arial"/>
          <w:i w:val="0"/>
          <w:color w:val="auto"/>
          <w:sz w:val="20"/>
          <w:szCs w:val="20"/>
        </w:rPr>
      </w:pPr>
      <w:r w:rsidRPr="00A46305">
        <w:rPr>
          <w:rFonts w:ascii="Arial" w:hAnsi="Arial" w:cs="Arial"/>
          <w:i w:val="0"/>
          <w:color w:val="auto"/>
          <w:sz w:val="20"/>
          <w:szCs w:val="20"/>
        </w:rPr>
        <w:lastRenderedPageBreak/>
        <w:t xml:space="preserve">Adding up savings across </w:t>
      </w:r>
      <w:r w:rsidR="00A1455B" w:rsidRPr="00A46305">
        <w:rPr>
          <w:rFonts w:ascii="Arial" w:hAnsi="Arial" w:cs="Arial"/>
          <w:i w:val="0"/>
          <w:color w:val="auto"/>
          <w:sz w:val="20"/>
          <w:szCs w:val="20"/>
        </w:rPr>
        <w:t xml:space="preserve">experiments </w:t>
      </w:r>
      <w:r w:rsidRPr="00A46305">
        <w:rPr>
          <w:rFonts w:ascii="Arial" w:hAnsi="Arial" w:cs="Arial"/>
          <w:i w:val="0"/>
          <w:color w:val="auto"/>
          <w:sz w:val="20"/>
          <w:szCs w:val="20"/>
        </w:rPr>
        <w:t xml:space="preserve">for each hour produced an estimate of savings for this set of </w:t>
      </w:r>
      <w:r w:rsidR="00A1455B" w:rsidRPr="00A46305">
        <w:rPr>
          <w:rFonts w:ascii="Arial" w:hAnsi="Arial" w:cs="Arial"/>
          <w:i w:val="0"/>
          <w:color w:val="auto"/>
          <w:sz w:val="20"/>
          <w:szCs w:val="20"/>
        </w:rPr>
        <w:t xml:space="preserve">experiments </w:t>
      </w:r>
      <w:r w:rsidR="00F663CA" w:rsidRPr="00A46305">
        <w:rPr>
          <w:rFonts w:ascii="Arial" w:hAnsi="Arial" w:cs="Arial"/>
          <w:i w:val="0"/>
          <w:color w:val="auto"/>
          <w:sz w:val="20"/>
          <w:szCs w:val="20"/>
        </w:rPr>
        <w:t>in each hour of 2015;</w:t>
      </w:r>
    </w:p>
    <w:p w:rsidR="00A41ACF" w:rsidRPr="00A46305" w:rsidRDefault="00A41ACF" w:rsidP="00E37614">
      <w:pPr>
        <w:pStyle w:val="Reminders"/>
        <w:numPr>
          <w:ilvl w:val="0"/>
          <w:numId w:val="45"/>
        </w:numPr>
        <w:rPr>
          <w:rFonts w:ascii="Arial" w:hAnsi="Arial" w:cs="Arial"/>
          <w:i w:val="0"/>
          <w:color w:val="auto"/>
          <w:sz w:val="20"/>
          <w:szCs w:val="20"/>
        </w:rPr>
      </w:pPr>
      <w:r w:rsidRPr="00A46305">
        <w:rPr>
          <w:rFonts w:ascii="Arial" w:hAnsi="Arial" w:cs="Arial"/>
          <w:i w:val="0"/>
          <w:color w:val="auto"/>
          <w:sz w:val="20"/>
          <w:szCs w:val="20"/>
        </w:rPr>
        <w:t xml:space="preserve">Dividing the savings in each hour by the total savings in 2015 for this set of </w:t>
      </w:r>
      <w:r w:rsidR="00F663CA" w:rsidRPr="00A46305">
        <w:rPr>
          <w:rFonts w:ascii="Arial" w:hAnsi="Arial" w:cs="Arial"/>
          <w:i w:val="0"/>
          <w:color w:val="auto"/>
          <w:sz w:val="20"/>
          <w:szCs w:val="20"/>
        </w:rPr>
        <w:t xml:space="preserve">experiments </w:t>
      </w:r>
      <w:r w:rsidRPr="00A46305">
        <w:rPr>
          <w:rFonts w:ascii="Arial" w:hAnsi="Arial" w:cs="Arial"/>
          <w:i w:val="0"/>
          <w:color w:val="auto"/>
          <w:sz w:val="20"/>
          <w:szCs w:val="20"/>
        </w:rPr>
        <w:t xml:space="preserve">produced the </w:t>
      </w:r>
      <w:r w:rsidR="00F663CA" w:rsidRPr="00A46305">
        <w:rPr>
          <w:rFonts w:ascii="Arial" w:hAnsi="Arial" w:cs="Arial"/>
          <w:i w:val="0"/>
          <w:color w:val="auto"/>
          <w:sz w:val="20"/>
          <w:szCs w:val="20"/>
        </w:rPr>
        <w:t>hourly avoided energy use load shape for 2015</w:t>
      </w:r>
      <w:r w:rsidRPr="00A46305">
        <w:rPr>
          <w:rFonts w:ascii="Arial" w:hAnsi="Arial" w:cs="Arial"/>
          <w:i w:val="0"/>
          <w:color w:val="auto"/>
          <w:sz w:val="20"/>
          <w:szCs w:val="20"/>
        </w:rPr>
        <w:t>.</w:t>
      </w:r>
    </w:p>
    <w:p w:rsidR="00FA62A2" w:rsidRPr="00A46305" w:rsidRDefault="00FA62A2" w:rsidP="00FA62A2">
      <w:pPr>
        <w:pStyle w:val="Reminders"/>
        <w:rPr>
          <w:rFonts w:ascii="Arial" w:hAnsi="Arial" w:cs="Arial"/>
          <w:i w:val="0"/>
          <w:color w:val="auto"/>
          <w:sz w:val="20"/>
          <w:szCs w:val="20"/>
        </w:rPr>
      </w:pPr>
    </w:p>
    <w:p w:rsidR="00B661C1" w:rsidRPr="00BD7D03" w:rsidRDefault="00B661C1" w:rsidP="00294B0F">
      <w:pPr>
        <w:pStyle w:val="Reminders"/>
        <w:rPr>
          <w:rFonts w:ascii="Arial" w:hAnsi="Arial" w:cs="Arial"/>
          <w:i w:val="0"/>
          <w:color w:val="auto"/>
          <w:sz w:val="20"/>
          <w:szCs w:val="20"/>
        </w:rPr>
      </w:pPr>
      <w:r w:rsidRPr="00A46305">
        <w:rPr>
          <w:rFonts w:ascii="Arial" w:hAnsi="Arial" w:cs="Arial"/>
          <w:i w:val="0"/>
          <w:color w:val="auto"/>
          <w:sz w:val="20"/>
          <w:szCs w:val="20"/>
        </w:rPr>
        <w:t>Th</w:t>
      </w:r>
      <w:r w:rsidR="0005034B" w:rsidRPr="00A46305">
        <w:rPr>
          <w:rFonts w:ascii="Arial" w:hAnsi="Arial" w:cs="Arial"/>
          <w:i w:val="0"/>
          <w:color w:val="auto"/>
          <w:sz w:val="20"/>
          <w:szCs w:val="20"/>
        </w:rPr>
        <w:t>is</w:t>
      </w:r>
      <w:r w:rsidR="00294B0F" w:rsidRPr="00A46305">
        <w:rPr>
          <w:rFonts w:ascii="Arial" w:hAnsi="Arial" w:cs="Arial"/>
          <w:i w:val="0"/>
          <w:color w:val="auto"/>
          <w:sz w:val="20"/>
          <w:szCs w:val="20"/>
        </w:rPr>
        <w:t xml:space="preserve"> empirically-derived </w:t>
      </w:r>
      <w:r w:rsidR="0005034B" w:rsidRPr="00A46305">
        <w:rPr>
          <w:rFonts w:ascii="Arial" w:hAnsi="Arial" w:cs="Arial"/>
          <w:i w:val="0"/>
          <w:color w:val="auto"/>
          <w:sz w:val="20"/>
          <w:szCs w:val="20"/>
        </w:rPr>
        <w:t xml:space="preserve">avoided energy use </w:t>
      </w:r>
      <w:r w:rsidR="00294B0F" w:rsidRPr="00A46305">
        <w:rPr>
          <w:rFonts w:ascii="Arial" w:hAnsi="Arial" w:cs="Arial"/>
          <w:i w:val="0"/>
          <w:color w:val="auto"/>
          <w:sz w:val="20"/>
          <w:szCs w:val="20"/>
        </w:rPr>
        <w:t xml:space="preserve">load shape </w:t>
      </w:r>
      <w:r w:rsidRPr="00A46305">
        <w:rPr>
          <w:rFonts w:ascii="Arial" w:hAnsi="Arial" w:cs="Arial"/>
          <w:i w:val="0"/>
          <w:color w:val="auto"/>
          <w:sz w:val="20"/>
          <w:szCs w:val="20"/>
        </w:rPr>
        <w:t>is presented belo</w:t>
      </w:r>
      <w:r w:rsidR="006E77EA" w:rsidRPr="00A46305">
        <w:rPr>
          <w:rFonts w:ascii="Arial" w:hAnsi="Arial" w:cs="Arial"/>
          <w:i w:val="0"/>
          <w:color w:val="auto"/>
          <w:sz w:val="20"/>
          <w:szCs w:val="20"/>
        </w:rPr>
        <w:t xml:space="preserve">w (monthly </w:t>
      </w:r>
      <w:r w:rsidR="00BD7D03">
        <w:rPr>
          <w:rFonts w:ascii="Arial" w:hAnsi="Arial" w:cs="Arial"/>
          <w:i w:val="0"/>
          <w:color w:val="auto"/>
          <w:sz w:val="20"/>
          <w:szCs w:val="20"/>
        </w:rPr>
        <w:t>values are</w:t>
      </w:r>
      <w:r w:rsidR="006E77EA" w:rsidRPr="00A46305">
        <w:rPr>
          <w:rFonts w:ascii="Arial" w:hAnsi="Arial" w:cs="Arial"/>
          <w:i w:val="0"/>
          <w:color w:val="auto"/>
          <w:sz w:val="20"/>
          <w:szCs w:val="20"/>
        </w:rPr>
        <w:t xml:space="preserve"> provided in appendices)</w:t>
      </w:r>
      <w:r w:rsidRPr="00BD7D03">
        <w:rPr>
          <w:rFonts w:ascii="Arial" w:hAnsi="Arial" w:cs="Arial"/>
          <w:i w:val="0"/>
          <w:color w:val="auto"/>
          <w:sz w:val="20"/>
          <w:szCs w:val="20"/>
        </w:rPr>
        <w:t>:</w:t>
      </w:r>
    </w:p>
    <w:p w:rsidR="00B661C1" w:rsidRPr="00BD7D03" w:rsidRDefault="00B661C1" w:rsidP="00294B0F">
      <w:pPr>
        <w:pStyle w:val="Reminders"/>
        <w:rPr>
          <w:rFonts w:ascii="Arial" w:hAnsi="Arial" w:cs="Arial"/>
          <w:i w:val="0"/>
          <w:color w:val="auto"/>
          <w:sz w:val="20"/>
          <w:szCs w:val="20"/>
        </w:rPr>
      </w:pPr>
    </w:p>
    <w:p w:rsidR="00B661C1" w:rsidRPr="00BD7D03" w:rsidRDefault="00B661C1" w:rsidP="00294B0F">
      <w:pPr>
        <w:pStyle w:val="Reminders"/>
        <w:rPr>
          <w:rFonts w:ascii="Arial" w:hAnsi="Arial" w:cs="Arial"/>
          <w:i w:val="0"/>
          <w:color w:val="auto"/>
          <w:sz w:val="20"/>
          <w:szCs w:val="20"/>
        </w:rPr>
      </w:pPr>
      <w:r w:rsidRPr="00BD7D03">
        <w:rPr>
          <w:rFonts w:ascii="Arial" w:hAnsi="Arial" w:cs="Arial"/>
          <w:i w:val="0"/>
          <w:noProof/>
          <w:color w:val="auto"/>
          <w:sz w:val="20"/>
          <w:szCs w:val="20"/>
        </w:rPr>
        <w:drawing>
          <wp:inline distT="0" distB="0" distL="0" distR="0" wp14:anchorId="3519B8EE" wp14:editId="36D85F99">
            <wp:extent cx="4584700" cy="27559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703929" w:rsidRPr="000E7E44" w:rsidRDefault="00703929" w:rsidP="00423B48">
      <w:pPr>
        <w:pStyle w:val="Reminders"/>
        <w:rPr>
          <w:rFonts w:ascii="Arial" w:hAnsi="Arial" w:cs="Arial"/>
          <w:i w:val="0"/>
          <w:color w:val="auto"/>
          <w:sz w:val="20"/>
          <w:szCs w:val="20"/>
        </w:rPr>
      </w:pPr>
    </w:p>
    <w:p w:rsidR="00B661C1" w:rsidRPr="000E7E44" w:rsidRDefault="00703929" w:rsidP="00B661C1">
      <w:pPr>
        <w:pStyle w:val="Reminders"/>
        <w:rPr>
          <w:rFonts w:ascii="Arial" w:hAnsi="Arial" w:cs="Arial"/>
          <w:b/>
          <w:i w:val="0"/>
          <w:color w:val="auto"/>
          <w:sz w:val="20"/>
          <w:szCs w:val="20"/>
        </w:rPr>
      </w:pPr>
      <w:r w:rsidRPr="000E7E44">
        <w:rPr>
          <w:rFonts w:ascii="Arial" w:hAnsi="Arial" w:cs="Arial"/>
          <w:b/>
          <w:i w:val="0"/>
          <w:color w:val="auto"/>
          <w:sz w:val="20"/>
          <w:szCs w:val="20"/>
        </w:rPr>
        <w:t>Matching the Hourly Load Shape</w:t>
      </w:r>
      <w:r w:rsidR="00B661C1" w:rsidRPr="000E7E44">
        <w:rPr>
          <w:rFonts w:ascii="Arial" w:hAnsi="Arial" w:cs="Arial"/>
          <w:b/>
          <w:i w:val="0"/>
          <w:color w:val="auto"/>
          <w:sz w:val="20"/>
          <w:szCs w:val="20"/>
        </w:rPr>
        <w:t xml:space="preserve"> </w:t>
      </w:r>
      <w:r w:rsidRPr="000E7E44">
        <w:rPr>
          <w:rFonts w:ascii="Arial" w:hAnsi="Arial" w:cs="Arial"/>
          <w:b/>
          <w:i w:val="0"/>
          <w:color w:val="auto"/>
          <w:sz w:val="20"/>
          <w:szCs w:val="20"/>
        </w:rPr>
        <w:t>to Approved DEER Load Shapes</w:t>
      </w:r>
      <w:r w:rsidR="00B661C1" w:rsidRPr="000E7E44">
        <w:rPr>
          <w:rFonts w:ascii="Arial" w:hAnsi="Arial" w:cs="Arial"/>
          <w:b/>
          <w:i w:val="0"/>
          <w:color w:val="auto"/>
          <w:sz w:val="20"/>
          <w:szCs w:val="20"/>
        </w:rPr>
        <w:t>:</w:t>
      </w:r>
    </w:p>
    <w:p w:rsidR="00D871AB" w:rsidRPr="000E7E44" w:rsidRDefault="00D871AB" w:rsidP="00D871AB">
      <w:pPr>
        <w:pStyle w:val="Reminders"/>
        <w:rPr>
          <w:rFonts w:ascii="Arial" w:hAnsi="Arial" w:cs="Arial"/>
          <w:i w:val="0"/>
          <w:color w:val="auto"/>
          <w:sz w:val="20"/>
          <w:szCs w:val="20"/>
        </w:rPr>
      </w:pPr>
      <w:r w:rsidRPr="000E7E44">
        <w:rPr>
          <w:rFonts w:ascii="Arial" w:hAnsi="Arial" w:cs="Arial"/>
          <w:i w:val="0"/>
          <w:color w:val="auto"/>
          <w:sz w:val="20"/>
          <w:szCs w:val="20"/>
        </w:rPr>
        <w:t xml:space="preserve">The E3 Calculator and the Cost Effectiveness Tool (CET) are used to evaluate the cost effectiveness of energy efficiency measures and are based on a limited set of pre-determined energy efficiency impact shapes. 19 DEER-based impact shapes were selected to fit over 80 percent of the expected energy efficiency program savings. However, for those measures that were not a good fit with the pre-determined shapes, the user was generally left with the chore of selecting the least </w:t>
      </w:r>
      <w:r w:rsidR="00047FE7">
        <w:rPr>
          <w:rFonts w:ascii="Arial" w:hAnsi="Arial" w:cs="Arial"/>
          <w:i w:val="0"/>
          <w:color w:val="auto"/>
          <w:sz w:val="20"/>
          <w:szCs w:val="20"/>
        </w:rPr>
        <w:t>poor</w:t>
      </w:r>
      <w:r w:rsidR="00047FE7" w:rsidRPr="000E7E44">
        <w:rPr>
          <w:rFonts w:ascii="Arial" w:hAnsi="Arial" w:cs="Arial"/>
          <w:i w:val="0"/>
          <w:color w:val="auto"/>
          <w:sz w:val="20"/>
          <w:szCs w:val="20"/>
        </w:rPr>
        <w:t xml:space="preserve"> </w:t>
      </w:r>
      <w:r w:rsidRPr="000E7E44">
        <w:rPr>
          <w:rFonts w:ascii="Arial" w:hAnsi="Arial" w:cs="Arial"/>
          <w:i w:val="0"/>
          <w:color w:val="auto"/>
          <w:sz w:val="20"/>
          <w:szCs w:val="20"/>
        </w:rPr>
        <w:t>fit.</w:t>
      </w:r>
    </w:p>
    <w:p w:rsidR="00D871AB" w:rsidRPr="000E7E44" w:rsidRDefault="00D871AB" w:rsidP="00D871AB">
      <w:pPr>
        <w:pStyle w:val="Reminders"/>
        <w:rPr>
          <w:rFonts w:ascii="Arial" w:hAnsi="Arial" w:cs="Arial"/>
          <w:i w:val="0"/>
          <w:color w:val="auto"/>
          <w:sz w:val="20"/>
          <w:szCs w:val="20"/>
        </w:rPr>
      </w:pPr>
    </w:p>
    <w:p w:rsidR="00D871AB" w:rsidRPr="000E7E44" w:rsidRDefault="00D871AB" w:rsidP="00D871AB">
      <w:pPr>
        <w:pStyle w:val="Reminders"/>
        <w:rPr>
          <w:rFonts w:ascii="Arial" w:hAnsi="Arial" w:cs="Arial"/>
          <w:i w:val="0"/>
          <w:color w:val="auto"/>
          <w:sz w:val="20"/>
          <w:szCs w:val="20"/>
        </w:rPr>
      </w:pPr>
      <w:r w:rsidRPr="000E7E44">
        <w:rPr>
          <w:rFonts w:ascii="Arial" w:hAnsi="Arial" w:cs="Arial"/>
          <w:i w:val="0"/>
          <w:color w:val="auto"/>
          <w:sz w:val="20"/>
          <w:szCs w:val="20"/>
        </w:rPr>
        <w:t>As more measures are deviating from the existing pre-determined shapes, E3 has developed a Proxy Tool to allow precise valuation of such measures. This Excel-based spreadsheet calculates a weighted average of two DEER shapes that can be used to equal the avoided cost benefits that would have been attribute</w:t>
      </w:r>
      <w:r w:rsidR="00C61C00" w:rsidRPr="000E7E44">
        <w:rPr>
          <w:rFonts w:ascii="Arial" w:hAnsi="Arial" w:cs="Arial"/>
          <w:i w:val="0"/>
          <w:color w:val="auto"/>
          <w:sz w:val="20"/>
          <w:szCs w:val="20"/>
        </w:rPr>
        <w:t>d to the measure if that measure</w:t>
      </w:r>
      <w:r w:rsidRPr="000E7E44">
        <w:rPr>
          <w:rFonts w:ascii="Arial" w:hAnsi="Arial" w:cs="Arial"/>
          <w:i w:val="0"/>
          <w:color w:val="auto"/>
          <w:sz w:val="20"/>
          <w:szCs w:val="20"/>
        </w:rPr>
        <w:t xml:space="preserve"> impact shape were a selectable shape.</w:t>
      </w:r>
    </w:p>
    <w:p w:rsidR="00D871AB" w:rsidRPr="000E7E44" w:rsidRDefault="00D871AB" w:rsidP="00B661C1">
      <w:pPr>
        <w:pStyle w:val="Reminders"/>
        <w:rPr>
          <w:rFonts w:ascii="Arial" w:hAnsi="Arial" w:cs="Arial"/>
          <w:i w:val="0"/>
          <w:color w:val="auto"/>
          <w:sz w:val="20"/>
          <w:szCs w:val="20"/>
        </w:rPr>
      </w:pPr>
    </w:p>
    <w:p w:rsidR="005B3433" w:rsidRPr="000E7E44" w:rsidRDefault="00B661C1" w:rsidP="005B3433">
      <w:pPr>
        <w:pStyle w:val="Reminders"/>
        <w:rPr>
          <w:rFonts w:ascii="Arial" w:hAnsi="Arial" w:cs="Arial"/>
          <w:i w:val="0"/>
          <w:color w:val="auto"/>
          <w:sz w:val="20"/>
          <w:szCs w:val="20"/>
        </w:rPr>
      </w:pPr>
      <w:r w:rsidRPr="000E7E44">
        <w:rPr>
          <w:rFonts w:ascii="Arial" w:hAnsi="Arial" w:cs="Arial"/>
          <w:i w:val="0"/>
          <w:color w:val="auto"/>
          <w:sz w:val="20"/>
          <w:szCs w:val="20"/>
        </w:rPr>
        <w:t xml:space="preserve">Using the Excel tool provided by E3 and the </w:t>
      </w:r>
      <w:r w:rsidR="00766954" w:rsidRPr="00766954">
        <w:rPr>
          <w:rFonts w:cs="Arial"/>
          <w:i w:val="0"/>
          <w:color w:val="auto"/>
          <w:sz w:val="20"/>
          <w:szCs w:val="20"/>
        </w:rPr>
        <w:t>OPOWER</w:t>
      </w:r>
      <w:r w:rsidR="00766954" w:rsidRPr="00766954">
        <w:rPr>
          <w:rFonts w:ascii="Arial" w:hAnsi="Arial" w:cs="Arial"/>
          <w:i w:val="0"/>
          <w:color w:val="auto"/>
          <w:sz w:val="20"/>
          <w:szCs w:val="20"/>
        </w:rPr>
        <w:t xml:space="preserve"> </w:t>
      </w:r>
      <w:r w:rsidRPr="000E7E44">
        <w:rPr>
          <w:rFonts w:ascii="Arial" w:hAnsi="Arial" w:cs="Arial"/>
          <w:i w:val="0"/>
          <w:color w:val="auto"/>
          <w:sz w:val="20"/>
          <w:szCs w:val="20"/>
        </w:rPr>
        <w:t>savings load shape, PG&amp;E engineering s</w:t>
      </w:r>
      <w:r w:rsidR="0038116C" w:rsidRPr="000E7E44">
        <w:rPr>
          <w:rFonts w:ascii="Arial" w:hAnsi="Arial" w:cs="Arial"/>
          <w:i w:val="0"/>
          <w:color w:val="auto"/>
          <w:sz w:val="20"/>
          <w:szCs w:val="20"/>
        </w:rPr>
        <w:t>taff allocated the HER program</w:t>
      </w:r>
      <w:r w:rsidRPr="000E7E44">
        <w:rPr>
          <w:rFonts w:ascii="Arial" w:hAnsi="Arial" w:cs="Arial"/>
          <w:i w:val="0"/>
          <w:color w:val="auto"/>
          <w:sz w:val="20"/>
          <w:szCs w:val="20"/>
        </w:rPr>
        <w:t xml:space="preserve"> annual kWh saved to a pair of DEER shapes. </w:t>
      </w:r>
      <w:r w:rsidR="005B3433" w:rsidRPr="000E7E44">
        <w:rPr>
          <w:rFonts w:ascii="Arial" w:hAnsi="Arial" w:cs="Arial"/>
          <w:i w:val="0"/>
          <w:color w:val="auto"/>
          <w:sz w:val="20"/>
          <w:szCs w:val="20"/>
        </w:rPr>
        <w:t xml:space="preserve">These load shapes are </w:t>
      </w:r>
      <w:proofErr w:type="spellStart"/>
      <w:r w:rsidR="005B3433" w:rsidRPr="000E7E44">
        <w:rPr>
          <w:rFonts w:ascii="Arial" w:hAnsi="Arial" w:cs="Arial"/>
          <w:i w:val="0"/>
          <w:color w:val="auto"/>
          <w:sz w:val="20"/>
          <w:szCs w:val="20"/>
        </w:rPr>
        <w:t>Res</w:t>
      </w:r>
      <w:proofErr w:type="gramStart"/>
      <w:r w:rsidR="005B3433" w:rsidRPr="000E7E44">
        <w:rPr>
          <w:rFonts w:ascii="Arial" w:hAnsi="Arial" w:cs="Arial"/>
          <w:i w:val="0"/>
          <w:color w:val="auto"/>
          <w:sz w:val="20"/>
          <w:szCs w:val="20"/>
        </w:rPr>
        <w:t>:DEER:RefgFrzr</w:t>
      </w:r>
      <w:proofErr w:type="gramEnd"/>
      <w:r w:rsidR="005B3433" w:rsidRPr="000E7E44">
        <w:rPr>
          <w:rFonts w:ascii="Arial" w:hAnsi="Arial" w:cs="Arial"/>
          <w:i w:val="0"/>
          <w:color w:val="auto"/>
          <w:sz w:val="20"/>
          <w:szCs w:val="20"/>
        </w:rPr>
        <w:t>_Hig</w:t>
      </w:r>
      <w:r w:rsidR="0037071F">
        <w:rPr>
          <w:rFonts w:ascii="Arial" w:hAnsi="Arial" w:cs="Arial"/>
          <w:i w:val="0"/>
          <w:color w:val="auto"/>
          <w:sz w:val="20"/>
          <w:szCs w:val="20"/>
        </w:rPr>
        <w:t>hEff</w:t>
      </w:r>
      <w:proofErr w:type="spellEnd"/>
      <w:r w:rsidR="0037071F">
        <w:rPr>
          <w:rFonts w:ascii="Arial" w:hAnsi="Arial" w:cs="Arial"/>
          <w:i w:val="0"/>
          <w:color w:val="auto"/>
          <w:sz w:val="20"/>
          <w:szCs w:val="20"/>
        </w:rPr>
        <w:t xml:space="preserve"> and </w:t>
      </w:r>
      <w:proofErr w:type="spellStart"/>
      <w:r w:rsidR="0037071F">
        <w:rPr>
          <w:rFonts w:ascii="Arial" w:hAnsi="Arial" w:cs="Arial"/>
          <w:i w:val="0"/>
          <w:color w:val="auto"/>
          <w:sz w:val="20"/>
          <w:szCs w:val="20"/>
        </w:rPr>
        <w:t>Res:DEER:HVAC_Eff_AC</w:t>
      </w:r>
      <w:proofErr w:type="spellEnd"/>
      <w:r w:rsidR="0037071F">
        <w:rPr>
          <w:rFonts w:ascii="Arial" w:hAnsi="Arial" w:cs="Arial"/>
          <w:i w:val="0"/>
          <w:color w:val="auto"/>
          <w:sz w:val="20"/>
          <w:szCs w:val="20"/>
        </w:rPr>
        <w:t>.</w:t>
      </w:r>
    </w:p>
    <w:p w:rsidR="005B3433" w:rsidRPr="000E7E44" w:rsidRDefault="005B3433" w:rsidP="00B661C1">
      <w:pPr>
        <w:pStyle w:val="Reminders"/>
        <w:rPr>
          <w:rFonts w:ascii="Arial" w:hAnsi="Arial" w:cs="Arial"/>
          <w:i w:val="0"/>
          <w:color w:val="auto"/>
          <w:sz w:val="20"/>
          <w:szCs w:val="20"/>
        </w:rPr>
      </w:pPr>
    </w:p>
    <w:p w:rsidR="00B661C1" w:rsidRPr="000E7E44" w:rsidRDefault="005B3433" w:rsidP="00B661C1">
      <w:pPr>
        <w:pStyle w:val="Reminders"/>
        <w:rPr>
          <w:rFonts w:ascii="Arial" w:hAnsi="Arial" w:cs="Arial"/>
          <w:i w:val="0"/>
          <w:color w:val="auto"/>
          <w:sz w:val="20"/>
          <w:szCs w:val="20"/>
        </w:rPr>
      </w:pPr>
      <w:r w:rsidRPr="000E7E44">
        <w:rPr>
          <w:rFonts w:ascii="Arial" w:hAnsi="Arial" w:cs="Arial"/>
          <w:i w:val="0"/>
          <w:color w:val="auto"/>
          <w:sz w:val="20"/>
          <w:szCs w:val="20"/>
        </w:rPr>
        <w:t>T</w:t>
      </w:r>
      <w:r w:rsidR="00B661C1" w:rsidRPr="000E7E44">
        <w:rPr>
          <w:rFonts w:ascii="Arial" w:hAnsi="Arial" w:cs="Arial"/>
          <w:i w:val="0"/>
          <w:color w:val="auto"/>
          <w:sz w:val="20"/>
          <w:szCs w:val="20"/>
        </w:rPr>
        <w:t>his enable</w:t>
      </w:r>
      <w:r w:rsidRPr="000E7E44">
        <w:rPr>
          <w:rFonts w:ascii="Arial" w:hAnsi="Arial" w:cs="Arial"/>
          <w:i w:val="0"/>
          <w:color w:val="auto"/>
          <w:sz w:val="20"/>
          <w:szCs w:val="20"/>
        </w:rPr>
        <w:t>s</w:t>
      </w:r>
      <w:r w:rsidR="00B661C1" w:rsidRPr="000E7E44">
        <w:rPr>
          <w:rFonts w:ascii="Arial" w:hAnsi="Arial" w:cs="Arial"/>
          <w:i w:val="0"/>
          <w:color w:val="auto"/>
          <w:sz w:val="20"/>
          <w:szCs w:val="20"/>
        </w:rPr>
        <w:t xml:space="preserve"> the E3 Calculator to attribute present value avoided cost benefits to the HER </w:t>
      </w:r>
      <w:r w:rsidR="00D55378" w:rsidRPr="000E7E44">
        <w:rPr>
          <w:rFonts w:ascii="Arial" w:hAnsi="Arial" w:cs="Arial"/>
          <w:i w:val="0"/>
          <w:color w:val="auto"/>
          <w:sz w:val="20"/>
          <w:szCs w:val="20"/>
        </w:rPr>
        <w:t xml:space="preserve">program </w:t>
      </w:r>
      <w:r w:rsidR="00B661C1" w:rsidRPr="000E7E44">
        <w:rPr>
          <w:rFonts w:ascii="Arial" w:hAnsi="Arial" w:cs="Arial"/>
          <w:i w:val="0"/>
          <w:color w:val="auto"/>
          <w:sz w:val="20"/>
          <w:szCs w:val="20"/>
        </w:rPr>
        <w:t xml:space="preserve">that matches what the measure would have received if its actual shape were included </w:t>
      </w:r>
      <w:r w:rsidR="00D55378" w:rsidRPr="000E7E44">
        <w:rPr>
          <w:rFonts w:ascii="Arial" w:hAnsi="Arial" w:cs="Arial"/>
          <w:i w:val="0"/>
          <w:color w:val="auto"/>
          <w:sz w:val="20"/>
          <w:szCs w:val="20"/>
        </w:rPr>
        <w:t xml:space="preserve">among the official DEER shapes. </w:t>
      </w:r>
      <w:r w:rsidR="00B661C1" w:rsidRPr="000E7E44">
        <w:rPr>
          <w:rFonts w:ascii="Arial" w:hAnsi="Arial" w:cs="Arial"/>
          <w:i w:val="0"/>
          <w:color w:val="auto"/>
          <w:sz w:val="20"/>
          <w:szCs w:val="20"/>
        </w:rPr>
        <w:t xml:space="preserve">More detail about </w:t>
      </w:r>
      <w:r w:rsidR="001B4699" w:rsidRPr="000E7E44">
        <w:rPr>
          <w:rFonts w:ascii="Arial" w:hAnsi="Arial" w:cs="Arial"/>
          <w:i w:val="0"/>
          <w:color w:val="auto"/>
          <w:sz w:val="20"/>
          <w:szCs w:val="20"/>
        </w:rPr>
        <w:t>th</w:t>
      </w:r>
      <w:r w:rsidR="001B4699">
        <w:rPr>
          <w:rFonts w:ascii="Arial" w:hAnsi="Arial" w:cs="Arial"/>
          <w:i w:val="0"/>
          <w:color w:val="auto"/>
          <w:sz w:val="20"/>
          <w:szCs w:val="20"/>
        </w:rPr>
        <w:t>e Proxy Tool</w:t>
      </w:r>
      <w:r w:rsidR="00B661C1" w:rsidRPr="000E7E44">
        <w:rPr>
          <w:rFonts w:ascii="Arial" w:hAnsi="Arial" w:cs="Arial"/>
          <w:i w:val="0"/>
          <w:color w:val="auto"/>
          <w:sz w:val="20"/>
          <w:szCs w:val="20"/>
        </w:rPr>
        <w:t xml:space="preserve"> is provided in the </w:t>
      </w:r>
      <w:r w:rsidR="00415E17" w:rsidRPr="000E7E44">
        <w:rPr>
          <w:rFonts w:ascii="Arial" w:hAnsi="Arial" w:cs="Arial"/>
          <w:i w:val="0"/>
          <w:color w:val="auto"/>
          <w:sz w:val="20"/>
          <w:szCs w:val="20"/>
        </w:rPr>
        <w:t>Appendice</w:t>
      </w:r>
      <w:r w:rsidR="00090CBD">
        <w:rPr>
          <w:rFonts w:ascii="Arial" w:hAnsi="Arial" w:cs="Arial"/>
          <w:i w:val="0"/>
          <w:color w:val="auto"/>
          <w:sz w:val="20"/>
          <w:szCs w:val="20"/>
        </w:rPr>
        <w:t>s</w:t>
      </w:r>
      <w:r w:rsidR="00B661C1" w:rsidRPr="000E7E44">
        <w:rPr>
          <w:rFonts w:ascii="Arial" w:hAnsi="Arial" w:cs="Arial"/>
          <w:i w:val="0"/>
          <w:color w:val="auto"/>
          <w:sz w:val="20"/>
          <w:szCs w:val="20"/>
        </w:rPr>
        <w:t>.</w:t>
      </w:r>
    </w:p>
    <w:p w:rsidR="00D903F0" w:rsidRPr="009943A0" w:rsidRDefault="00D903F0" w:rsidP="00423B48">
      <w:pPr>
        <w:pStyle w:val="Reminders"/>
        <w:rPr>
          <w:rFonts w:ascii="Arial" w:hAnsi="Arial" w:cs="Arial"/>
          <w:color w:val="auto"/>
          <w:sz w:val="20"/>
          <w:szCs w:val="20"/>
        </w:rPr>
      </w:pPr>
    </w:p>
    <w:p w:rsidR="00B7164C" w:rsidRPr="007A4D97" w:rsidRDefault="00BF0332" w:rsidP="0087599D">
      <w:pPr>
        <w:pStyle w:val="Heading2"/>
      </w:pPr>
      <w:bookmarkStart w:id="86" w:name="_Toc173742996"/>
      <w:bookmarkStart w:id="87" w:name="_Toc304800215"/>
      <w:bookmarkStart w:id="88" w:name="_Toc324318369"/>
      <w:bookmarkStart w:id="89" w:name="_Toc324340498"/>
      <w:bookmarkStart w:id="90" w:name="_Toc476228496"/>
      <w:r w:rsidRPr="007A4D97">
        <w:t>3.1 Base Case</w:t>
      </w:r>
      <w:r w:rsidR="00B7164C" w:rsidRPr="007A4D97">
        <w:t xml:space="preserve"> Load Shapes</w:t>
      </w:r>
      <w:bookmarkEnd w:id="86"/>
      <w:bookmarkEnd w:id="87"/>
      <w:bookmarkEnd w:id="88"/>
      <w:bookmarkEnd w:id="89"/>
      <w:bookmarkEnd w:id="90"/>
    </w:p>
    <w:p w:rsidR="008840FA" w:rsidRDefault="009315ED" w:rsidP="008840FA">
      <w:pPr>
        <w:rPr>
          <w:rFonts w:cs="Arial"/>
          <w:sz w:val="20"/>
          <w:szCs w:val="20"/>
        </w:rPr>
      </w:pPr>
      <w:bookmarkStart w:id="91" w:name="_Toc173742997"/>
      <w:r>
        <w:rPr>
          <w:rFonts w:cs="Arial"/>
          <w:sz w:val="20"/>
          <w:szCs w:val="20"/>
        </w:rPr>
        <w:t xml:space="preserve">As described in the introduction of Section 3, a pair of </w:t>
      </w:r>
      <w:r w:rsidRPr="00B661C1">
        <w:rPr>
          <w:rFonts w:cs="Arial"/>
          <w:sz w:val="20"/>
          <w:szCs w:val="20"/>
        </w:rPr>
        <w:t xml:space="preserve">approved DEER residential load shapes </w:t>
      </w:r>
      <w:r>
        <w:rPr>
          <w:rFonts w:cs="Arial"/>
          <w:sz w:val="20"/>
          <w:szCs w:val="20"/>
        </w:rPr>
        <w:t>is used to match</w:t>
      </w:r>
      <w:r w:rsidRPr="00B661C1">
        <w:rPr>
          <w:rFonts w:cs="Arial"/>
          <w:sz w:val="20"/>
          <w:szCs w:val="20"/>
        </w:rPr>
        <w:t xml:space="preserve"> </w:t>
      </w:r>
      <w:r>
        <w:rPr>
          <w:rFonts w:cs="Arial"/>
          <w:sz w:val="20"/>
          <w:szCs w:val="20"/>
        </w:rPr>
        <w:t xml:space="preserve">the actual measure </w:t>
      </w:r>
      <w:r w:rsidRPr="00B661C1">
        <w:rPr>
          <w:rFonts w:cs="Arial"/>
          <w:sz w:val="20"/>
          <w:szCs w:val="20"/>
        </w:rPr>
        <w:t xml:space="preserve">load </w:t>
      </w:r>
      <w:r>
        <w:rPr>
          <w:rFonts w:cs="Arial"/>
          <w:sz w:val="20"/>
          <w:szCs w:val="20"/>
        </w:rPr>
        <w:t>shape</w:t>
      </w:r>
      <w:r w:rsidRPr="00B661C1">
        <w:rPr>
          <w:rFonts w:cs="Arial"/>
          <w:sz w:val="20"/>
          <w:szCs w:val="20"/>
        </w:rPr>
        <w:t xml:space="preserve"> </w:t>
      </w:r>
      <w:r>
        <w:rPr>
          <w:rFonts w:cs="Arial"/>
          <w:sz w:val="20"/>
          <w:szCs w:val="20"/>
        </w:rPr>
        <w:t>derived from interval meter data, because there is no appropriate fit with pre-determined shapes.</w:t>
      </w:r>
      <w:r w:rsidR="00437BE1">
        <w:rPr>
          <w:rFonts w:cs="Arial"/>
          <w:sz w:val="20"/>
          <w:szCs w:val="20"/>
        </w:rPr>
        <w:t xml:space="preserve"> </w:t>
      </w:r>
      <w:r w:rsidR="008840FA" w:rsidRPr="007A4D97">
        <w:rPr>
          <w:rFonts w:cs="Arial"/>
          <w:sz w:val="20"/>
          <w:szCs w:val="20"/>
        </w:rPr>
        <w:t xml:space="preserve">See </w:t>
      </w:r>
      <w:r w:rsidR="00391CE7" w:rsidRPr="007A4D97">
        <w:rPr>
          <w:rFonts w:cs="Arial"/>
          <w:sz w:val="20"/>
          <w:szCs w:val="20"/>
        </w:rPr>
        <w:fldChar w:fldCharType="begin"/>
      </w:r>
      <w:r w:rsidR="00391CE7" w:rsidRPr="007A4D97">
        <w:rPr>
          <w:rFonts w:cs="Arial"/>
          <w:sz w:val="20"/>
          <w:szCs w:val="20"/>
        </w:rPr>
        <w:instrText xml:space="preserve"> REF _Ref296597958 \h  \* MERGEFORMAT </w:instrText>
      </w:r>
      <w:r w:rsidR="00391CE7" w:rsidRPr="007A4D97">
        <w:rPr>
          <w:rFonts w:cs="Arial"/>
          <w:sz w:val="20"/>
          <w:szCs w:val="20"/>
        </w:rPr>
      </w:r>
      <w:r w:rsidR="00391CE7" w:rsidRPr="007A4D97">
        <w:rPr>
          <w:rFonts w:cs="Arial"/>
          <w:sz w:val="20"/>
          <w:szCs w:val="20"/>
        </w:rPr>
        <w:fldChar w:fldCharType="separate"/>
      </w:r>
      <w:r w:rsidR="00992DF9" w:rsidRPr="00992DF9">
        <w:rPr>
          <w:rFonts w:cs="Arial"/>
          <w:sz w:val="20"/>
          <w:szCs w:val="20"/>
        </w:rPr>
        <w:t xml:space="preserve">Table </w:t>
      </w:r>
      <w:r w:rsidR="00992DF9" w:rsidRPr="00992DF9">
        <w:rPr>
          <w:rFonts w:cs="Arial"/>
          <w:noProof/>
          <w:sz w:val="20"/>
          <w:szCs w:val="20"/>
        </w:rPr>
        <w:t>6</w:t>
      </w:r>
      <w:r w:rsidR="00391CE7" w:rsidRPr="007A4D97">
        <w:rPr>
          <w:rFonts w:cs="Arial"/>
          <w:sz w:val="20"/>
          <w:szCs w:val="20"/>
        </w:rPr>
        <w:fldChar w:fldCharType="end"/>
      </w:r>
      <w:r w:rsidR="00391CE7" w:rsidRPr="007A4D97">
        <w:rPr>
          <w:rFonts w:cs="Arial"/>
          <w:sz w:val="20"/>
          <w:szCs w:val="20"/>
        </w:rPr>
        <w:t xml:space="preserve"> </w:t>
      </w:r>
      <w:r w:rsidR="008840FA" w:rsidRPr="007A4D97">
        <w:rPr>
          <w:rFonts w:cs="Arial"/>
          <w:sz w:val="20"/>
          <w:szCs w:val="20"/>
        </w:rPr>
        <w:t>for a list of all Building Types and Load Shapes.</w:t>
      </w:r>
    </w:p>
    <w:p w:rsidR="00B66898" w:rsidRDefault="00B66898" w:rsidP="007F2147">
      <w:pPr>
        <w:pStyle w:val="Caption"/>
        <w:rPr>
          <w:rFonts w:cs="Arial"/>
        </w:rPr>
      </w:pPr>
    </w:p>
    <w:p w:rsidR="008840FA" w:rsidRPr="007A4D97" w:rsidRDefault="008840FA" w:rsidP="008840FA">
      <w:pPr>
        <w:pStyle w:val="Caption"/>
        <w:jc w:val="center"/>
        <w:rPr>
          <w:rFonts w:cs="Arial"/>
          <w:b w:val="0"/>
        </w:rPr>
      </w:pPr>
      <w:bookmarkStart w:id="92" w:name="_Toc476228510"/>
      <w:r w:rsidRPr="007A4D97">
        <w:rPr>
          <w:rFonts w:cs="Arial"/>
        </w:rPr>
        <w:t xml:space="preserve">Table </w:t>
      </w:r>
      <w:r w:rsidRPr="007A4D97">
        <w:rPr>
          <w:rFonts w:cs="Arial"/>
        </w:rPr>
        <w:fldChar w:fldCharType="begin"/>
      </w:r>
      <w:r w:rsidRPr="007A4D97">
        <w:rPr>
          <w:rFonts w:cs="Arial"/>
        </w:rPr>
        <w:instrText xml:space="preserve"> SEQ Table \* ARABIC </w:instrText>
      </w:r>
      <w:r w:rsidRPr="007A4D97">
        <w:rPr>
          <w:rFonts w:cs="Arial"/>
        </w:rPr>
        <w:fldChar w:fldCharType="separate"/>
      </w:r>
      <w:r w:rsidR="00992DF9">
        <w:rPr>
          <w:rFonts w:cs="Arial"/>
          <w:noProof/>
        </w:rPr>
        <w:t>5</w:t>
      </w:r>
      <w:r w:rsidRPr="007A4D97">
        <w:rPr>
          <w:rFonts w:cs="Arial"/>
        </w:rPr>
        <w:fldChar w:fldCharType="end"/>
      </w:r>
      <w:r w:rsidRPr="007A4D97">
        <w:rPr>
          <w:rFonts w:cs="Arial"/>
        </w:rPr>
        <w:t xml:space="preserve"> </w:t>
      </w:r>
      <w:r w:rsidR="00A95AB5">
        <w:rPr>
          <w:rFonts w:cs="Arial"/>
        </w:rPr>
        <w:t xml:space="preserve">Base Case </w:t>
      </w:r>
      <w:r w:rsidRPr="007A4D97">
        <w:rPr>
          <w:rFonts w:cs="Arial"/>
        </w:rPr>
        <w:t>Building Types and Load Shapes</w:t>
      </w:r>
      <w:bookmarkEnd w:id="92"/>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115"/>
        <w:gridCol w:w="2065"/>
        <w:gridCol w:w="4310"/>
      </w:tblGrid>
      <w:tr w:rsidR="009B1863" w:rsidRPr="001E4C31" w:rsidTr="00DA5D3B">
        <w:tc>
          <w:tcPr>
            <w:tcW w:w="1246" w:type="pct"/>
            <w:shd w:val="clear" w:color="auto" w:fill="262626"/>
            <w:vAlign w:val="bottom"/>
          </w:tcPr>
          <w:p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Building Type</w:t>
            </w:r>
          </w:p>
        </w:tc>
        <w:tc>
          <w:tcPr>
            <w:tcW w:w="1216" w:type="pct"/>
            <w:shd w:val="clear" w:color="auto" w:fill="262626"/>
            <w:vAlign w:val="bottom"/>
          </w:tcPr>
          <w:p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E3 Alt. Building Type</w:t>
            </w:r>
          </w:p>
        </w:tc>
        <w:tc>
          <w:tcPr>
            <w:tcW w:w="2538" w:type="pct"/>
            <w:shd w:val="clear" w:color="auto" w:fill="262626"/>
            <w:vAlign w:val="bottom"/>
          </w:tcPr>
          <w:p w:rsidR="008840FA" w:rsidRPr="001E4C31" w:rsidRDefault="008840FA" w:rsidP="001E4C31">
            <w:pPr>
              <w:keepLines/>
              <w:jc w:val="center"/>
              <w:rPr>
                <w:rFonts w:cs="Arial"/>
                <w:b/>
                <w:bCs/>
                <w:color w:val="F2F2F2"/>
                <w:sz w:val="20"/>
                <w:szCs w:val="20"/>
              </w:rPr>
            </w:pPr>
            <w:r w:rsidRPr="001E4C31">
              <w:rPr>
                <w:rFonts w:cs="Arial"/>
                <w:b/>
                <w:bCs/>
                <w:color w:val="F2F2F2"/>
                <w:sz w:val="20"/>
                <w:szCs w:val="20"/>
              </w:rPr>
              <w:t>Load Shape</w:t>
            </w:r>
          </w:p>
        </w:tc>
      </w:tr>
      <w:tr w:rsidR="009B1863" w:rsidRPr="007A4D97" w:rsidTr="00DA5D3B">
        <w:tc>
          <w:tcPr>
            <w:tcW w:w="1246" w:type="pct"/>
            <w:shd w:val="pct5" w:color="000000" w:fill="FFFFFF"/>
            <w:vAlign w:val="bottom"/>
          </w:tcPr>
          <w:p w:rsidR="008840FA" w:rsidRPr="00DA5D3B" w:rsidRDefault="00391CE7" w:rsidP="001E4C31">
            <w:pPr>
              <w:jc w:val="center"/>
              <w:rPr>
                <w:rFonts w:cs="Arial"/>
                <w:sz w:val="20"/>
                <w:szCs w:val="20"/>
              </w:rPr>
            </w:pPr>
            <w:r w:rsidRPr="00DA5D3B">
              <w:rPr>
                <w:rFonts w:cs="Arial"/>
                <w:sz w:val="20"/>
                <w:szCs w:val="20"/>
              </w:rPr>
              <w:t>Single Family Residence</w:t>
            </w:r>
          </w:p>
        </w:tc>
        <w:tc>
          <w:tcPr>
            <w:tcW w:w="1216" w:type="pct"/>
            <w:shd w:val="pct5" w:color="000000" w:fill="FFFFFF"/>
            <w:vAlign w:val="bottom"/>
          </w:tcPr>
          <w:p w:rsidR="008840FA" w:rsidRPr="00DA5D3B" w:rsidRDefault="008840FA" w:rsidP="001E4C31">
            <w:pPr>
              <w:jc w:val="center"/>
              <w:rPr>
                <w:rFonts w:cs="Arial"/>
                <w:sz w:val="20"/>
                <w:szCs w:val="20"/>
              </w:rPr>
            </w:pPr>
            <w:r w:rsidRPr="00DA5D3B">
              <w:rPr>
                <w:rFonts w:cs="Arial"/>
                <w:sz w:val="20"/>
                <w:szCs w:val="20"/>
              </w:rPr>
              <w:t>RES</w:t>
            </w:r>
          </w:p>
        </w:tc>
        <w:tc>
          <w:tcPr>
            <w:tcW w:w="2538" w:type="pct"/>
            <w:shd w:val="pct5" w:color="000000" w:fill="FFFFFF"/>
            <w:vAlign w:val="bottom"/>
          </w:tcPr>
          <w:p w:rsidR="008840FA" w:rsidRPr="005B399E" w:rsidRDefault="00391CE7" w:rsidP="000F4BCE">
            <w:pPr>
              <w:jc w:val="center"/>
            </w:pPr>
            <w:r w:rsidRPr="005B399E">
              <w:t>DEER:RefgFrzr_HighEff</w:t>
            </w:r>
          </w:p>
        </w:tc>
      </w:tr>
      <w:tr w:rsidR="00A0355D" w:rsidRPr="007A4D97" w:rsidTr="005B399E">
        <w:tc>
          <w:tcPr>
            <w:tcW w:w="1246" w:type="pct"/>
            <w:shd w:val="clear" w:color="auto" w:fill="D9D9D9" w:themeFill="background1" w:themeFillShade="D9"/>
            <w:vAlign w:val="bottom"/>
          </w:tcPr>
          <w:p w:rsidR="00A0355D" w:rsidRPr="00DA5D3B" w:rsidRDefault="00A0355D" w:rsidP="001E4C31">
            <w:pPr>
              <w:jc w:val="center"/>
              <w:rPr>
                <w:rFonts w:cs="Arial"/>
                <w:sz w:val="20"/>
                <w:szCs w:val="20"/>
              </w:rPr>
            </w:pPr>
            <w:r w:rsidRPr="00DA5D3B">
              <w:rPr>
                <w:rFonts w:cs="Arial"/>
                <w:sz w:val="20"/>
                <w:szCs w:val="20"/>
              </w:rPr>
              <w:t>Single Family Residence</w:t>
            </w:r>
          </w:p>
        </w:tc>
        <w:tc>
          <w:tcPr>
            <w:tcW w:w="1216" w:type="pct"/>
            <w:shd w:val="clear" w:color="auto" w:fill="D9D9D9" w:themeFill="background1" w:themeFillShade="D9"/>
            <w:vAlign w:val="bottom"/>
          </w:tcPr>
          <w:p w:rsidR="00A0355D" w:rsidRPr="00DA5D3B" w:rsidRDefault="00A0355D" w:rsidP="001E4C31">
            <w:pPr>
              <w:jc w:val="center"/>
              <w:rPr>
                <w:rFonts w:cs="Arial"/>
                <w:sz w:val="20"/>
                <w:szCs w:val="20"/>
              </w:rPr>
            </w:pPr>
            <w:r w:rsidRPr="00DA5D3B">
              <w:rPr>
                <w:rFonts w:cs="Arial"/>
                <w:sz w:val="20"/>
                <w:szCs w:val="20"/>
              </w:rPr>
              <w:t>RES</w:t>
            </w:r>
          </w:p>
        </w:tc>
        <w:tc>
          <w:tcPr>
            <w:tcW w:w="2538" w:type="pct"/>
            <w:shd w:val="clear" w:color="auto" w:fill="D9D9D9" w:themeFill="background1" w:themeFillShade="D9"/>
            <w:vAlign w:val="bottom"/>
          </w:tcPr>
          <w:p w:rsidR="00A0355D" w:rsidRPr="005B399E" w:rsidRDefault="00A0355D" w:rsidP="001E4C31">
            <w:pPr>
              <w:jc w:val="center"/>
            </w:pPr>
            <w:r w:rsidRPr="005B399E">
              <w:t>DEER:HVAC_Eff_AC</w:t>
            </w:r>
          </w:p>
        </w:tc>
      </w:tr>
    </w:tbl>
    <w:p w:rsidR="008840FA" w:rsidRPr="007A4D97" w:rsidRDefault="008840FA" w:rsidP="00B7164C">
      <w:pPr>
        <w:rPr>
          <w:rFonts w:cs="Arial"/>
          <w:sz w:val="20"/>
          <w:szCs w:val="20"/>
        </w:rPr>
      </w:pPr>
    </w:p>
    <w:p w:rsidR="00B7164C" w:rsidRPr="007A4D97" w:rsidRDefault="00B7164C" w:rsidP="00D20486">
      <w:pPr>
        <w:pStyle w:val="Heading2"/>
        <w:keepNext w:val="0"/>
      </w:pPr>
      <w:bookmarkStart w:id="93" w:name="_Toc304800216"/>
      <w:bookmarkStart w:id="94" w:name="_Toc324318370"/>
      <w:bookmarkStart w:id="95" w:name="_Toc324340499"/>
      <w:bookmarkStart w:id="96" w:name="_Toc476228497"/>
      <w:r w:rsidRPr="007A4D97">
        <w:t>3.2 Measure Load Shapes</w:t>
      </w:r>
      <w:bookmarkEnd w:id="91"/>
      <w:bookmarkEnd w:id="93"/>
      <w:bookmarkEnd w:id="94"/>
      <w:bookmarkEnd w:id="95"/>
      <w:bookmarkEnd w:id="96"/>
    </w:p>
    <w:p w:rsidR="00B66898" w:rsidRDefault="009B6201" w:rsidP="003C6DFA">
      <w:pPr>
        <w:rPr>
          <w:rFonts w:cs="Arial"/>
          <w:sz w:val="20"/>
          <w:szCs w:val="20"/>
        </w:rPr>
      </w:pPr>
      <w:r w:rsidRPr="00DA5D3B">
        <w:rPr>
          <w:rFonts w:cs="Arial"/>
          <w:sz w:val="20"/>
          <w:szCs w:val="20"/>
        </w:rPr>
        <w:t xml:space="preserve">The </w:t>
      </w:r>
      <w:r w:rsidR="000E0C25">
        <w:rPr>
          <w:rFonts w:cs="Arial"/>
          <w:sz w:val="20"/>
          <w:szCs w:val="20"/>
        </w:rPr>
        <w:t>M</w:t>
      </w:r>
      <w:r w:rsidR="000E0C25" w:rsidRPr="00DA5D3B">
        <w:rPr>
          <w:rFonts w:cs="Arial"/>
          <w:sz w:val="20"/>
          <w:szCs w:val="20"/>
        </w:rPr>
        <w:t xml:space="preserve">easure </w:t>
      </w:r>
      <w:r w:rsidR="000E0C25">
        <w:rPr>
          <w:rFonts w:cs="Arial"/>
          <w:sz w:val="20"/>
          <w:szCs w:val="20"/>
        </w:rPr>
        <w:t>L</w:t>
      </w:r>
      <w:r w:rsidR="000E0C25" w:rsidRPr="00DA5D3B">
        <w:rPr>
          <w:rFonts w:cs="Arial"/>
          <w:sz w:val="20"/>
          <w:szCs w:val="20"/>
        </w:rPr>
        <w:t xml:space="preserve">oad </w:t>
      </w:r>
      <w:r w:rsidR="000E0C25">
        <w:rPr>
          <w:rFonts w:cs="Arial"/>
          <w:sz w:val="20"/>
          <w:szCs w:val="20"/>
        </w:rPr>
        <w:t>S</w:t>
      </w:r>
      <w:r w:rsidR="000E0C25" w:rsidRPr="00DA5D3B">
        <w:rPr>
          <w:rFonts w:cs="Arial"/>
          <w:sz w:val="20"/>
          <w:szCs w:val="20"/>
        </w:rPr>
        <w:t>hape</w:t>
      </w:r>
      <w:r w:rsidR="000E0C25">
        <w:rPr>
          <w:rFonts w:cs="Arial"/>
          <w:sz w:val="20"/>
          <w:szCs w:val="20"/>
        </w:rPr>
        <w:t>s</w:t>
      </w:r>
      <w:r w:rsidR="000E0C25" w:rsidRPr="00DA5D3B">
        <w:rPr>
          <w:rFonts w:cs="Arial"/>
          <w:sz w:val="20"/>
          <w:szCs w:val="20"/>
        </w:rPr>
        <w:t xml:space="preserve"> </w:t>
      </w:r>
      <w:r w:rsidR="00F47D9D" w:rsidRPr="00DA5D3B">
        <w:rPr>
          <w:rFonts w:cs="Arial"/>
          <w:sz w:val="20"/>
          <w:szCs w:val="20"/>
        </w:rPr>
        <w:t xml:space="preserve">for this measure </w:t>
      </w:r>
      <w:r w:rsidR="000E0C25">
        <w:rPr>
          <w:rFonts w:cs="Arial"/>
          <w:sz w:val="20"/>
          <w:szCs w:val="20"/>
        </w:rPr>
        <w:t xml:space="preserve">are </w:t>
      </w:r>
      <w:r w:rsidR="00391CE7" w:rsidRPr="00DA5D3B">
        <w:rPr>
          <w:rFonts w:cs="Arial"/>
          <w:sz w:val="20"/>
          <w:szCs w:val="20"/>
        </w:rPr>
        <w:t>the same as the base case due to the statistical and random nature of the savings generated by this program</w:t>
      </w:r>
      <w:r w:rsidR="000E0C25">
        <w:rPr>
          <w:rFonts w:cs="Arial"/>
          <w:sz w:val="20"/>
          <w:szCs w:val="20"/>
        </w:rPr>
        <w:t xml:space="preserve">. They are </w:t>
      </w:r>
      <w:r w:rsidR="00B66898" w:rsidRPr="00DA5D3B">
        <w:rPr>
          <w:rFonts w:cs="Arial"/>
          <w:sz w:val="20"/>
          <w:szCs w:val="20"/>
        </w:rPr>
        <w:t>show</w:t>
      </w:r>
      <w:r w:rsidR="00B66898" w:rsidRPr="007C475D">
        <w:rPr>
          <w:rFonts w:cs="Arial"/>
          <w:sz w:val="20"/>
          <w:szCs w:val="20"/>
        </w:rPr>
        <w:t>n</w:t>
      </w:r>
      <w:r w:rsidR="007A7519" w:rsidRPr="007C475D">
        <w:rPr>
          <w:rFonts w:cs="Arial"/>
          <w:sz w:val="20"/>
          <w:szCs w:val="20"/>
        </w:rPr>
        <w:t xml:space="preserve"> in </w:t>
      </w:r>
      <w:r w:rsidR="007A7519" w:rsidRPr="007C475D">
        <w:rPr>
          <w:rFonts w:cs="Arial"/>
          <w:sz w:val="20"/>
          <w:szCs w:val="20"/>
        </w:rPr>
        <w:fldChar w:fldCharType="begin"/>
      </w:r>
      <w:r w:rsidR="007A7519" w:rsidRPr="007C475D">
        <w:rPr>
          <w:rFonts w:cs="Arial"/>
          <w:sz w:val="20"/>
          <w:szCs w:val="20"/>
        </w:rPr>
        <w:instrText xml:space="preserve"> REF _Ref296597958 \h </w:instrText>
      </w:r>
      <w:r w:rsidR="007C475D">
        <w:rPr>
          <w:rFonts w:cs="Arial"/>
          <w:sz w:val="20"/>
          <w:szCs w:val="20"/>
        </w:rPr>
        <w:instrText xml:space="preserve"> \* MERGEFORMAT </w:instrText>
      </w:r>
      <w:r w:rsidR="007A7519" w:rsidRPr="007C475D">
        <w:rPr>
          <w:rFonts w:cs="Arial"/>
          <w:sz w:val="20"/>
          <w:szCs w:val="20"/>
        </w:rPr>
      </w:r>
      <w:r w:rsidR="007A7519" w:rsidRPr="007C475D">
        <w:rPr>
          <w:rFonts w:cs="Arial"/>
          <w:sz w:val="20"/>
          <w:szCs w:val="20"/>
        </w:rPr>
        <w:fldChar w:fldCharType="separate"/>
      </w:r>
      <w:r w:rsidR="00992DF9" w:rsidRPr="00992DF9">
        <w:rPr>
          <w:rFonts w:cs="Arial"/>
          <w:sz w:val="20"/>
          <w:szCs w:val="20"/>
        </w:rPr>
        <w:t xml:space="preserve">Table </w:t>
      </w:r>
      <w:r w:rsidR="00992DF9" w:rsidRPr="00992DF9">
        <w:rPr>
          <w:rFonts w:cs="Arial"/>
          <w:noProof/>
          <w:sz w:val="20"/>
          <w:szCs w:val="20"/>
        </w:rPr>
        <w:t>6</w:t>
      </w:r>
      <w:r w:rsidR="007A7519" w:rsidRPr="007C475D">
        <w:rPr>
          <w:rFonts w:cs="Arial"/>
          <w:sz w:val="20"/>
          <w:szCs w:val="20"/>
        </w:rPr>
        <w:fldChar w:fldCharType="end"/>
      </w:r>
      <w:r w:rsidR="00B66898" w:rsidRPr="00DA5D3B">
        <w:rPr>
          <w:rFonts w:cs="Arial"/>
          <w:sz w:val="20"/>
          <w:szCs w:val="20"/>
        </w:rPr>
        <w:t>.</w:t>
      </w:r>
      <w:r w:rsidR="00B66898">
        <w:rPr>
          <w:rFonts w:cs="Arial"/>
          <w:sz w:val="20"/>
          <w:szCs w:val="20"/>
        </w:rPr>
        <w:t xml:space="preserve"> </w:t>
      </w:r>
    </w:p>
    <w:p w:rsidR="00DF3395" w:rsidRPr="007A4D97" w:rsidRDefault="00B66898" w:rsidP="003C6DFA">
      <w:pPr>
        <w:rPr>
          <w:rFonts w:cs="Arial"/>
          <w:sz w:val="20"/>
          <w:szCs w:val="20"/>
        </w:rPr>
      </w:pPr>
      <w:r>
        <w:rPr>
          <w:rFonts w:cs="Arial"/>
          <w:sz w:val="20"/>
          <w:szCs w:val="20"/>
        </w:rPr>
        <w:t xml:space="preserve"> </w:t>
      </w:r>
    </w:p>
    <w:p w:rsidR="00D87EFF" w:rsidRPr="00AF1807" w:rsidRDefault="00D87EFF" w:rsidP="00D87EFF">
      <w:pPr>
        <w:pStyle w:val="Caption"/>
        <w:jc w:val="center"/>
        <w:rPr>
          <w:rFonts w:cs="Arial"/>
          <w:b w:val="0"/>
        </w:rPr>
      </w:pPr>
      <w:bookmarkStart w:id="97" w:name="_Ref296597958"/>
      <w:bookmarkStart w:id="98" w:name="_Ref474687333"/>
      <w:bookmarkStart w:id="99" w:name="_Toc476228511"/>
      <w:r w:rsidRPr="00AF1807">
        <w:rPr>
          <w:rFonts w:cs="Arial"/>
        </w:rPr>
        <w:t xml:space="preserve">Table </w:t>
      </w:r>
      <w:r w:rsidRPr="00AF1807">
        <w:rPr>
          <w:rFonts w:cs="Arial"/>
        </w:rPr>
        <w:fldChar w:fldCharType="begin"/>
      </w:r>
      <w:r w:rsidRPr="00AF1807">
        <w:rPr>
          <w:rFonts w:cs="Arial"/>
        </w:rPr>
        <w:instrText xml:space="preserve"> SEQ Table \* ARABIC </w:instrText>
      </w:r>
      <w:r w:rsidRPr="00AF1807">
        <w:rPr>
          <w:rFonts w:cs="Arial"/>
        </w:rPr>
        <w:fldChar w:fldCharType="separate"/>
      </w:r>
      <w:r w:rsidR="00992DF9">
        <w:rPr>
          <w:rFonts w:cs="Arial"/>
          <w:noProof/>
        </w:rPr>
        <w:t>6</w:t>
      </w:r>
      <w:r w:rsidRPr="00AF1807">
        <w:rPr>
          <w:rFonts w:cs="Arial"/>
        </w:rPr>
        <w:fldChar w:fldCharType="end"/>
      </w:r>
      <w:bookmarkEnd w:id="97"/>
      <w:r w:rsidRPr="00AF1807">
        <w:rPr>
          <w:rFonts w:cs="Arial"/>
        </w:rPr>
        <w:t xml:space="preserve"> </w:t>
      </w:r>
      <w:r w:rsidR="00A95AB5" w:rsidRPr="00AF1807">
        <w:rPr>
          <w:rFonts w:cs="Arial"/>
        </w:rPr>
        <w:t xml:space="preserve">Measure Case </w:t>
      </w:r>
      <w:r w:rsidRPr="00AF1807">
        <w:rPr>
          <w:rFonts w:cs="Arial"/>
        </w:rPr>
        <w:t>Building Types and Load Shapes</w:t>
      </w:r>
      <w:bookmarkEnd w:id="98"/>
      <w:bookmarkEnd w:id="99"/>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76"/>
        <w:gridCol w:w="2926"/>
        <w:gridCol w:w="2588"/>
      </w:tblGrid>
      <w:tr w:rsidR="00D87EFF" w:rsidRPr="001E4C31" w:rsidTr="00173346">
        <w:tc>
          <w:tcPr>
            <w:tcW w:w="1753" w:type="pct"/>
            <w:shd w:val="clear" w:color="auto" w:fill="262626"/>
            <w:vAlign w:val="bottom"/>
          </w:tcPr>
          <w:p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Building Type</w:t>
            </w:r>
          </w:p>
        </w:tc>
        <w:tc>
          <w:tcPr>
            <w:tcW w:w="1723" w:type="pct"/>
            <w:shd w:val="clear" w:color="auto" w:fill="262626"/>
            <w:vAlign w:val="bottom"/>
          </w:tcPr>
          <w:p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E3 Alt. Building Type</w:t>
            </w:r>
          </w:p>
        </w:tc>
        <w:tc>
          <w:tcPr>
            <w:tcW w:w="1524" w:type="pct"/>
            <w:shd w:val="clear" w:color="auto" w:fill="262626"/>
            <w:vAlign w:val="bottom"/>
          </w:tcPr>
          <w:p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Load Shape</w:t>
            </w:r>
          </w:p>
        </w:tc>
      </w:tr>
      <w:tr w:rsidR="00D87EFF" w:rsidRPr="0013080C" w:rsidTr="00173346">
        <w:tc>
          <w:tcPr>
            <w:tcW w:w="1753" w:type="pct"/>
            <w:shd w:val="pct5" w:color="000000" w:fill="FFFFFF"/>
            <w:vAlign w:val="bottom"/>
          </w:tcPr>
          <w:p w:rsidR="00D87EFF" w:rsidRPr="00DA5D3B" w:rsidRDefault="00391CE7" w:rsidP="001E4C31">
            <w:pPr>
              <w:jc w:val="center"/>
              <w:rPr>
                <w:rFonts w:cs="Arial"/>
                <w:sz w:val="20"/>
                <w:szCs w:val="20"/>
              </w:rPr>
            </w:pPr>
            <w:r w:rsidRPr="00DA5D3B">
              <w:rPr>
                <w:rFonts w:cs="Arial"/>
                <w:sz w:val="20"/>
                <w:szCs w:val="20"/>
              </w:rPr>
              <w:t xml:space="preserve">Single Family </w:t>
            </w:r>
            <w:r w:rsidR="00B06452">
              <w:rPr>
                <w:rFonts w:cs="Arial"/>
                <w:sz w:val="20"/>
                <w:szCs w:val="20"/>
              </w:rPr>
              <w:t>R</w:t>
            </w:r>
            <w:r w:rsidR="00B06452" w:rsidRPr="00DA5D3B">
              <w:rPr>
                <w:rFonts w:cs="Arial"/>
                <w:sz w:val="20"/>
                <w:szCs w:val="20"/>
              </w:rPr>
              <w:t>esidence</w:t>
            </w:r>
          </w:p>
        </w:tc>
        <w:tc>
          <w:tcPr>
            <w:tcW w:w="1723" w:type="pct"/>
            <w:shd w:val="pct5" w:color="000000" w:fill="FFFFFF"/>
            <w:vAlign w:val="bottom"/>
          </w:tcPr>
          <w:p w:rsidR="00D87EFF" w:rsidRPr="00DA5D3B" w:rsidRDefault="00D87EFF" w:rsidP="001E4C31">
            <w:pPr>
              <w:jc w:val="center"/>
              <w:rPr>
                <w:rFonts w:cs="Arial"/>
                <w:sz w:val="20"/>
                <w:szCs w:val="20"/>
              </w:rPr>
            </w:pPr>
            <w:r w:rsidRPr="00DA5D3B">
              <w:rPr>
                <w:rFonts w:cs="Arial"/>
                <w:sz w:val="20"/>
                <w:szCs w:val="20"/>
              </w:rPr>
              <w:t>RES</w:t>
            </w:r>
          </w:p>
        </w:tc>
        <w:tc>
          <w:tcPr>
            <w:tcW w:w="1524" w:type="pct"/>
            <w:shd w:val="pct5" w:color="000000" w:fill="FFFFFF"/>
            <w:vAlign w:val="bottom"/>
          </w:tcPr>
          <w:p w:rsidR="00D87EFF" w:rsidRPr="00DA5D3B" w:rsidRDefault="00391CE7" w:rsidP="001E4C31">
            <w:pPr>
              <w:jc w:val="center"/>
              <w:rPr>
                <w:rFonts w:cs="Arial"/>
                <w:sz w:val="20"/>
                <w:szCs w:val="20"/>
              </w:rPr>
            </w:pPr>
            <w:r w:rsidRPr="00DA5D3B">
              <w:t>DEER:RefgFrzr_HighEff</w:t>
            </w:r>
          </w:p>
        </w:tc>
      </w:tr>
      <w:tr w:rsidR="00173346" w:rsidRPr="0013080C" w:rsidTr="005B399E">
        <w:tc>
          <w:tcPr>
            <w:tcW w:w="1753" w:type="pct"/>
            <w:shd w:val="clear" w:color="auto" w:fill="D9D9D9" w:themeFill="background1" w:themeFillShade="D9"/>
            <w:vAlign w:val="bottom"/>
          </w:tcPr>
          <w:p w:rsidR="00173346" w:rsidRPr="00DA5D3B" w:rsidRDefault="00173346" w:rsidP="001E4C31">
            <w:pPr>
              <w:jc w:val="center"/>
              <w:rPr>
                <w:rFonts w:cs="Arial"/>
                <w:sz w:val="20"/>
                <w:szCs w:val="20"/>
              </w:rPr>
            </w:pPr>
            <w:r w:rsidRPr="00DA5D3B">
              <w:rPr>
                <w:rFonts w:cs="Arial"/>
                <w:sz w:val="20"/>
                <w:szCs w:val="20"/>
              </w:rPr>
              <w:t>Single Family Residence</w:t>
            </w:r>
          </w:p>
        </w:tc>
        <w:tc>
          <w:tcPr>
            <w:tcW w:w="1723" w:type="pct"/>
            <w:shd w:val="clear" w:color="auto" w:fill="D9D9D9" w:themeFill="background1" w:themeFillShade="D9"/>
            <w:vAlign w:val="bottom"/>
          </w:tcPr>
          <w:p w:rsidR="00173346" w:rsidRPr="00DA5D3B" w:rsidRDefault="00173346" w:rsidP="001E4C31">
            <w:pPr>
              <w:jc w:val="center"/>
              <w:rPr>
                <w:rFonts w:cs="Arial"/>
                <w:sz w:val="20"/>
                <w:szCs w:val="20"/>
              </w:rPr>
            </w:pPr>
            <w:r w:rsidRPr="00DA5D3B">
              <w:rPr>
                <w:rFonts w:cs="Arial"/>
                <w:sz w:val="20"/>
                <w:szCs w:val="20"/>
              </w:rPr>
              <w:t>RES</w:t>
            </w:r>
          </w:p>
        </w:tc>
        <w:tc>
          <w:tcPr>
            <w:tcW w:w="1524" w:type="pct"/>
            <w:shd w:val="clear" w:color="auto" w:fill="D9D9D9" w:themeFill="background1" w:themeFillShade="D9"/>
            <w:vAlign w:val="bottom"/>
          </w:tcPr>
          <w:p w:rsidR="00173346" w:rsidRPr="00DA5D3B" w:rsidRDefault="00173346" w:rsidP="001E4C31">
            <w:pPr>
              <w:jc w:val="center"/>
            </w:pPr>
            <w:r w:rsidRPr="005B399E">
              <w:t>DEER:HVAC_Eff_AC</w:t>
            </w:r>
          </w:p>
        </w:tc>
      </w:tr>
    </w:tbl>
    <w:p w:rsidR="00D87EFF" w:rsidRDefault="00D87EFF" w:rsidP="002E0043"/>
    <w:p w:rsidR="00C6407D" w:rsidRDefault="00C6407D" w:rsidP="002E0043">
      <w:r>
        <w:rPr>
          <w:sz w:val="20"/>
          <w:szCs w:val="20"/>
        </w:rPr>
        <w:br w:type="page"/>
      </w:r>
      <w:bookmarkStart w:id="100" w:name="_GoBack"/>
      <w:bookmarkEnd w:id="100"/>
    </w:p>
    <w:p w:rsidR="00C6407D" w:rsidRPr="002E0043" w:rsidRDefault="00C6407D" w:rsidP="002E0043"/>
    <w:p w:rsidR="0091058D" w:rsidRDefault="00C069A2" w:rsidP="00663A00">
      <w:pPr>
        <w:pStyle w:val="Heading1"/>
        <w:keepNext w:val="0"/>
      </w:pPr>
      <w:bookmarkStart w:id="101" w:name="_Toc304800217"/>
      <w:bookmarkStart w:id="102" w:name="_Toc324318371"/>
      <w:bookmarkStart w:id="103" w:name="_Toc324340500"/>
      <w:bookmarkStart w:id="104" w:name="_Toc476228498"/>
      <w:proofErr w:type="gramStart"/>
      <w:r>
        <w:t>Section 4</w:t>
      </w:r>
      <w:r w:rsidR="003129E8">
        <w:t>.</w:t>
      </w:r>
      <w:proofErr w:type="gramEnd"/>
      <w:r>
        <w:t xml:space="preserve"> Base Case &amp; Measure Costs</w:t>
      </w:r>
      <w:bookmarkEnd w:id="101"/>
      <w:bookmarkEnd w:id="102"/>
      <w:bookmarkEnd w:id="103"/>
      <w:bookmarkEnd w:id="104"/>
    </w:p>
    <w:p w:rsidR="00B16BE4" w:rsidRDefault="00B16BE4" w:rsidP="00B16BE4"/>
    <w:p w:rsidR="00B16BE4" w:rsidRPr="00B16BE4" w:rsidRDefault="00B16BE4" w:rsidP="00B16BE4"/>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rsidTr="0064609B">
        <w:trPr>
          <w:trHeight w:val="255"/>
        </w:trPr>
        <w:tc>
          <w:tcPr>
            <w:tcW w:w="1964" w:type="dxa"/>
            <w:shd w:val="clear" w:color="auto" w:fill="262626"/>
            <w:noWrap/>
            <w:vAlign w:val="bottom"/>
          </w:tcPr>
          <w:p w:rsidR="00B16BE4" w:rsidRPr="001E4C31" w:rsidRDefault="003541A6" w:rsidP="003541A6">
            <w:pPr>
              <w:jc w:val="center"/>
              <w:rPr>
                <w:rFonts w:cs="Arial"/>
                <w:b/>
              </w:rPr>
            </w:pPr>
            <w:bookmarkStart w:id="105"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rsidR="00B16BE4" w:rsidRPr="001E4C31" w:rsidRDefault="00B16BE4" w:rsidP="001E4C31">
            <w:pPr>
              <w:jc w:val="center"/>
              <w:rPr>
                <w:rFonts w:cs="Arial"/>
                <w:b/>
              </w:rPr>
            </w:pPr>
            <w:r w:rsidRPr="001E4C31">
              <w:rPr>
                <w:rFonts w:cs="Arial"/>
                <w:b/>
              </w:rPr>
              <w:t>First Baseline Period Gross Measure Cost (RUL)</w:t>
            </w:r>
          </w:p>
        </w:tc>
        <w:tc>
          <w:tcPr>
            <w:tcW w:w="2790" w:type="dxa"/>
            <w:shd w:val="clear" w:color="auto" w:fill="262626"/>
            <w:noWrap/>
            <w:vAlign w:val="bottom"/>
          </w:tcPr>
          <w:p w:rsidR="00B16BE4" w:rsidRPr="001E4C31" w:rsidRDefault="00B16BE4" w:rsidP="001E4C31">
            <w:pPr>
              <w:jc w:val="center"/>
              <w:rPr>
                <w:rFonts w:cs="Arial"/>
                <w:b/>
              </w:rPr>
            </w:pPr>
            <w:r w:rsidRPr="001E4C31">
              <w:rPr>
                <w:rFonts w:cs="Arial"/>
                <w:b/>
              </w:rPr>
              <w:t>Second Baseline Period Gross Measure Cost (EUL – RUL)</w:t>
            </w:r>
          </w:p>
        </w:tc>
      </w:tr>
      <w:tr w:rsidR="009B1863" w:rsidRPr="00104A00" w:rsidTr="001E4C31">
        <w:trPr>
          <w:trHeight w:val="170"/>
        </w:trPr>
        <w:tc>
          <w:tcPr>
            <w:tcW w:w="1964" w:type="dxa"/>
            <w:shd w:val="pct20" w:color="000000" w:fill="FFFFFF"/>
            <w:noWrap/>
            <w:vAlign w:val="bottom"/>
          </w:tcPr>
          <w:p w:rsidR="00B16BE4" w:rsidRPr="001E4C31" w:rsidRDefault="00B16BE4" w:rsidP="001E4C31">
            <w:pPr>
              <w:jc w:val="center"/>
              <w:rPr>
                <w:rFonts w:cs="Arial"/>
                <w:b/>
                <w:i/>
              </w:rPr>
            </w:pPr>
            <w:r w:rsidRPr="00ED7D3D">
              <w:rPr>
                <w:rFonts w:cs="Arial"/>
                <w:b/>
                <w:i/>
              </w:rPr>
              <w:t>N</w:t>
            </w:r>
            <w:r w:rsidR="00ED7D3D">
              <w:rPr>
                <w:rFonts w:cs="Arial"/>
                <w:b/>
                <w:i/>
              </w:rPr>
              <w:t>C (new construction)</w:t>
            </w:r>
          </w:p>
        </w:tc>
        <w:tc>
          <w:tcPr>
            <w:tcW w:w="1202" w:type="dxa"/>
            <w:shd w:val="pct20"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rsidR="00B16BE4" w:rsidRPr="001E4C31" w:rsidRDefault="00B16BE4" w:rsidP="001E4C31">
            <w:pPr>
              <w:jc w:val="center"/>
              <w:rPr>
                <w:rFonts w:cs="Arial"/>
                <w:sz w:val="20"/>
                <w:szCs w:val="20"/>
              </w:rPr>
            </w:pPr>
            <w:r w:rsidRPr="001E4C31">
              <w:rPr>
                <w:rFonts w:cs="Arial"/>
                <w:sz w:val="20"/>
                <w:szCs w:val="20"/>
              </w:rPr>
              <w:t>N/A</w:t>
            </w:r>
          </w:p>
        </w:tc>
      </w:tr>
      <w:tr w:rsidR="009B1863" w:rsidRPr="00104A00" w:rsidTr="001E4C31">
        <w:trPr>
          <w:trHeight w:val="170"/>
        </w:trPr>
        <w:tc>
          <w:tcPr>
            <w:tcW w:w="1964" w:type="dxa"/>
            <w:shd w:val="pct5" w:color="000000" w:fill="FFFFFF"/>
            <w:noWrap/>
            <w:vAlign w:val="bottom"/>
          </w:tcPr>
          <w:p w:rsidR="00B16BE4" w:rsidRPr="001E4C31" w:rsidRDefault="00B16BE4" w:rsidP="001E4C31">
            <w:pPr>
              <w:jc w:val="center"/>
              <w:rPr>
                <w:rFonts w:cs="Arial"/>
                <w:b/>
                <w:i/>
              </w:rPr>
            </w:pPr>
            <w:r w:rsidRPr="001E4C31">
              <w:rPr>
                <w:rFonts w:cs="Arial"/>
                <w:b/>
                <w:i/>
              </w:rPr>
              <w:t>ROB</w:t>
            </w:r>
            <w:r w:rsidR="0051797E">
              <w:rPr>
                <w:rFonts w:cs="Arial"/>
                <w:b/>
                <w:i/>
              </w:rPr>
              <w:t xml:space="preserve"> </w:t>
            </w:r>
            <w:r w:rsidR="00B44D59" w:rsidRPr="001E4C31">
              <w:rPr>
                <w:rFonts w:cs="Arial"/>
                <w:b/>
                <w:i/>
              </w:rPr>
              <w:t>(replace on burnout)</w:t>
            </w:r>
          </w:p>
        </w:tc>
        <w:tc>
          <w:tcPr>
            <w:tcW w:w="1202" w:type="dxa"/>
            <w:shd w:val="pct5"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rsidR="00B16BE4" w:rsidRPr="001E4C31" w:rsidRDefault="00B16BE4" w:rsidP="001E4C31">
            <w:pPr>
              <w:jc w:val="center"/>
              <w:rPr>
                <w:rFonts w:cs="Arial"/>
                <w:sz w:val="20"/>
                <w:szCs w:val="20"/>
              </w:rPr>
            </w:pPr>
            <w:r w:rsidRPr="001E4C31">
              <w:rPr>
                <w:rFonts w:cs="Arial"/>
                <w:sz w:val="20"/>
                <w:szCs w:val="20"/>
              </w:rPr>
              <w:t>N/A</w:t>
            </w:r>
          </w:p>
        </w:tc>
      </w:tr>
      <w:tr w:rsidR="009B1863" w:rsidRPr="00104A00" w:rsidTr="001E4C31">
        <w:trPr>
          <w:trHeight w:val="255"/>
        </w:trPr>
        <w:tc>
          <w:tcPr>
            <w:tcW w:w="1964" w:type="dxa"/>
            <w:shd w:val="pct20" w:color="000000" w:fill="FFFFFF"/>
            <w:noWrap/>
            <w:vAlign w:val="bottom"/>
          </w:tcPr>
          <w:p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RUL/</w:t>
            </w:r>
          </w:p>
          <w:p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bl>
    <w:p w:rsidR="00D84C4F" w:rsidRPr="00B16BE4" w:rsidRDefault="00D84C4F" w:rsidP="00D84C4F">
      <w:bookmarkStart w:id="106" w:name="_Toc324318372"/>
      <w:bookmarkStart w:id="107" w:name="_Toc324340501"/>
    </w:p>
    <w:p w:rsidR="001B242B" w:rsidRPr="00F55847" w:rsidRDefault="00C069A2" w:rsidP="00D20486">
      <w:pPr>
        <w:pStyle w:val="Heading2"/>
        <w:keepNext w:val="0"/>
      </w:pPr>
      <w:bookmarkStart w:id="108" w:name="_Toc476228499"/>
      <w:r>
        <w:t>4.1 Base Case</w:t>
      </w:r>
      <w:r w:rsidR="00C221D5">
        <w:t>(</w:t>
      </w:r>
      <w:r>
        <w:t>s</w:t>
      </w:r>
      <w:r w:rsidR="00C221D5">
        <w:t>)</w:t>
      </w:r>
      <w:r>
        <w:t xml:space="preserve"> Costs</w:t>
      </w:r>
      <w:bookmarkEnd w:id="105"/>
      <w:bookmarkEnd w:id="106"/>
      <w:bookmarkEnd w:id="107"/>
      <w:bookmarkEnd w:id="108"/>
    </w:p>
    <w:p w:rsidR="00BD0D15" w:rsidRPr="00DD1C47" w:rsidRDefault="00B16BE4" w:rsidP="00AB2D9E">
      <w:pPr>
        <w:rPr>
          <w:rFonts w:cs="Arial"/>
          <w:sz w:val="20"/>
          <w:szCs w:val="20"/>
        </w:rPr>
      </w:pPr>
      <w:r w:rsidRPr="00B16BE4">
        <w:rPr>
          <w:rFonts w:cs="Arial"/>
          <w:sz w:val="20"/>
          <w:szCs w:val="20"/>
        </w:rPr>
        <w:t xml:space="preserve">The following </w:t>
      </w:r>
      <w:r w:rsidR="002E6162">
        <w:rPr>
          <w:rFonts w:cs="Arial"/>
          <w:sz w:val="20"/>
          <w:szCs w:val="20"/>
        </w:rPr>
        <w:t>Measure Application Type</w:t>
      </w:r>
      <w:r w:rsidRPr="005479CB">
        <w:rPr>
          <w:rFonts w:cs="Arial"/>
          <w:sz w:val="20"/>
          <w:szCs w:val="20"/>
        </w:rPr>
        <w:t xml:space="preserve"> is</w:t>
      </w:r>
      <w:r>
        <w:rPr>
          <w:rFonts w:cs="Arial"/>
          <w:sz w:val="20"/>
          <w:szCs w:val="20"/>
        </w:rPr>
        <w:t xml:space="preserve"> appropriate to </w:t>
      </w:r>
      <w:r w:rsidRPr="00B06452">
        <w:rPr>
          <w:rFonts w:cs="Arial"/>
          <w:sz w:val="20"/>
          <w:szCs w:val="20"/>
        </w:rPr>
        <w:t>this</w:t>
      </w:r>
      <w:r w:rsidR="00B06452">
        <w:rPr>
          <w:rFonts w:cs="Arial"/>
          <w:sz w:val="20"/>
          <w:szCs w:val="20"/>
        </w:rPr>
        <w:t xml:space="preserve"> program</w:t>
      </w:r>
      <w:r>
        <w:rPr>
          <w:rFonts w:cs="Arial"/>
          <w:sz w:val="20"/>
          <w:szCs w:val="20"/>
        </w:rPr>
        <w:t xml:space="preserve">. </w:t>
      </w:r>
      <w:r w:rsidR="00DD1C47" w:rsidRPr="00DD1C47">
        <w:rPr>
          <w:rFonts w:cs="Arial"/>
          <w:sz w:val="20"/>
          <w:szCs w:val="20"/>
        </w:rPr>
        <w:t>The</w:t>
      </w:r>
      <w:r w:rsidR="00BD0D15" w:rsidRPr="00DD1C47">
        <w:rPr>
          <w:rFonts w:cs="Arial"/>
          <w:sz w:val="20"/>
          <w:szCs w:val="20"/>
        </w:rPr>
        <w:t xml:space="preserve"> Base Case Costs are:</w:t>
      </w:r>
    </w:p>
    <w:p w:rsidR="00BD0D15" w:rsidRDefault="00BD0D15" w:rsidP="00AB2D9E">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rsidTr="00A01631">
        <w:tc>
          <w:tcPr>
            <w:tcW w:w="1028" w:type="dxa"/>
            <w:shd w:val="clear" w:color="auto" w:fill="auto"/>
          </w:tcPr>
          <w:p w:rsidR="00DD1C47" w:rsidRPr="00A01631" w:rsidRDefault="00DD1C47" w:rsidP="00AB2D9E">
            <w:pPr>
              <w:rPr>
                <w:rFonts w:cs="Arial"/>
                <w:b/>
                <w:i/>
                <w:sz w:val="20"/>
                <w:szCs w:val="20"/>
              </w:rPr>
            </w:pPr>
            <w:r w:rsidRPr="00A01631">
              <w:rPr>
                <w:rFonts w:cs="Arial"/>
                <w:b/>
                <w:i/>
                <w:sz w:val="20"/>
                <w:szCs w:val="20"/>
              </w:rPr>
              <w:t>Measure Code</w:t>
            </w:r>
          </w:p>
        </w:tc>
        <w:tc>
          <w:tcPr>
            <w:tcW w:w="1420" w:type="dxa"/>
            <w:shd w:val="clear" w:color="auto" w:fill="auto"/>
          </w:tcPr>
          <w:p w:rsidR="00DD1C47" w:rsidRPr="00A01631" w:rsidRDefault="003541A6" w:rsidP="00AB2D9E">
            <w:pPr>
              <w:rPr>
                <w:rFonts w:cs="Arial"/>
                <w:b/>
                <w:sz w:val="20"/>
                <w:szCs w:val="20"/>
              </w:rPr>
            </w:pPr>
            <w:r>
              <w:rPr>
                <w:rFonts w:cs="Arial"/>
                <w:b/>
                <w:sz w:val="20"/>
                <w:szCs w:val="20"/>
              </w:rPr>
              <w:t>Measure Application Type</w:t>
            </w:r>
          </w:p>
        </w:tc>
        <w:tc>
          <w:tcPr>
            <w:tcW w:w="1620" w:type="dxa"/>
            <w:shd w:val="clear" w:color="auto" w:fill="auto"/>
          </w:tcPr>
          <w:p w:rsidR="00DD1C47" w:rsidRDefault="00DD1C47" w:rsidP="00AB2D9E">
            <w:pPr>
              <w:rPr>
                <w:rFonts w:cs="Arial"/>
                <w:b/>
                <w:sz w:val="20"/>
                <w:szCs w:val="20"/>
              </w:rPr>
            </w:pPr>
            <w:r w:rsidRPr="00A01631">
              <w:rPr>
                <w:rFonts w:cs="Arial"/>
                <w:b/>
                <w:sz w:val="20"/>
                <w:szCs w:val="20"/>
              </w:rPr>
              <w:t>Baseline</w:t>
            </w:r>
          </w:p>
          <w:p w:rsidR="00B06452" w:rsidRPr="00B06452" w:rsidRDefault="00B06452" w:rsidP="00B06452">
            <w:pPr>
              <w:rPr>
                <w:rFonts w:cs="Arial"/>
                <w:b/>
                <w:i/>
                <w:sz w:val="18"/>
                <w:szCs w:val="18"/>
              </w:rPr>
            </w:pPr>
            <w:r w:rsidRPr="00B06452">
              <w:rPr>
                <w:rFonts w:cs="Arial"/>
                <w:b/>
                <w:i/>
                <w:sz w:val="18"/>
                <w:szCs w:val="18"/>
              </w:rPr>
              <w:t>(Control Group)</w:t>
            </w:r>
          </w:p>
        </w:tc>
        <w:tc>
          <w:tcPr>
            <w:tcW w:w="1440" w:type="dxa"/>
            <w:shd w:val="clear" w:color="auto" w:fill="auto"/>
          </w:tcPr>
          <w:p w:rsidR="00DD1C47" w:rsidRPr="00A01631" w:rsidRDefault="00DD1C47" w:rsidP="00AB2D9E">
            <w:pPr>
              <w:rPr>
                <w:rFonts w:cs="Arial"/>
                <w:b/>
                <w:sz w:val="20"/>
                <w:szCs w:val="20"/>
              </w:rPr>
            </w:pPr>
            <w:r w:rsidRPr="00A01631">
              <w:rPr>
                <w:rFonts w:cs="Arial"/>
                <w:b/>
                <w:sz w:val="20"/>
                <w:szCs w:val="20"/>
              </w:rPr>
              <w:t>Equipment Cost</w:t>
            </w:r>
          </w:p>
        </w:tc>
        <w:tc>
          <w:tcPr>
            <w:tcW w:w="1341" w:type="dxa"/>
            <w:shd w:val="clear" w:color="auto" w:fill="auto"/>
          </w:tcPr>
          <w:p w:rsidR="00DD1C47" w:rsidRPr="00A01631" w:rsidRDefault="00DD1C47" w:rsidP="00AB2D9E">
            <w:pPr>
              <w:rPr>
                <w:rFonts w:cs="Arial"/>
                <w:b/>
                <w:sz w:val="20"/>
                <w:szCs w:val="20"/>
              </w:rPr>
            </w:pPr>
            <w:r w:rsidRPr="00A01631">
              <w:rPr>
                <w:rFonts w:cs="Arial"/>
                <w:b/>
                <w:sz w:val="20"/>
                <w:szCs w:val="20"/>
              </w:rPr>
              <w:t>Labor / Installation Cost</w:t>
            </w:r>
          </w:p>
        </w:tc>
        <w:tc>
          <w:tcPr>
            <w:tcW w:w="1513" w:type="dxa"/>
            <w:shd w:val="clear" w:color="auto" w:fill="auto"/>
          </w:tcPr>
          <w:p w:rsidR="00DD1C47" w:rsidRPr="00A01631" w:rsidRDefault="00DD1C47" w:rsidP="00AB2D9E">
            <w:pPr>
              <w:rPr>
                <w:rFonts w:cs="Arial"/>
                <w:b/>
                <w:sz w:val="20"/>
                <w:szCs w:val="20"/>
              </w:rPr>
            </w:pPr>
            <w:r w:rsidRPr="00A01631">
              <w:rPr>
                <w:rFonts w:cs="Arial"/>
                <w:b/>
                <w:sz w:val="20"/>
                <w:szCs w:val="20"/>
              </w:rPr>
              <w:t>Maintenance / Other Cost</w:t>
            </w:r>
          </w:p>
        </w:tc>
        <w:tc>
          <w:tcPr>
            <w:tcW w:w="1214" w:type="dxa"/>
            <w:shd w:val="clear" w:color="auto" w:fill="auto"/>
          </w:tcPr>
          <w:p w:rsidR="00DD1C47" w:rsidRPr="00A01631" w:rsidRDefault="00DD1C47" w:rsidP="00AB2D9E">
            <w:pPr>
              <w:rPr>
                <w:rFonts w:cs="Arial"/>
                <w:b/>
                <w:sz w:val="20"/>
                <w:szCs w:val="20"/>
              </w:rPr>
            </w:pPr>
            <w:r w:rsidRPr="00A01631">
              <w:rPr>
                <w:rFonts w:cs="Arial"/>
                <w:b/>
                <w:sz w:val="20"/>
                <w:szCs w:val="20"/>
              </w:rPr>
              <w:t>Total Base Case Cost</w:t>
            </w:r>
          </w:p>
        </w:tc>
      </w:tr>
      <w:tr w:rsidR="00DD1C47" w:rsidRPr="00A01631" w:rsidTr="00A01631">
        <w:tc>
          <w:tcPr>
            <w:tcW w:w="1028" w:type="dxa"/>
            <w:shd w:val="clear" w:color="auto" w:fill="auto"/>
          </w:tcPr>
          <w:p w:rsidR="00DD1C47" w:rsidRPr="00A01631" w:rsidRDefault="009B46A6" w:rsidP="00AB2D9E">
            <w:pPr>
              <w:rPr>
                <w:rFonts w:cs="Arial"/>
                <w:i/>
                <w:sz w:val="20"/>
                <w:szCs w:val="20"/>
              </w:rPr>
            </w:pPr>
            <w:r>
              <w:rPr>
                <w:rFonts w:cs="Arial"/>
                <w:i/>
                <w:sz w:val="20"/>
                <w:szCs w:val="20"/>
              </w:rPr>
              <w:t>All</w:t>
            </w:r>
          </w:p>
        </w:tc>
        <w:tc>
          <w:tcPr>
            <w:tcW w:w="1420" w:type="dxa"/>
            <w:shd w:val="clear" w:color="auto" w:fill="auto"/>
          </w:tcPr>
          <w:p w:rsidR="00DD1C47" w:rsidRPr="00A01631" w:rsidRDefault="00430775" w:rsidP="00AB2D9E">
            <w:pPr>
              <w:rPr>
                <w:rFonts w:cs="Arial"/>
                <w:i/>
                <w:sz w:val="20"/>
                <w:szCs w:val="20"/>
              </w:rPr>
            </w:pPr>
            <w:r w:rsidRPr="005479CB">
              <w:rPr>
                <w:rFonts w:cs="Arial"/>
                <w:sz w:val="20"/>
                <w:szCs w:val="20"/>
              </w:rPr>
              <w:t>ROB</w:t>
            </w:r>
          </w:p>
        </w:tc>
        <w:tc>
          <w:tcPr>
            <w:tcW w:w="1620" w:type="dxa"/>
            <w:shd w:val="clear" w:color="auto" w:fill="auto"/>
          </w:tcPr>
          <w:p w:rsidR="00DD1C47" w:rsidRPr="00A01631" w:rsidRDefault="009B46A6" w:rsidP="00AB2D9E">
            <w:pPr>
              <w:rPr>
                <w:rFonts w:cs="Arial"/>
                <w:i/>
                <w:sz w:val="20"/>
                <w:szCs w:val="20"/>
              </w:rPr>
            </w:pPr>
            <w:r>
              <w:rPr>
                <w:rFonts w:cs="Arial"/>
                <w:i/>
                <w:sz w:val="20"/>
                <w:szCs w:val="20"/>
              </w:rPr>
              <w:t xml:space="preserve">Existing Customer Behavior </w:t>
            </w:r>
          </w:p>
        </w:tc>
        <w:tc>
          <w:tcPr>
            <w:tcW w:w="1440" w:type="dxa"/>
            <w:shd w:val="clear" w:color="auto" w:fill="auto"/>
          </w:tcPr>
          <w:p w:rsidR="00DD1C47" w:rsidRPr="00A01631" w:rsidRDefault="009B46A6" w:rsidP="00AB2D9E">
            <w:pPr>
              <w:rPr>
                <w:rFonts w:cs="Arial"/>
                <w:i/>
                <w:sz w:val="20"/>
                <w:szCs w:val="20"/>
              </w:rPr>
            </w:pPr>
            <w:r>
              <w:rPr>
                <w:rFonts w:cs="Arial"/>
                <w:i/>
                <w:sz w:val="20"/>
                <w:szCs w:val="20"/>
              </w:rPr>
              <w:t>0</w:t>
            </w:r>
          </w:p>
        </w:tc>
        <w:tc>
          <w:tcPr>
            <w:tcW w:w="1341" w:type="dxa"/>
            <w:shd w:val="clear" w:color="auto" w:fill="auto"/>
          </w:tcPr>
          <w:p w:rsidR="00DD1C47" w:rsidRPr="00A01631" w:rsidRDefault="009B46A6" w:rsidP="00AB2D9E">
            <w:pPr>
              <w:rPr>
                <w:rFonts w:cs="Arial"/>
                <w:i/>
                <w:sz w:val="20"/>
                <w:szCs w:val="20"/>
              </w:rPr>
            </w:pPr>
            <w:r>
              <w:rPr>
                <w:rFonts w:cs="Arial"/>
                <w:i/>
                <w:sz w:val="20"/>
                <w:szCs w:val="20"/>
              </w:rPr>
              <w:t>0</w:t>
            </w:r>
          </w:p>
        </w:tc>
        <w:tc>
          <w:tcPr>
            <w:tcW w:w="1513" w:type="dxa"/>
            <w:shd w:val="clear" w:color="auto" w:fill="auto"/>
          </w:tcPr>
          <w:p w:rsidR="00DD1C47" w:rsidRPr="00A01631" w:rsidRDefault="009B46A6" w:rsidP="00AB2D9E">
            <w:pPr>
              <w:rPr>
                <w:rFonts w:cs="Arial"/>
                <w:i/>
                <w:sz w:val="20"/>
                <w:szCs w:val="20"/>
              </w:rPr>
            </w:pPr>
            <w:r>
              <w:rPr>
                <w:rFonts w:cs="Arial"/>
                <w:i/>
                <w:sz w:val="20"/>
                <w:szCs w:val="20"/>
              </w:rPr>
              <w:t>0</w:t>
            </w:r>
          </w:p>
        </w:tc>
        <w:tc>
          <w:tcPr>
            <w:tcW w:w="1214" w:type="dxa"/>
            <w:shd w:val="clear" w:color="auto" w:fill="auto"/>
          </w:tcPr>
          <w:p w:rsidR="00DD1C47" w:rsidRPr="00A01631" w:rsidRDefault="009B46A6" w:rsidP="00AB2D9E">
            <w:pPr>
              <w:rPr>
                <w:rFonts w:cs="Arial"/>
                <w:i/>
                <w:sz w:val="20"/>
                <w:szCs w:val="20"/>
              </w:rPr>
            </w:pPr>
            <w:r>
              <w:rPr>
                <w:rFonts w:cs="Arial"/>
                <w:i/>
                <w:sz w:val="20"/>
                <w:szCs w:val="20"/>
              </w:rPr>
              <w:t>0</w:t>
            </w:r>
          </w:p>
        </w:tc>
      </w:tr>
    </w:tbl>
    <w:p w:rsidR="00BD0D15" w:rsidRPr="00DD1C47" w:rsidRDefault="00DD1C47" w:rsidP="00AB2D9E">
      <w:pPr>
        <w:rPr>
          <w:rFonts w:cs="Arial"/>
          <w:i/>
          <w:sz w:val="20"/>
          <w:szCs w:val="20"/>
        </w:rPr>
      </w:pPr>
      <w:r w:rsidRPr="00DD1C47">
        <w:rPr>
          <w:rFonts w:cs="Arial"/>
          <w:i/>
          <w:sz w:val="20"/>
          <w:szCs w:val="20"/>
        </w:rPr>
        <w:t>All costs are noted as $ per measure unit</w:t>
      </w:r>
    </w:p>
    <w:p w:rsidR="00BD0D15" w:rsidRDefault="00BD0D15" w:rsidP="00AB2D9E">
      <w:pPr>
        <w:rPr>
          <w:i/>
        </w:rPr>
      </w:pPr>
    </w:p>
    <w:p w:rsidR="00C069A2" w:rsidRDefault="00663A00" w:rsidP="002E0043">
      <w:pPr>
        <w:pStyle w:val="Heading2"/>
        <w:keepNext w:val="0"/>
      </w:pPr>
      <w:bookmarkStart w:id="109" w:name="_Toc304800219"/>
      <w:bookmarkStart w:id="110" w:name="_Toc324318373"/>
      <w:bookmarkStart w:id="111" w:name="_Toc324340502"/>
      <w:bookmarkStart w:id="112" w:name="_Toc476228500"/>
      <w:r>
        <w:t>4.2 Meas</w:t>
      </w:r>
      <w:r w:rsidR="00C069A2">
        <w:t xml:space="preserve">ure </w:t>
      </w:r>
      <w:r w:rsidR="00930877">
        <w:t xml:space="preserve">Case </w:t>
      </w:r>
      <w:r w:rsidR="00C069A2">
        <w:t>Costs</w:t>
      </w:r>
      <w:bookmarkEnd w:id="109"/>
      <w:bookmarkEnd w:id="110"/>
      <w:bookmarkEnd w:id="111"/>
      <w:bookmarkEnd w:id="112"/>
      <w:r w:rsidR="00930877">
        <w:t xml:space="preserve"> </w:t>
      </w:r>
    </w:p>
    <w:p w:rsidR="00DD1C47" w:rsidRPr="00B06452" w:rsidRDefault="00DD1C47" w:rsidP="00DD1C47">
      <w:pPr>
        <w:rPr>
          <w:rFonts w:cs="Arial"/>
          <w:sz w:val="20"/>
          <w:szCs w:val="20"/>
        </w:rPr>
      </w:pPr>
      <w:r w:rsidRPr="00B16BE4">
        <w:rPr>
          <w:rFonts w:cs="Arial"/>
          <w:sz w:val="20"/>
          <w:szCs w:val="20"/>
        </w:rPr>
        <w:t xml:space="preserve">The following </w:t>
      </w:r>
      <w:r w:rsidR="002E6162">
        <w:rPr>
          <w:rFonts w:cs="Arial"/>
          <w:sz w:val="20"/>
          <w:szCs w:val="20"/>
        </w:rPr>
        <w:t>Measure Application Type</w:t>
      </w:r>
      <w:r w:rsidRPr="00195F2F">
        <w:rPr>
          <w:rFonts w:cs="Arial"/>
          <w:sz w:val="20"/>
          <w:szCs w:val="20"/>
        </w:rPr>
        <w:t xml:space="preserve"> is</w:t>
      </w:r>
      <w:r>
        <w:rPr>
          <w:rFonts w:cs="Arial"/>
          <w:sz w:val="20"/>
          <w:szCs w:val="20"/>
        </w:rPr>
        <w:t xml:space="preserve"> appropriate to </w:t>
      </w:r>
      <w:r w:rsidRPr="00B06452">
        <w:rPr>
          <w:rFonts w:cs="Arial"/>
          <w:sz w:val="20"/>
          <w:szCs w:val="20"/>
        </w:rPr>
        <w:t>this</w:t>
      </w:r>
      <w:r w:rsidR="00B06452" w:rsidRPr="00B06452">
        <w:rPr>
          <w:rFonts w:cs="Arial"/>
          <w:sz w:val="20"/>
          <w:szCs w:val="20"/>
        </w:rPr>
        <w:t xml:space="preserve"> program</w:t>
      </w:r>
      <w:r w:rsidRPr="00B06452">
        <w:rPr>
          <w:rFonts w:cs="Arial"/>
          <w:sz w:val="20"/>
          <w:szCs w:val="20"/>
        </w:rPr>
        <w:t>. The Measure Case Costs are:</w:t>
      </w:r>
    </w:p>
    <w:p w:rsidR="00DD1C47" w:rsidRPr="00EE0F69" w:rsidRDefault="00DD1C47" w:rsidP="00DD1C47">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710"/>
        <w:gridCol w:w="1350"/>
        <w:gridCol w:w="1341"/>
        <w:gridCol w:w="1513"/>
        <w:gridCol w:w="1214"/>
      </w:tblGrid>
      <w:tr w:rsidR="00DD1C47" w:rsidRPr="00B06452" w:rsidTr="00B06452">
        <w:tc>
          <w:tcPr>
            <w:tcW w:w="1028" w:type="dxa"/>
            <w:shd w:val="clear" w:color="auto" w:fill="auto"/>
          </w:tcPr>
          <w:p w:rsidR="00DD1C47" w:rsidRPr="00B06452" w:rsidRDefault="00DD1C47" w:rsidP="003F57BD">
            <w:pPr>
              <w:rPr>
                <w:rFonts w:cs="Arial"/>
                <w:b/>
                <w:i/>
                <w:sz w:val="20"/>
                <w:szCs w:val="20"/>
              </w:rPr>
            </w:pPr>
            <w:r w:rsidRPr="00B06452">
              <w:rPr>
                <w:rFonts w:cs="Arial"/>
                <w:b/>
                <w:i/>
                <w:sz w:val="20"/>
                <w:szCs w:val="20"/>
              </w:rPr>
              <w:t>Measure Code</w:t>
            </w:r>
          </w:p>
        </w:tc>
        <w:tc>
          <w:tcPr>
            <w:tcW w:w="1420" w:type="dxa"/>
            <w:shd w:val="clear" w:color="auto" w:fill="auto"/>
          </w:tcPr>
          <w:p w:rsidR="00DD1C47" w:rsidRPr="00B06452" w:rsidRDefault="003541A6" w:rsidP="003541A6">
            <w:pPr>
              <w:rPr>
                <w:rFonts w:cs="Arial"/>
                <w:b/>
                <w:sz w:val="20"/>
                <w:szCs w:val="20"/>
              </w:rPr>
            </w:pPr>
            <w:r w:rsidRPr="00B06452">
              <w:rPr>
                <w:rFonts w:cs="Arial"/>
                <w:b/>
                <w:sz w:val="20"/>
                <w:szCs w:val="20"/>
              </w:rPr>
              <w:t>Measure Application Type</w:t>
            </w:r>
          </w:p>
        </w:tc>
        <w:tc>
          <w:tcPr>
            <w:tcW w:w="1710" w:type="dxa"/>
            <w:shd w:val="clear" w:color="auto" w:fill="auto"/>
          </w:tcPr>
          <w:p w:rsidR="00DD1C47" w:rsidRDefault="00B06452" w:rsidP="003F57BD">
            <w:pPr>
              <w:rPr>
                <w:rFonts w:cs="Arial"/>
                <w:b/>
                <w:sz w:val="20"/>
                <w:szCs w:val="20"/>
              </w:rPr>
            </w:pPr>
            <w:r>
              <w:rPr>
                <w:rFonts w:cs="Arial"/>
                <w:b/>
                <w:sz w:val="20"/>
                <w:szCs w:val="20"/>
              </w:rPr>
              <w:t>Measure Usage</w:t>
            </w:r>
          </w:p>
          <w:p w:rsidR="00B06452" w:rsidRPr="00B06452" w:rsidRDefault="00B06452" w:rsidP="003F57BD">
            <w:pPr>
              <w:rPr>
                <w:rFonts w:cs="Arial"/>
                <w:b/>
                <w:sz w:val="18"/>
                <w:szCs w:val="18"/>
              </w:rPr>
            </w:pPr>
            <w:r w:rsidRPr="00B06452">
              <w:rPr>
                <w:rFonts w:cs="Arial"/>
                <w:b/>
                <w:sz w:val="18"/>
                <w:szCs w:val="18"/>
              </w:rPr>
              <w:t>(Treatment Group)</w:t>
            </w:r>
          </w:p>
        </w:tc>
        <w:tc>
          <w:tcPr>
            <w:tcW w:w="1350" w:type="dxa"/>
            <w:shd w:val="clear" w:color="auto" w:fill="auto"/>
          </w:tcPr>
          <w:p w:rsidR="00DD1C47" w:rsidRPr="00B06452" w:rsidRDefault="00DD1C47" w:rsidP="003F57BD">
            <w:pPr>
              <w:rPr>
                <w:rFonts w:cs="Arial"/>
                <w:b/>
                <w:sz w:val="20"/>
                <w:szCs w:val="20"/>
              </w:rPr>
            </w:pPr>
            <w:r w:rsidRPr="00B06452">
              <w:rPr>
                <w:rFonts w:cs="Arial"/>
                <w:b/>
                <w:sz w:val="20"/>
                <w:szCs w:val="20"/>
              </w:rPr>
              <w:t>Equipment Cost</w:t>
            </w:r>
          </w:p>
        </w:tc>
        <w:tc>
          <w:tcPr>
            <w:tcW w:w="1341" w:type="dxa"/>
            <w:shd w:val="clear" w:color="auto" w:fill="auto"/>
          </w:tcPr>
          <w:p w:rsidR="00DD1C47" w:rsidRPr="00B06452" w:rsidRDefault="00DD1C47" w:rsidP="003F57BD">
            <w:pPr>
              <w:rPr>
                <w:rFonts w:cs="Arial"/>
                <w:b/>
                <w:sz w:val="20"/>
                <w:szCs w:val="20"/>
              </w:rPr>
            </w:pPr>
            <w:r w:rsidRPr="00B06452">
              <w:rPr>
                <w:rFonts w:cs="Arial"/>
                <w:b/>
                <w:sz w:val="20"/>
                <w:szCs w:val="20"/>
              </w:rPr>
              <w:t>Labor / Installation Cost</w:t>
            </w:r>
          </w:p>
        </w:tc>
        <w:tc>
          <w:tcPr>
            <w:tcW w:w="1513" w:type="dxa"/>
            <w:shd w:val="clear" w:color="auto" w:fill="auto"/>
          </w:tcPr>
          <w:p w:rsidR="00DD1C47" w:rsidRPr="00B06452" w:rsidRDefault="00DD1C47" w:rsidP="003F57BD">
            <w:pPr>
              <w:rPr>
                <w:rFonts w:cs="Arial"/>
                <w:b/>
                <w:sz w:val="20"/>
                <w:szCs w:val="20"/>
              </w:rPr>
            </w:pPr>
            <w:r w:rsidRPr="00B06452">
              <w:rPr>
                <w:rFonts w:cs="Arial"/>
                <w:b/>
                <w:sz w:val="20"/>
                <w:szCs w:val="20"/>
              </w:rPr>
              <w:t>Maintenance / Other Cost</w:t>
            </w:r>
          </w:p>
        </w:tc>
        <w:tc>
          <w:tcPr>
            <w:tcW w:w="1214" w:type="dxa"/>
            <w:shd w:val="clear" w:color="auto" w:fill="auto"/>
          </w:tcPr>
          <w:p w:rsidR="00DD1C47" w:rsidRPr="00B06452" w:rsidRDefault="00DD1C47" w:rsidP="003F57BD">
            <w:pPr>
              <w:rPr>
                <w:rFonts w:cs="Arial"/>
                <w:b/>
                <w:sz w:val="20"/>
                <w:szCs w:val="20"/>
              </w:rPr>
            </w:pPr>
            <w:r w:rsidRPr="00B06452">
              <w:rPr>
                <w:rFonts w:cs="Arial"/>
                <w:b/>
                <w:sz w:val="20"/>
                <w:szCs w:val="20"/>
              </w:rPr>
              <w:t>Total Measure Case Cost</w:t>
            </w:r>
          </w:p>
        </w:tc>
      </w:tr>
      <w:tr w:rsidR="00DD1C47" w:rsidRPr="00A01631" w:rsidTr="00B06452">
        <w:tc>
          <w:tcPr>
            <w:tcW w:w="1028" w:type="dxa"/>
            <w:shd w:val="clear" w:color="auto" w:fill="auto"/>
          </w:tcPr>
          <w:p w:rsidR="00DD1C47" w:rsidRPr="00EE0F69" w:rsidRDefault="00DD1C47" w:rsidP="003F57BD">
            <w:pPr>
              <w:rPr>
                <w:rFonts w:cs="Arial"/>
                <w:i/>
                <w:sz w:val="20"/>
                <w:szCs w:val="20"/>
              </w:rPr>
            </w:pPr>
          </w:p>
        </w:tc>
        <w:tc>
          <w:tcPr>
            <w:tcW w:w="1420" w:type="dxa"/>
            <w:shd w:val="clear" w:color="auto" w:fill="auto"/>
          </w:tcPr>
          <w:p w:rsidR="00DD1C47" w:rsidRPr="00B06452" w:rsidRDefault="006B7EDD" w:rsidP="003F57BD">
            <w:pPr>
              <w:rPr>
                <w:rFonts w:cs="Arial"/>
                <w:i/>
                <w:sz w:val="20"/>
                <w:szCs w:val="20"/>
              </w:rPr>
            </w:pPr>
            <w:r w:rsidRPr="00B06452">
              <w:rPr>
                <w:rFonts w:cs="Arial"/>
                <w:sz w:val="20"/>
                <w:szCs w:val="20"/>
              </w:rPr>
              <w:t>ROB</w:t>
            </w:r>
          </w:p>
        </w:tc>
        <w:tc>
          <w:tcPr>
            <w:tcW w:w="1710" w:type="dxa"/>
            <w:shd w:val="clear" w:color="auto" w:fill="auto"/>
          </w:tcPr>
          <w:p w:rsidR="00DD1C47" w:rsidRPr="00A01631" w:rsidRDefault="009B46A6" w:rsidP="003F57BD">
            <w:pPr>
              <w:rPr>
                <w:rFonts w:cs="Arial"/>
                <w:i/>
                <w:sz w:val="20"/>
                <w:szCs w:val="20"/>
              </w:rPr>
            </w:pPr>
            <w:r w:rsidRPr="00B06452">
              <w:rPr>
                <w:rFonts w:cs="Arial"/>
                <w:i/>
                <w:sz w:val="20"/>
                <w:szCs w:val="20"/>
              </w:rPr>
              <w:t>Resulting Customer Behavior</w:t>
            </w:r>
          </w:p>
        </w:tc>
        <w:tc>
          <w:tcPr>
            <w:tcW w:w="1350" w:type="dxa"/>
            <w:shd w:val="clear" w:color="auto" w:fill="auto"/>
          </w:tcPr>
          <w:p w:rsidR="00DD1C47" w:rsidRPr="00A01631" w:rsidRDefault="00B06452" w:rsidP="003F57BD">
            <w:pPr>
              <w:rPr>
                <w:rFonts w:cs="Arial"/>
                <w:i/>
                <w:sz w:val="20"/>
                <w:szCs w:val="20"/>
              </w:rPr>
            </w:pPr>
            <w:r>
              <w:rPr>
                <w:rFonts w:cs="Arial"/>
                <w:i/>
                <w:sz w:val="20"/>
                <w:szCs w:val="20"/>
              </w:rPr>
              <w:t>0</w:t>
            </w:r>
          </w:p>
        </w:tc>
        <w:tc>
          <w:tcPr>
            <w:tcW w:w="1341" w:type="dxa"/>
            <w:shd w:val="clear" w:color="auto" w:fill="auto"/>
          </w:tcPr>
          <w:p w:rsidR="00DD1C47" w:rsidRPr="00A01631" w:rsidRDefault="00B06452" w:rsidP="003F57BD">
            <w:pPr>
              <w:rPr>
                <w:rFonts w:cs="Arial"/>
                <w:i/>
                <w:sz w:val="20"/>
                <w:szCs w:val="20"/>
              </w:rPr>
            </w:pPr>
            <w:r>
              <w:rPr>
                <w:rFonts w:cs="Arial"/>
                <w:i/>
                <w:sz w:val="20"/>
                <w:szCs w:val="20"/>
              </w:rPr>
              <w:t>0</w:t>
            </w:r>
          </w:p>
        </w:tc>
        <w:tc>
          <w:tcPr>
            <w:tcW w:w="1513" w:type="dxa"/>
            <w:shd w:val="clear" w:color="auto" w:fill="auto"/>
          </w:tcPr>
          <w:p w:rsidR="00DD1C47" w:rsidRPr="00A01631" w:rsidRDefault="00B06452" w:rsidP="003F57BD">
            <w:pPr>
              <w:rPr>
                <w:rFonts w:cs="Arial"/>
                <w:i/>
                <w:sz w:val="20"/>
                <w:szCs w:val="20"/>
              </w:rPr>
            </w:pPr>
            <w:r>
              <w:rPr>
                <w:rFonts w:cs="Arial"/>
                <w:i/>
                <w:sz w:val="20"/>
                <w:szCs w:val="20"/>
              </w:rPr>
              <w:t>0</w:t>
            </w:r>
          </w:p>
        </w:tc>
        <w:tc>
          <w:tcPr>
            <w:tcW w:w="1214" w:type="dxa"/>
            <w:shd w:val="clear" w:color="auto" w:fill="auto"/>
          </w:tcPr>
          <w:p w:rsidR="00DD1C47" w:rsidRPr="00A01631" w:rsidRDefault="00B06452" w:rsidP="003F57BD">
            <w:pPr>
              <w:rPr>
                <w:rFonts w:cs="Arial"/>
                <w:i/>
                <w:sz w:val="20"/>
                <w:szCs w:val="20"/>
              </w:rPr>
            </w:pPr>
            <w:r>
              <w:rPr>
                <w:rFonts w:cs="Arial"/>
                <w:i/>
                <w:sz w:val="20"/>
                <w:szCs w:val="20"/>
              </w:rPr>
              <w:t>0</w:t>
            </w:r>
          </w:p>
        </w:tc>
      </w:tr>
    </w:tbl>
    <w:p w:rsidR="00DD1C47" w:rsidRPr="00DD1C47" w:rsidRDefault="00DD1C47" w:rsidP="00DD1C47">
      <w:pPr>
        <w:rPr>
          <w:rFonts w:cs="Arial"/>
          <w:i/>
          <w:sz w:val="20"/>
          <w:szCs w:val="20"/>
        </w:rPr>
      </w:pPr>
      <w:r w:rsidRPr="00DD1C47">
        <w:rPr>
          <w:rFonts w:cs="Arial"/>
          <w:i/>
          <w:sz w:val="20"/>
          <w:szCs w:val="20"/>
        </w:rPr>
        <w:t>All costs</w:t>
      </w:r>
      <w:r w:rsidR="00A24434">
        <w:rPr>
          <w:rFonts w:cs="Arial"/>
          <w:i/>
          <w:sz w:val="20"/>
          <w:szCs w:val="20"/>
        </w:rPr>
        <w:t xml:space="preserve"> are noted as $ per measure unit</w:t>
      </w:r>
    </w:p>
    <w:p w:rsidR="0030550A" w:rsidRDefault="0030550A" w:rsidP="002E0043">
      <w:pPr>
        <w:pStyle w:val="Heading2"/>
        <w:keepNext w:val="0"/>
      </w:pPr>
      <w:bookmarkStart w:id="113" w:name="_Toc304800220"/>
      <w:bookmarkStart w:id="114" w:name="_Toc324318374"/>
      <w:bookmarkStart w:id="115" w:name="_Toc324340503"/>
      <w:bookmarkStart w:id="116" w:name="_Toc476228501"/>
      <w:r>
        <w:t>4.3 Incremental &amp; Full Measure Costs</w:t>
      </w:r>
      <w:bookmarkEnd w:id="113"/>
      <w:bookmarkEnd w:id="114"/>
      <w:bookmarkEnd w:id="115"/>
      <w:bookmarkEnd w:id="116"/>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rsidTr="0064609B">
        <w:trPr>
          <w:trHeight w:val="255"/>
        </w:trPr>
        <w:tc>
          <w:tcPr>
            <w:tcW w:w="1305" w:type="dxa"/>
            <w:shd w:val="clear" w:color="auto" w:fill="0D0D0D"/>
            <w:noWrap/>
            <w:vAlign w:val="bottom"/>
          </w:tcPr>
          <w:p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rsidR="003F57BD" w:rsidRPr="00623BA1" w:rsidRDefault="003F57BD" w:rsidP="00623BA1">
            <w:pPr>
              <w:jc w:val="center"/>
              <w:rPr>
                <w:rFonts w:cs="Arial"/>
                <w:b/>
                <w:sz w:val="20"/>
                <w:szCs w:val="20"/>
              </w:rPr>
            </w:pPr>
            <w:r w:rsidRPr="00623BA1">
              <w:rPr>
                <w:rFonts w:cs="Arial"/>
                <w:b/>
                <w:sz w:val="20"/>
                <w:szCs w:val="20"/>
              </w:rPr>
              <w:t>Gross Measure Cost</w:t>
            </w:r>
          </w:p>
          <w:p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rsidR="003F57BD" w:rsidRPr="00623BA1" w:rsidRDefault="003F57BD" w:rsidP="00623BA1">
            <w:pPr>
              <w:jc w:val="center"/>
              <w:rPr>
                <w:rFonts w:cs="Arial"/>
                <w:b/>
                <w:sz w:val="20"/>
                <w:szCs w:val="20"/>
              </w:rPr>
            </w:pPr>
            <w:r w:rsidRPr="00623BA1">
              <w:rPr>
                <w:rFonts w:cs="Arial"/>
                <w:b/>
                <w:sz w:val="20"/>
                <w:szCs w:val="20"/>
              </w:rPr>
              <w:t>Gross Measure Cost</w:t>
            </w:r>
          </w:p>
          <w:p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rsidR="003F57BD" w:rsidRPr="00623BA1" w:rsidRDefault="003F57BD" w:rsidP="00623BA1">
            <w:pPr>
              <w:jc w:val="center"/>
              <w:rPr>
                <w:rFonts w:cs="Arial"/>
                <w:b/>
                <w:sz w:val="20"/>
                <w:szCs w:val="20"/>
              </w:rPr>
            </w:pPr>
            <w:r w:rsidRPr="00623BA1">
              <w:rPr>
                <w:rFonts w:cs="Arial"/>
                <w:b/>
                <w:sz w:val="20"/>
                <w:szCs w:val="20"/>
              </w:rPr>
              <w:t>Incremental Measure Cost</w:t>
            </w:r>
          </w:p>
        </w:tc>
      </w:tr>
      <w:tr w:rsidR="003F57BD" w:rsidRPr="003F57BD" w:rsidTr="00F30878">
        <w:trPr>
          <w:trHeight w:val="170"/>
        </w:trPr>
        <w:tc>
          <w:tcPr>
            <w:tcW w:w="1305" w:type="dxa"/>
            <w:shd w:val="pct5" w:color="000000" w:fill="FFFFFF"/>
            <w:noWrap/>
            <w:vAlign w:val="bottom"/>
          </w:tcPr>
          <w:p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rsidR="009B1863" w:rsidRPr="00623BA1" w:rsidRDefault="003F57BD" w:rsidP="00623BA1">
            <w:pPr>
              <w:jc w:val="center"/>
              <w:rPr>
                <w:rFonts w:cs="Arial"/>
                <w:sz w:val="20"/>
                <w:szCs w:val="20"/>
              </w:rPr>
            </w:pPr>
            <w:r w:rsidRPr="00623BA1">
              <w:rPr>
                <w:rFonts w:cs="Arial"/>
                <w:sz w:val="20"/>
                <w:szCs w:val="20"/>
              </w:rPr>
              <w:t xml:space="preserve">Measure Equipment Cost </w:t>
            </w:r>
          </w:p>
          <w:p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rsidR="009B1863" w:rsidRPr="00623BA1" w:rsidRDefault="003F57BD" w:rsidP="00623BA1">
            <w:pPr>
              <w:jc w:val="center"/>
              <w:rPr>
                <w:rFonts w:cs="Arial"/>
                <w:sz w:val="20"/>
                <w:szCs w:val="20"/>
              </w:rPr>
            </w:pPr>
            <w:r w:rsidRPr="00623BA1">
              <w:rPr>
                <w:rFonts w:cs="Arial"/>
                <w:sz w:val="20"/>
                <w:szCs w:val="20"/>
              </w:rPr>
              <w:t xml:space="preserve">Measure Equipment Cost </w:t>
            </w:r>
          </w:p>
          <w:p w:rsidR="003F57BD" w:rsidRPr="00623BA1" w:rsidRDefault="003F57BD" w:rsidP="00623BA1">
            <w:pPr>
              <w:jc w:val="center"/>
              <w:rPr>
                <w:rFonts w:cs="Arial"/>
                <w:sz w:val="20"/>
                <w:szCs w:val="20"/>
              </w:rPr>
            </w:pPr>
            <w:r w:rsidRPr="00623BA1">
              <w:rPr>
                <w:rFonts w:cs="Arial"/>
                <w:sz w:val="20"/>
                <w:szCs w:val="20"/>
              </w:rPr>
              <w:t>– Base Case Equipment Cost</w:t>
            </w:r>
          </w:p>
        </w:tc>
      </w:tr>
    </w:tbl>
    <w:p w:rsidR="003F57BD" w:rsidRPr="003F57BD" w:rsidRDefault="003F57BD" w:rsidP="00663A00">
      <w:pPr>
        <w:rPr>
          <w:rFonts w:cs="Arial"/>
          <w:i/>
        </w:rPr>
      </w:pPr>
    </w:p>
    <w:p w:rsidR="001E4C31" w:rsidRPr="001E4C31" w:rsidRDefault="003F57BD" w:rsidP="001E4C31">
      <w:pPr>
        <w:pStyle w:val="Heading1"/>
        <w:rPr>
          <w:i/>
        </w:rPr>
      </w:pPr>
      <w:bookmarkStart w:id="117" w:name="_Toc324318375"/>
      <w:bookmarkStart w:id="118" w:name="_Toc324340504"/>
      <w:bookmarkStart w:id="119" w:name="_Toc476228502"/>
      <w:r w:rsidRPr="003F57BD">
        <w:rPr>
          <w:i/>
        </w:rPr>
        <w:lastRenderedPageBreak/>
        <w:t>4.3.1 Gross Measure Cost</w:t>
      </w:r>
      <w:bookmarkEnd w:id="117"/>
      <w:bookmarkEnd w:id="118"/>
      <w:bookmarkEnd w:id="119"/>
    </w:p>
    <w:p w:rsidR="003F57BD" w:rsidRPr="003F57BD" w:rsidRDefault="003F57BD" w:rsidP="003F57BD">
      <w:pPr>
        <w:rPr>
          <w:rFonts w:cs="Arial"/>
          <w:sz w:val="20"/>
          <w:szCs w:val="20"/>
        </w:rPr>
      </w:pPr>
      <w:r w:rsidRPr="003F57BD">
        <w:rPr>
          <w:rFonts w:cs="Arial"/>
          <w:sz w:val="20"/>
          <w:szCs w:val="20"/>
        </w:rPr>
        <w:t xml:space="preserve">Gross Measure Cost is the cost to install an energy efficient measure per the </w:t>
      </w:r>
      <w:r w:rsidR="00133C60">
        <w:rPr>
          <w:rFonts w:cs="Arial"/>
          <w:sz w:val="20"/>
          <w:szCs w:val="20"/>
        </w:rPr>
        <w:t xml:space="preserve">CPUC calculators. </w:t>
      </w:r>
      <w:r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Pr="003F57BD">
        <w:rPr>
          <w:rFonts w:cs="Arial"/>
          <w:sz w:val="20"/>
          <w:szCs w:val="20"/>
        </w:rPr>
        <w:t xml:space="preserve">different meaning depending on the </w:t>
      </w:r>
      <w:r w:rsidR="003541A6">
        <w:rPr>
          <w:rFonts w:cs="Arial"/>
          <w:sz w:val="20"/>
          <w:szCs w:val="20"/>
        </w:rPr>
        <w:t>Measure Application</w:t>
      </w:r>
      <w:r w:rsidRPr="003F57BD">
        <w:rPr>
          <w:rFonts w:cs="Arial"/>
          <w:sz w:val="20"/>
          <w:szCs w:val="20"/>
        </w:rPr>
        <w:t xml:space="preserve"> type.</w:t>
      </w:r>
      <w:r w:rsidR="00437BE1">
        <w:rPr>
          <w:rFonts w:cs="Arial"/>
          <w:sz w:val="20"/>
          <w:szCs w:val="20"/>
        </w:rPr>
        <w:t xml:space="preserve"> </w:t>
      </w:r>
    </w:p>
    <w:p w:rsidR="00F32479" w:rsidRDefault="00F32479" w:rsidP="00F32479">
      <w:pPr>
        <w:rPr>
          <w:rFonts w:cs="Arial"/>
          <w:sz w:val="20"/>
          <w:szCs w:val="20"/>
          <w:highlight w:val="yellow"/>
        </w:rPr>
      </w:pPr>
    </w:p>
    <w:p w:rsidR="00F32479" w:rsidRPr="00EE0F69" w:rsidRDefault="00F32479" w:rsidP="00F32479">
      <w:pPr>
        <w:rPr>
          <w:rFonts w:cs="Arial"/>
          <w:sz w:val="20"/>
          <w:szCs w:val="20"/>
        </w:rPr>
      </w:pPr>
      <w:r w:rsidRPr="00EE0F69">
        <w:rPr>
          <w:rFonts w:cs="Arial"/>
          <w:sz w:val="20"/>
          <w:szCs w:val="20"/>
        </w:rPr>
        <w:t xml:space="preserve">This </w:t>
      </w:r>
      <w:r w:rsidR="003541A6" w:rsidRPr="00EE0F69">
        <w:rPr>
          <w:rFonts w:cs="Arial"/>
          <w:sz w:val="20"/>
          <w:szCs w:val="20"/>
        </w:rPr>
        <w:t>Measure Application Type</w:t>
      </w:r>
      <w:r w:rsidRPr="00EE0F69">
        <w:rPr>
          <w:rFonts w:cs="Arial"/>
          <w:sz w:val="20"/>
          <w:szCs w:val="20"/>
        </w:rPr>
        <w:t xml:space="preserve"> is</w:t>
      </w:r>
      <w:r w:rsidR="003541A6" w:rsidRPr="00EE0F69">
        <w:rPr>
          <w:rFonts w:cs="Arial"/>
          <w:sz w:val="20"/>
          <w:szCs w:val="20"/>
        </w:rPr>
        <w:t xml:space="preserve"> </w:t>
      </w:r>
      <w:r w:rsidRPr="00EE0F69">
        <w:rPr>
          <w:rFonts w:cs="Arial"/>
          <w:b/>
          <w:sz w:val="20"/>
          <w:szCs w:val="20"/>
        </w:rPr>
        <w:t>ROB</w:t>
      </w:r>
      <w:r w:rsidRPr="00EE0F69">
        <w:rPr>
          <w:rFonts w:cs="Arial"/>
          <w:sz w:val="20"/>
          <w:szCs w:val="20"/>
        </w:rPr>
        <w:t>, so the Gross Measure Cost (GMC) is represented by the equation below:</w:t>
      </w:r>
    </w:p>
    <w:p w:rsidR="00F32479" w:rsidRPr="00EE0F69" w:rsidRDefault="00F32479" w:rsidP="00F32479">
      <w:pPr>
        <w:rPr>
          <w:rFonts w:cs="Arial"/>
          <w:sz w:val="20"/>
          <w:szCs w:val="20"/>
        </w:rPr>
      </w:pPr>
    </w:p>
    <w:p w:rsidR="00F32479" w:rsidRPr="00EE0F69" w:rsidRDefault="00F32479" w:rsidP="00F32479">
      <w:pPr>
        <w:ind w:firstLine="720"/>
        <w:rPr>
          <w:rFonts w:cs="Arial"/>
          <w:sz w:val="20"/>
          <w:szCs w:val="20"/>
        </w:rPr>
      </w:pPr>
      <w:r w:rsidRPr="00EE0F69">
        <w:rPr>
          <w:rFonts w:cs="Arial"/>
          <w:sz w:val="20"/>
          <w:szCs w:val="20"/>
        </w:rPr>
        <w:t>GMC = (Measure Equipment Cost + Measure Labor Cost) –</w:t>
      </w:r>
    </w:p>
    <w:p w:rsidR="00F32479" w:rsidRPr="00EE0F69" w:rsidRDefault="00437BE1" w:rsidP="00F32479">
      <w:pPr>
        <w:ind w:left="720" w:firstLine="720"/>
        <w:rPr>
          <w:rFonts w:cs="Arial"/>
          <w:sz w:val="20"/>
          <w:szCs w:val="20"/>
        </w:rPr>
      </w:pPr>
      <w:r w:rsidRPr="00EE0F69">
        <w:rPr>
          <w:rFonts w:cs="Arial"/>
          <w:sz w:val="20"/>
          <w:szCs w:val="20"/>
        </w:rPr>
        <w:t xml:space="preserve"> </w:t>
      </w:r>
      <w:r w:rsidR="00F32479" w:rsidRPr="00EE0F69">
        <w:rPr>
          <w:rFonts w:cs="Arial"/>
          <w:sz w:val="20"/>
          <w:szCs w:val="20"/>
        </w:rPr>
        <w:t xml:space="preserve">  (Base Case Equipment Cost + Base Case Labor Cost)</w:t>
      </w:r>
    </w:p>
    <w:p w:rsidR="00F32479" w:rsidRPr="00EE0F69" w:rsidRDefault="00F32479" w:rsidP="00F32479">
      <w:pPr>
        <w:rPr>
          <w:rFonts w:cs="Arial"/>
          <w:b/>
          <w:sz w:val="20"/>
          <w:szCs w:val="20"/>
        </w:rPr>
      </w:pPr>
    </w:p>
    <w:p w:rsidR="00F32479" w:rsidRPr="00EE0F69" w:rsidRDefault="00F32479" w:rsidP="00F32479">
      <w:pPr>
        <w:ind w:left="720" w:right="720"/>
        <w:rPr>
          <w:rFonts w:cs="Arial"/>
          <w:sz w:val="20"/>
          <w:szCs w:val="20"/>
        </w:rPr>
      </w:pPr>
      <w:r w:rsidRPr="00EE0F69">
        <w:rPr>
          <w:rFonts w:cs="Arial"/>
          <w:sz w:val="20"/>
          <w:szCs w:val="20"/>
        </w:rPr>
        <w:t>*Note: We assume that, unless stated otherwise, the measure case labor and base case labor are assumed to be the same value reducing the equation to the following:</w:t>
      </w:r>
    </w:p>
    <w:p w:rsidR="00F32479" w:rsidRPr="00EE0F69" w:rsidRDefault="00F32479" w:rsidP="00F32479">
      <w:pPr>
        <w:ind w:left="720" w:right="720"/>
        <w:rPr>
          <w:rFonts w:cs="Arial"/>
          <w:sz w:val="20"/>
          <w:szCs w:val="20"/>
        </w:rPr>
      </w:pPr>
    </w:p>
    <w:p w:rsidR="00F32479" w:rsidRPr="00EE0F69" w:rsidRDefault="00F32479" w:rsidP="00F32479">
      <w:pPr>
        <w:ind w:firstLine="720"/>
        <w:rPr>
          <w:rFonts w:cs="Arial"/>
          <w:i/>
          <w:sz w:val="20"/>
          <w:szCs w:val="20"/>
        </w:rPr>
      </w:pPr>
      <w:r w:rsidRPr="00EE0F69">
        <w:rPr>
          <w:rFonts w:cs="Arial"/>
          <w:sz w:val="20"/>
          <w:szCs w:val="20"/>
        </w:rPr>
        <w:t>GMC = Measure Equipment Cost – Base Case Equipment</w:t>
      </w:r>
      <w:r w:rsidRPr="00EE0F69">
        <w:rPr>
          <w:rFonts w:cs="Arial"/>
          <w:i/>
          <w:sz w:val="20"/>
          <w:szCs w:val="20"/>
        </w:rPr>
        <w:t xml:space="preserve"> Cost</w:t>
      </w:r>
    </w:p>
    <w:p w:rsidR="00F32479" w:rsidRPr="00EE0F69" w:rsidRDefault="00F32479" w:rsidP="00F32479">
      <w:pPr>
        <w:ind w:firstLine="720"/>
        <w:rPr>
          <w:rFonts w:cs="Arial"/>
          <w:i/>
          <w:sz w:val="20"/>
          <w:szCs w:val="20"/>
        </w:rPr>
      </w:pPr>
    </w:p>
    <w:p w:rsidR="00F32479" w:rsidRPr="003F57BD" w:rsidRDefault="00F32479" w:rsidP="00F32479">
      <w:pPr>
        <w:ind w:firstLine="720"/>
        <w:rPr>
          <w:rFonts w:cs="Arial"/>
          <w:i/>
          <w:sz w:val="20"/>
          <w:szCs w:val="20"/>
        </w:rPr>
      </w:pPr>
      <w:r w:rsidRPr="00EE0F69">
        <w:rPr>
          <w:rFonts w:cs="Arial"/>
          <w:i/>
          <w:sz w:val="20"/>
          <w:szCs w:val="20"/>
        </w:rPr>
        <w:t>GMC = $</w:t>
      </w:r>
      <w:r w:rsidR="00EE0F69" w:rsidRPr="00EE0F69">
        <w:rPr>
          <w:rFonts w:cs="Arial"/>
          <w:i/>
          <w:sz w:val="20"/>
          <w:szCs w:val="20"/>
        </w:rPr>
        <w:t>0.00</w:t>
      </w:r>
      <w:r w:rsidRPr="00EE0F69">
        <w:rPr>
          <w:rFonts w:cs="Arial"/>
          <w:i/>
          <w:sz w:val="20"/>
          <w:szCs w:val="20"/>
        </w:rPr>
        <w:t xml:space="preserve">    per (unit) - $ </w:t>
      </w:r>
      <w:r w:rsidR="00EE0F69" w:rsidRPr="00EE0F69">
        <w:rPr>
          <w:rFonts w:cs="Arial"/>
          <w:i/>
          <w:sz w:val="20"/>
          <w:szCs w:val="20"/>
        </w:rPr>
        <w:t>0.00</w:t>
      </w:r>
      <w:r w:rsidRPr="00EE0F69">
        <w:rPr>
          <w:rFonts w:cs="Arial"/>
          <w:i/>
          <w:sz w:val="20"/>
          <w:szCs w:val="20"/>
        </w:rPr>
        <w:t xml:space="preserve">   per (unit) = $</w:t>
      </w:r>
      <w:r w:rsidR="00EE0F69" w:rsidRPr="00EE0F69">
        <w:rPr>
          <w:rFonts w:cs="Arial"/>
          <w:i/>
          <w:sz w:val="20"/>
          <w:szCs w:val="20"/>
        </w:rPr>
        <w:t>0.00</w:t>
      </w:r>
      <w:r w:rsidRPr="00EE0F69">
        <w:rPr>
          <w:rFonts w:cs="Arial"/>
          <w:i/>
          <w:sz w:val="20"/>
          <w:szCs w:val="20"/>
        </w:rPr>
        <w:t xml:space="preserve">  per unit</w:t>
      </w:r>
    </w:p>
    <w:p w:rsidR="003F57BD" w:rsidRPr="009B1863" w:rsidRDefault="003F57BD" w:rsidP="00663A00">
      <w:pPr>
        <w:rPr>
          <w:i/>
          <w:sz w:val="20"/>
          <w:szCs w:val="20"/>
        </w:rPr>
      </w:pPr>
    </w:p>
    <w:p w:rsidR="00A47BFE" w:rsidRDefault="001E4C31" w:rsidP="001E4C31">
      <w:pPr>
        <w:pStyle w:val="Heading1"/>
        <w:rPr>
          <w:i/>
        </w:rPr>
      </w:pPr>
      <w:bookmarkStart w:id="120" w:name="_Toc324318376"/>
      <w:bookmarkStart w:id="121" w:name="_Toc324340505"/>
      <w:bookmarkStart w:id="122" w:name="_Toc476228503"/>
      <w:bookmarkStart w:id="123" w:name="_Toc304800221"/>
      <w:r>
        <w:rPr>
          <w:i/>
        </w:rPr>
        <w:t xml:space="preserve">4.3.2 </w:t>
      </w:r>
      <w:r w:rsidR="00A47BFE" w:rsidRPr="00A47BFE">
        <w:rPr>
          <w:i/>
        </w:rPr>
        <w:t>Incremental Measure Costs</w:t>
      </w:r>
      <w:bookmarkEnd w:id="120"/>
      <w:bookmarkEnd w:id="121"/>
      <w:bookmarkEnd w:id="122"/>
    </w:p>
    <w:p w:rsidR="00ED3B31" w:rsidRPr="00ED3B31" w:rsidRDefault="00ED3B31" w:rsidP="00ED3B31">
      <w:pPr>
        <w:rPr>
          <w:rFonts w:cs="Arial"/>
          <w:sz w:val="20"/>
          <w:szCs w:val="20"/>
        </w:rPr>
      </w:pPr>
      <w:r w:rsidRPr="00ED3B31">
        <w:rPr>
          <w:rFonts w:cs="Arial"/>
          <w:sz w:val="20"/>
          <w:szCs w:val="20"/>
        </w:rPr>
        <w:t xml:space="preserve">Incremental Measure Cost </w:t>
      </w:r>
      <w:r w:rsidR="001A311D">
        <w:rPr>
          <w:rFonts w:cs="Arial"/>
          <w:sz w:val="20"/>
          <w:szCs w:val="20"/>
        </w:rPr>
        <w:t xml:space="preserve">(IMC) </w:t>
      </w:r>
      <w:r w:rsidRPr="00ED3B31">
        <w:rPr>
          <w:rFonts w:cs="Arial"/>
          <w:sz w:val="20"/>
          <w:szCs w:val="20"/>
        </w:rPr>
        <w:t>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p>
    <w:p w:rsidR="00ED3B31" w:rsidRDefault="00ED3B31" w:rsidP="00ED3B31">
      <w:pPr>
        <w:rPr>
          <w:rFonts w:cs="Arial"/>
          <w:szCs w:val="22"/>
        </w:rPr>
      </w:pPr>
    </w:p>
    <w:p w:rsidR="00ED3B31" w:rsidRPr="00EE0F69" w:rsidRDefault="00192B77" w:rsidP="00ED3B31">
      <w:pPr>
        <w:rPr>
          <w:rFonts w:cs="Arial"/>
          <w:sz w:val="20"/>
          <w:szCs w:val="20"/>
        </w:rPr>
      </w:pPr>
      <w:r w:rsidRPr="00EE0F69">
        <w:rPr>
          <w:rFonts w:cs="Arial"/>
          <w:sz w:val="20"/>
          <w:szCs w:val="20"/>
        </w:rPr>
        <w:t>This</w:t>
      </w:r>
      <w:r w:rsidR="00ED3B31" w:rsidRPr="00EE0F69">
        <w:rPr>
          <w:rFonts w:cs="Arial"/>
          <w:sz w:val="20"/>
          <w:szCs w:val="20"/>
        </w:rPr>
        <w:t xml:space="preserve"> </w:t>
      </w:r>
      <w:r w:rsidR="002E6162" w:rsidRPr="00EE0F69">
        <w:rPr>
          <w:rFonts w:cs="Arial"/>
          <w:sz w:val="20"/>
          <w:szCs w:val="20"/>
        </w:rPr>
        <w:t>Measure Application Types</w:t>
      </w:r>
      <w:r w:rsidR="00ED3B31" w:rsidRPr="00EE0F69">
        <w:rPr>
          <w:rFonts w:cs="Arial"/>
          <w:sz w:val="20"/>
          <w:szCs w:val="20"/>
        </w:rPr>
        <w:t xml:space="preserve"> is</w:t>
      </w:r>
      <w:r w:rsidR="00B94DA4" w:rsidRPr="00EE0F69">
        <w:rPr>
          <w:rFonts w:cs="Arial"/>
          <w:sz w:val="20"/>
          <w:szCs w:val="20"/>
        </w:rPr>
        <w:t xml:space="preserve"> </w:t>
      </w:r>
      <w:r w:rsidR="00ED3B31" w:rsidRPr="00EE0F69">
        <w:rPr>
          <w:rFonts w:cs="Arial"/>
          <w:b/>
          <w:sz w:val="20"/>
          <w:szCs w:val="20"/>
        </w:rPr>
        <w:t>ROB</w:t>
      </w:r>
      <w:r w:rsidR="001A311D">
        <w:rPr>
          <w:rFonts w:cs="Arial"/>
          <w:sz w:val="20"/>
          <w:szCs w:val="20"/>
        </w:rPr>
        <w:t>,</w:t>
      </w:r>
      <w:r w:rsidR="00ED3B31" w:rsidRPr="001A311D">
        <w:rPr>
          <w:rFonts w:cs="Arial"/>
          <w:sz w:val="20"/>
          <w:szCs w:val="20"/>
        </w:rPr>
        <w:t xml:space="preserve"> </w:t>
      </w:r>
      <w:r w:rsidR="00ED3B31" w:rsidRPr="00EE0F69">
        <w:rPr>
          <w:rFonts w:cs="Arial"/>
          <w:sz w:val="20"/>
          <w:szCs w:val="20"/>
        </w:rPr>
        <w:t xml:space="preserve">so the </w:t>
      </w:r>
      <w:r w:rsidR="00ED2397">
        <w:rPr>
          <w:rFonts w:cs="Arial"/>
          <w:sz w:val="20"/>
          <w:szCs w:val="20"/>
        </w:rPr>
        <w:t>Incremental</w:t>
      </w:r>
      <w:r w:rsidR="00ED2397" w:rsidRPr="00EE0F69">
        <w:rPr>
          <w:rFonts w:cs="Arial"/>
          <w:sz w:val="20"/>
          <w:szCs w:val="20"/>
        </w:rPr>
        <w:t xml:space="preserve"> </w:t>
      </w:r>
      <w:r w:rsidR="00ED3B31" w:rsidRPr="00EE0F69">
        <w:rPr>
          <w:rFonts w:cs="Arial"/>
          <w:sz w:val="20"/>
          <w:szCs w:val="20"/>
        </w:rPr>
        <w:t>Measure Cost (</w:t>
      </w:r>
      <w:r w:rsidR="00ED2397">
        <w:rPr>
          <w:rFonts w:cs="Arial"/>
          <w:sz w:val="20"/>
          <w:szCs w:val="20"/>
        </w:rPr>
        <w:t>I</w:t>
      </w:r>
      <w:r w:rsidR="00ED2397" w:rsidRPr="00EE0F69">
        <w:rPr>
          <w:rFonts w:cs="Arial"/>
          <w:sz w:val="20"/>
          <w:szCs w:val="20"/>
        </w:rPr>
        <w:t>MC</w:t>
      </w:r>
      <w:r w:rsidR="00ED3B31" w:rsidRPr="00EE0F69">
        <w:rPr>
          <w:rFonts w:cs="Arial"/>
          <w:sz w:val="20"/>
          <w:szCs w:val="20"/>
        </w:rPr>
        <w:t>) is represented by the equation below:</w:t>
      </w:r>
    </w:p>
    <w:p w:rsidR="00ED3B31" w:rsidRPr="00EE0F69" w:rsidRDefault="00ED3B31" w:rsidP="00ED3B31">
      <w:pPr>
        <w:rPr>
          <w:rFonts w:cs="Arial"/>
          <w:szCs w:val="22"/>
        </w:rPr>
      </w:pPr>
    </w:p>
    <w:p w:rsidR="00ED3B31" w:rsidRPr="00EE0F69" w:rsidRDefault="00ED3B31" w:rsidP="00ED3B31">
      <w:pPr>
        <w:ind w:firstLine="720"/>
        <w:rPr>
          <w:rFonts w:cs="Arial"/>
          <w:sz w:val="20"/>
          <w:szCs w:val="20"/>
        </w:rPr>
      </w:pPr>
      <w:r w:rsidRPr="00EE0F69">
        <w:rPr>
          <w:rFonts w:cs="Arial"/>
          <w:sz w:val="20"/>
          <w:szCs w:val="20"/>
        </w:rPr>
        <w:t>IMC = (Measure Equipment Cost + Measure Labor Cost) –</w:t>
      </w:r>
    </w:p>
    <w:p w:rsidR="00ED3B31" w:rsidRPr="00EE0F69" w:rsidRDefault="00ED3B31" w:rsidP="00ED3B31">
      <w:pPr>
        <w:ind w:left="720" w:firstLine="720"/>
        <w:rPr>
          <w:rFonts w:cs="Arial"/>
          <w:sz w:val="20"/>
          <w:szCs w:val="20"/>
        </w:rPr>
      </w:pPr>
      <w:r w:rsidRPr="00EE0F69">
        <w:rPr>
          <w:rFonts w:cs="Arial"/>
          <w:sz w:val="20"/>
          <w:szCs w:val="20"/>
        </w:rPr>
        <w:t xml:space="preserve">    (Base Case Equipment Cost + Base Case Labor Cost)</w:t>
      </w:r>
    </w:p>
    <w:p w:rsidR="00ED3B31" w:rsidRPr="00EE0F69" w:rsidRDefault="00ED3B31" w:rsidP="00ED3B31">
      <w:pPr>
        <w:rPr>
          <w:rFonts w:cs="Arial"/>
          <w:b/>
          <w:szCs w:val="22"/>
        </w:rPr>
      </w:pPr>
    </w:p>
    <w:p w:rsidR="00ED3B31" w:rsidRPr="00EE0F69" w:rsidRDefault="00ED3B31" w:rsidP="00ED3B31">
      <w:pPr>
        <w:ind w:left="720" w:right="720"/>
        <w:rPr>
          <w:rFonts w:cs="Arial"/>
          <w:sz w:val="20"/>
          <w:szCs w:val="20"/>
        </w:rPr>
      </w:pPr>
      <w:r w:rsidRPr="00EE0F69">
        <w:rPr>
          <w:rFonts w:cs="Arial"/>
          <w:sz w:val="20"/>
          <w:szCs w:val="20"/>
        </w:rPr>
        <w:t>*</w:t>
      </w:r>
      <w:r w:rsidR="0051797E" w:rsidRPr="0051797E">
        <w:rPr>
          <w:rFonts w:cs="Arial"/>
          <w:sz w:val="20"/>
          <w:szCs w:val="20"/>
        </w:rPr>
        <w:t xml:space="preserve"> </w:t>
      </w:r>
      <w:r w:rsidR="0051797E" w:rsidRPr="00EE0F69">
        <w:rPr>
          <w:rFonts w:cs="Arial"/>
          <w:sz w:val="20"/>
          <w:szCs w:val="20"/>
        </w:rPr>
        <w:t>Note: We assume that, unless stated otherwise, the measure case labor and base case labor are assumed to be the same value reducing the equation to the following:</w:t>
      </w:r>
    </w:p>
    <w:p w:rsidR="00ED3B31" w:rsidRPr="00EE0F69" w:rsidRDefault="00ED3B31" w:rsidP="00ED3B31">
      <w:pPr>
        <w:ind w:left="720" w:right="720"/>
        <w:rPr>
          <w:rFonts w:cs="Arial"/>
          <w:sz w:val="20"/>
          <w:szCs w:val="20"/>
        </w:rPr>
      </w:pPr>
    </w:p>
    <w:p w:rsidR="00ED3B31" w:rsidRPr="00EE0F69" w:rsidRDefault="00ED3B31" w:rsidP="00ED3B31">
      <w:pPr>
        <w:ind w:firstLine="720"/>
        <w:rPr>
          <w:rFonts w:cs="Arial"/>
          <w:sz w:val="20"/>
          <w:szCs w:val="20"/>
        </w:rPr>
      </w:pPr>
      <w:r w:rsidRPr="00EE0F69">
        <w:rPr>
          <w:rFonts w:cs="Arial"/>
          <w:sz w:val="20"/>
          <w:szCs w:val="20"/>
        </w:rPr>
        <w:t>IMC = Measure Equipment Cost – Base Case Equipment Cost</w:t>
      </w:r>
    </w:p>
    <w:p w:rsidR="00ED3B31" w:rsidRPr="00EE0F69" w:rsidRDefault="00ED3B31" w:rsidP="00ED3B31">
      <w:pPr>
        <w:ind w:firstLine="720"/>
        <w:rPr>
          <w:rFonts w:cs="Arial"/>
          <w:sz w:val="20"/>
          <w:szCs w:val="20"/>
        </w:rPr>
      </w:pPr>
    </w:p>
    <w:p w:rsidR="00ED3B31" w:rsidRPr="00ED3B31" w:rsidRDefault="00ED3B31" w:rsidP="00ED3B31">
      <w:pPr>
        <w:ind w:firstLine="720"/>
        <w:rPr>
          <w:rFonts w:cs="Arial"/>
          <w:i/>
          <w:sz w:val="20"/>
          <w:szCs w:val="20"/>
        </w:rPr>
      </w:pPr>
      <w:r w:rsidRPr="00EE0F69">
        <w:rPr>
          <w:rFonts w:cs="Arial"/>
          <w:i/>
          <w:sz w:val="20"/>
          <w:szCs w:val="20"/>
        </w:rPr>
        <w:t xml:space="preserve">IMC = </w:t>
      </w:r>
      <w:r w:rsidR="00EE0F69" w:rsidRPr="00EE0F69">
        <w:rPr>
          <w:rFonts w:cs="Arial"/>
          <w:i/>
          <w:sz w:val="20"/>
          <w:szCs w:val="20"/>
        </w:rPr>
        <w:t>$0.00    per (unit) - $ 0.00   per (unit) = $0.00  per unit</w:t>
      </w:r>
    </w:p>
    <w:p w:rsidR="00ED3B31" w:rsidRDefault="00ED3B31" w:rsidP="00ED3B31">
      <w:pPr>
        <w:rPr>
          <w:rFonts w:cs="Arial"/>
          <w:szCs w:val="22"/>
        </w:rPr>
      </w:pPr>
    </w:p>
    <w:p w:rsidR="002F3610" w:rsidRDefault="002F3610" w:rsidP="002F3610">
      <w:pPr>
        <w:ind w:firstLine="720"/>
        <w:jc w:val="center"/>
        <w:rPr>
          <w:rFonts w:cs="Arial"/>
          <w:b/>
          <w:sz w:val="20"/>
          <w:szCs w:val="20"/>
        </w:rPr>
      </w:pPr>
      <w:r w:rsidRPr="002F3610">
        <w:rPr>
          <w:rFonts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2F3610" w:rsidRPr="00A01631" w:rsidTr="00A01631">
        <w:tc>
          <w:tcPr>
            <w:tcW w:w="758" w:type="pct"/>
            <w:shd w:val="clear" w:color="auto" w:fill="auto"/>
          </w:tcPr>
          <w:p w:rsidR="002F3610" w:rsidRPr="00A01631" w:rsidRDefault="002F3610" w:rsidP="002F3610">
            <w:pPr>
              <w:rPr>
                <w:rFonts w:cs="Arial"/>
                <w:b/>
                <w:sz w:val="20"/>
                <w:szCs w:val="20"/>
              </w:rPr>
            </w:pPr>
            <w:r w:rsidRPr="00A01631">
              <w:rPr>
                <w:rFonts w:cs="Arial"/>
                <w:b/>
                <w:sz w:val="20"/>
                <w:szCs w:val="20"/>
              </w:rPr>
              <w:t>Measure ID</w:t>
            </w:r>
          </w:p>
        </w:tc>
        <w:tc>
          <w:tcPr>
            <w:tcW w:w="968" w:type="pct"/>
            <w:shd w:val="clear" w:color="auto" w:fill="auto"/>
          </w:tcPr>
          <w:p w:rsidR="002F3610" w:rsidRPr="00A01631" w:rsidRDefault="002E6162" w:rsidP="002F3610">
            <w:pPr>
              <w:rPr>
                <w:rFonts w:cs="Arial"/>
                <w:b/>
                <w:sz w:val="20"/>
                <w:szCs w:val="20"/>
              </w:rPr>
            </w:pPr>
            <w:r>
              <w:rPr>
                <w:rFonts w:cs="Arial"/>
                <w:b/>
                <w:sz w:val="20"/>
                <w:szCs w:val="20"/>
              </w:rPr>
              <w:t>Measure Application Types</w:t>
            </w:r>
          </w:p>
        </w:tc>
        <w:tc>
          <w:tcPr>
            <w:tcW w:w="838" w:type="pct"/>
            <w:shd w:val="clear" w:color="auto" w:fill="auto"/>
          </w:tcPr>
          <w:p w:rsidR="002F3610" w:rsidRPr="00A01631" w:rsidRDefault="002F3610" w:rsidP="002F3610">
            <w:pPr>
              <w:rPr>
                <w:rFonts w:cs="Arial"/>
                <w:b/>
                <w:sz w:val="20"/>
                <w:szCs w:val="20"/>
              </w:rPr>
            </w:pPr>
            <w:r w:rsidRPr="00A01631">
              <w:rPr>
                <w:rFonts w:cs="Arial"/>
                <w:b/>
                <w:sz w:val="20"/>
                <w:szCs w:val="20"/>
              </w:rPr>
              <w:t>Base Case Total Cost</w:t>
            </w:r>
          </w:p>
        </w:tc>
        <w:tc>
          <w:tcPr>
            <w:tcW w:w="739" w:type="pct"/>
            <w:shd w:val="clear" w:color="auto" w:fill="auto"/>
          </w:tcPr>
          <w:p w:rsidR="002F3610" w:rsidRPr="00A01631" w:rsidRDefault="002F3610" w:rsidP="002F3610">
            <w:pPr>
              <w:rPr>
                <w:rFonts w:cs="Arial"/>
                <w:b/>
                <w:sz w:val="20"/>
                <w:szCs w:val="20"/>
              </w:rPr>
            </w:pPr>
            <w:r w:rsidRPr="00A01631">
              <w:rPr>
                <w:rFonts w:cs="Arial"/>
                <w:b/>
                <w:sz w:val="20"/>
                <w:szCs w:val="20"/>
              </w:rPr>
              <w:t>Measure Case Total Cost</w:t>
            </w:r>
            <w:r w:rsidR="009B1863">
              <w:rPr>
                <w:rStyle w:val="EndnoteReference"/>
                <w:rFonts w:cs="Arial"/>
                <w:b/>
                <w:sz w:val="20"/>
                <w:szCs w:val="20"/>
              </w:rPr>
              <w:endnoteReference w:id="14"/>
            </w:r>
          </w:p>
        </w:tc>
        <w:tc>
          <w:tcPr>
            <w:tcW w:w="737" w:type="pct"/>
            <w:shd w:val="clear" w:color="auto" w:fill="auto"/>
          </w:tcPr>
          <w:p w:rsidR="002F3610" w:rsidRPr="00A01631" w:rsidRDefault="002F3610" w:rsidP="002F3610">
            <w:pPr>
              <w:rPr>
                <w:rFonts w:cs="Arial"/>
                <w:b/>
                <w:sz w:val="20"/>
                <w:szCs w:val="20"/>
              </w:rPr>
            </w:pPr>
            <w:r w:rsidRPr="00A01631">
              <w:rPr>
                <w:rFonts w:cs="Arial"/>
                <w:b/>
                <w:sz w:val="20"/>
                <w:szCs w:val="20"/>
              </w:rPr>
              <w:t>Gross Measure Case Cost</w:t>
            </w:r>
          </w:p>
        </w:tc>
        <w:tc>
          <w:tcPr>
            <w:tcW w:w="960" w:type="pct"/>
            <w:shd w:val="clear" w:color="auto" w:fill="auto"/>
          </w:tcPr>
          <w:p w:rsidR="002F3610" w:rsidRPr="00A01631" w:rsidRDefault="002F3610" w:rsidP="002F3610">
            <w:pPr>
              <w:rPr>
                <w:rFonts w:cs="Arial"/>
                <w:b/>
                <w:sz w:val="20"/>
                <w:szCs w:val="20"/>
              </w:rPr>
            </w:pPr>
            <w:r w:rsidRPr="00A01631">
              <w:rPr>
                <w:rFonts w:cs="Arial"/>
                <w:b/>
                <w:sz w:val="20"/>
                <w:szCs w:val="20"/>
              </w:rPr>
              <w:t>Incremental Measure Cost</w:t>
            </w:r>
          </w:p>
        </w:tc>
      </w:tr>
      <w:tr w:rsidR="002F3610" w:rsidRPr="00A01631" w:rsidTr="00B94DA4">
        <w:trPr>
          <w:trHeight w:val="287"/>
        </w:trPr>
        <w:tc>
          <w:tcPr>
            <w:tcW w:w="758" w:type="pct"/>
            <w:shd w:val="clear" w:color="auto" w:fill="auto"/>
          </w:tcPr>
          <w:p w:rsidR="002F3610" w:rsidRPr="00A01631" w:rsidRDefault="002F3610" w:rsidP="002F3610">
            <w:pPr>
              <w:rPr>
                <w:rFonts w:cs="Arial"/>
                <w:b/>
                <w:sz w:val="20"/>
                <w:szCs w:val="20"/>
              </w:rPr>
            </w:pPr>
          </w:p>
        </w:tc>
        <w:tc>
          <w:tcPr>
            <w:tcW w:w="968" w:type="pct"/>
            <w:shd w:val="clear" w:color="auto" w:fill="auto"/>
          </w:tcPr>
          <w:p w:rsidR="002F3610" w:rsidRPr="00A01631" w:rsidRDefault="00B94DA4" w:rsidP="00B94DA4">
            <w:pPr>
              <w:rPr>
                <w:rFonts w:cs="Arial"/>
                <w:b/>
                <w:sz w:val="20"/>
                <w:szCs w:val="20"/>
              </w:rPr>
            </w:pPr>
            <w:r w:rsidRPr="00EE0F69">
              <w:rPr>
                <w:rFonts w:cs="Arial"/>
                <w:sz w:val="20"/>
                <w:szCs w:val="20"/>
              </w:rPr>
              <w:t>ROB</w:t>
            </w:r>
            <w:r>
              <w:rPr>
                <w:rFonts w:cs="Arial"/>
                <w:sz w:val="20"/>
                <w:szCs w:val="20"/>
              </w:rPr>
              <w:t xml:space="preserve"> </w:t>
            </w:r>
          </w:p>
        </w:tc>
        <w:tc>
          <w:tcPr>
            <w:tcW w:w="838" w:type="pct"/>
            <w:shd w:val="clear" w:color="auto" w:fill="auto"/>
          </w:tcPr>
          <w:p w:rsidR="002F3610" w:rsidRPr="00A01631" w:rsidRDefault="00EE0F69" w:rsidP="002F3610">
            <w:pPr>
              <w:rPr>
                <w:rFonts w:cs="Arial"/>
                <w:b/>
                <w:sz w:val="20"/>
                <w:szCs w:val="20"/>
              </w:rPr>
            </w:pPr>
            <w:r>
              <w:rPr>
                <w:rFonts w:cs="Arial"/>
                <w:b/>
                <w:sz w:val="20"/>
                <w:szCs w:val="20"/>
              </w:rPr>
              <w:t>0</w:t>
            </w:r>
          </w:p>
        </w:tc>
        <w:tc>
          <w:tcPr>
            <w:tcW w:w="739" w:type="pct"/>
            <w:shd w:val="clear" w:color="auto" w:fill="auto"/>
          </w:tcPr>
          <w:p w:rsidR="002F3610" w:rsidRPr="00A01631" w:rsidRDefault="00EE0F69" w:rsidP="002F3610">
            <w:pPr>
              <w:rPr>
                <w:rFonts w:cs="Arial"/>
                <w:b/>
                <w:sz w:val="20"/>
                <w:szCs w:val="20"/>
              </w:rPr>
            </w:pPr>
            <w:r>
              <w:rPr>
                <w:rFonts w:cs="Arial"/>
                <w:b/>
                <w:sz w:val="20"/>
                <w:szCs w:val="20"/>
              </w:rPr>
              <w:t>0</w:t>
            </w:r>
          </w:p>
        </w:tc>
        <w:tc>
          <w:tcPr>
            <w:tcW w:w="737" w:type="pct"/>
            <w:shd w:val="clear" w:color="auto" w:fill="auto"/>
          </w:tcPr>
          <w:p w:rsidR="002F3610" w:rsidRPr="00A01631" w:rsidRDefault="00EE0F69" w:rsidP="002F3610">
            <w:pPr>
              <w:rPr>
                <w:rFonts w:cs="Arial"/>
                <w:b/>
                <w:sz w:val="20"/>
                <w:szCs w:val="20"/>
              </w:rPr>
            </w:pPr>
            <w:r>
              <w:rPr>
                <w:rFonts w:cs="Arial"/>
                <w:b/>
                <w:sz w:val="20"/>
                <w:szCs w:val="20"/>
              </w:rPr>
              <w:t>0</w:t>
            </w:r>
          </w:p>
        </w:tc>
        <w:tc>
          <w:tcPr>
            <w:tcW w:w="960" w:type="pct"/>
            <w:shd w:val="clear" w:color="auto" w:fill="auto"/>
          </w:tcPr>
          <w:p w:rsidR="002F3610" w:rsidRPr="00A01631" w:rsidRDefault="00EE0F69" w:rsidP="002F3610">
            <w:pPr>
              <w:rPr>
                <w:rFonts w:cs="Arial"/>
                <w:b/>
                <w:sz w:val="20"/>
                <w:szCs w:val="20"/>
              </w:rPr>
            </w:pPr>
            <w:r>
              <w:rPr>
                <w:rFonts w:cs="Arial"/>
                <w:b/>
                <w:sz w:val="20"/>
                <w:szCs w:val="20"/>
              </w:rPr>
              <w:t>0</w:t>
            </w:r>
          </w:p>
        </w:tc>
      </w:tr>
    </w:tbl>
    <w:p w:rsidR="002F3610" w:rsidRPr="002F3610" w:rsidRDefault="002F3610" w:rsidP="002F3610">
      <w:pPr>
        <w:ind w:firstLine="720"/>
        <w:rPr>
          <w:rFonts w:cs="Arial"/>
          <w:b/>
          <w:sz w:val="20"/>
          <w:szCs w:val="20"/>
        </w:rPr>
      </w:pPr>
    </w:p>
    <w:p w:rsidR="00626129" w:rsidRDefault="00915CE6" w:rsidP="000966CC">
      <w:pPr>
        <w:pStyle w:val="Heading1"/>
      </w:pPr>
      <w:bookmarkStart w:id="126" w:name="_MON_1382719630"/>
      <w:bookmarkStart w:id="127" w:name="_Toc324340506"/>
      <w:bookmarkStart w:id="128" w:name="_Toc324318377"/>
      <w:bookmarkStart w:id="129" w:name="_Toc324340404"/>
      <w:bookmarkEnd w:id="126"/>
      <w:r>
        <w:br w:type="page"/>
      </w:r>
      <w:bookmarkStart w:id="130" w:name="_Toc324318378"/>
      <w:bookmarkStart w:id="131" w:name="_Toc324340508"/>
      <w:bookmarkStart w:id="132" w:name="_Toc476228504"/>
      <w:bookmarkStart w:id="133" w:name="_Toc304800222"/>
      <w:bookmarkEnd w:id="123"/>
      <w:bookmarkEnd w:id="127"/>
      <w:bookmarkEnd w:id="128"/>
      <w:bookmarkEnd w:id="129"/>
      <w:r w:rsidR="00626129">
        <w:lastRenderedPageBreak/>
        <w:t>Input Appendices</w:t>
      </w:r>
      <w:bookmarkEnd w:id="130"/>
      <w:bookmarkEnd w:id="131"/>
      <w:bookmarkEnd w:id="132"/>
    </w:p>
    <w:p w:rsidR="006E77EA" w:rsidRPr="008C6752" w:rsidRDefault="006E77EA" w:rsidP="00DC0EE2">
      <w:pPr>
        <w:rPr>
          <w:sz w:val="20"/>
          <w:szCs w:val="20"/>
        </w:rPr>
      </w:pPr>
    </w:p>
    <w:p w:rsidR="004E6B87" w:rsidRDefault="004E6B87" w:rsidP="00DC0EE2">
      <w:pPr>
        <w:rPr>
          <w:sz w:val="20"/>
          <w:szCs w:val="20"/>
        </w:rPr>
      </w:pPr>
      <w:r>
        <w:rPr>
          <w:sz w:val="20"/>
          <w:szCs w:val="20"/>
        </w:rPr>
        <w:t xml:space="preserve">The spreadsheet </w:t>
      </w:r>
      <w:r w:rsidR="00565CCD">
        <w:rPr>
          <w:sz w:val="20"/>
          <w:szCs w:val="20"/>
        </w:rPr>
        <w:t xml:space="preserve">below </w:t>
      </w:r>
      <w:r>
        <w:rPr>
          <w:sz w:val="20"/>
          <w:szCs w:val="20"/>
        </w:rPr>
        <w:t xml:space="preserve">contains the </w:t>
      </w:r>
      <w:r w:rsidR="00565CCD">
        <w:rPr>
          <w:sz w:val="20"/>
          <w:szCs w:val="20"/>
        </w:rPr>
        <w:t xml:space="preserve">PG&amp;E HER program electric 8,760 </w:t>
      </w:r>
      <w:r>
        <w:rPr>
          <w:sz w:val="20"/>
          <w:szCs w:val="20"/>
        </w:rPr>
        <w:t>values:</w:t>
      </w:r>
    </w:p>
    <w:p w:rsidR="006E77EA" w:rsidRDefault="004E6B87" w:rsidP="00DC0EE2">
      <w:pPr>
        <w:rPr>
          <w:sz w:val="20"/>
          <w:szCs w:val="20"/>
        </w:rPr>
      </w:pPr>
      <w:r>
        <w:rPr>
          <w:sz w:val="20"/>
          <w:szCs w:val="20"/>
        </w:rP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45pt" o:ole="">
            <v:imagedata r:id="rId25" o:title=""/>
          </v:shape>
          <o:OLEObject Type="Embed" ProgID="Excel.Sheet.12" ShapeID="_x0000_i1025" DrawAspect="Icon" ObjectID="_1550298998" r:id="rId26"/>
        </w:object>
      </w:r>
    </w:p>
    <w:p w:rsidR="004E6B87" w:rsidRPr="008C6752" w:rsidRDefault="004E6B87" w:rsidP="00DC0EE2">
      <w:pPr>
        <w:rPr>
          <w:sz w:val="20"/>
          <w:szCs w:val="20"/>
        </w:rPr>
      </w:pPr>
    </w:p>
    <w:p w:rsidR="005C2EF8" w:rsidRDefault="005C2EF8" w:rsidP="00DC0EE2">
      <w:pPr>
        <w:rPr>
          <w:color w:val="1F497D"/>
          <w:sz w:val="20"/>
          <w:szCs w:val="20"/>
        </w:rPr>
      </w:pPr>
      <w:r w:rsidRPr="008C6752">
        <w:rPr>
          <w:sz w:val="20"/>
          <w:szCs w:val="20"/>
        </w:rPr>
        <w:t xml:space="preserve">The </w:t>
      </w:r>
      <w:r w:rsidRPr="008C6752">
        <w:rPr>
          <w:rFonts w:cs="Arial"/>
          <w:sz w:val="20"/>
          <w:szCs w:val="20"/>
        </w:rPr>
        <w:t xml:space="preserve">monthly </w:t>
      </w:r>
      <w:r>
        <w:rPr>
          <w:rFonts w:cs="Arial"/>
          <w:sz w:val="20"/>
          <w:szCs w:val="20"/>
        </w:rPr>
        <w:t>a</w:t>
      </w:r>
      <w:r w:rsidRPr="005C2EF8">
        <w:rPr>
          <w:rFonts w:cs="Arial"/>
          <w:sz w:val="20"/>
          <w:szCs w:val="20"/>
        </w:rPr>
        <w:t xml:space="preserve">voided </w:t>
      </w:r>
      <w:r>
        <w:rPr>
          <w:rFonts w:cs="Arial"/>
          <w:sz w:val="20"/>
          <w:szCs w:val="20"/>
        </w:rPr>
        <w:t>e</w:t>
      </w:r>
      <w:r w:rsidRPr="005C2EF8">
        <w:rPr>
          <w:rFonts w:cs="Arial"/>
          <w:sz w:val="20"/>
          <w:szCs w:val="20"/>
        </w:rPr>
        <w:t xml:space="preserve">nergy </w:t>
      </w:r>
      <w:r>
        <w:rPr>
          <w:rFonts w:cs="Arial"/>
          <w:sz w:val="20"/>
          <w:szCs w:val="20"/>
        </w:rPr>
        <w:t>us</w:t>
      </w:r>
      <w:r w:rsidRPr="005C2EF8">
        <w:rPr>
          <w:rFonts w:cs="Arial"/>
          <w:sz w:val="20"/>
          <w:szCs w:val="20"/>
        </w:rPr>
        <w:t xml:space="preserve">e </w:t>
      </w:r>
      <w:r>
        <w:rPr>
          <w:rFonts w:cs="Arial"/>
          <w:sz w:val="20"/>
          <w:szCs w:val="20"/>
        </w:rPr>
        <w:t>l</w:t>
      </w:r>
      <w:r w:rsidRPr="005C2EF8">
        <w:rPr>
          <w:rFonts w:cs="Arial"/>
          <w:sz w:val="20"/>
          <w:szCs w:val="20"/>
        </w:rPr>
        <w:t xml:space="preserve">oad </w:t>
      </w:r>
      <w:r>
        <w:rPr>
          <w:rFonts w:cs="Arial"/>
          <w:sz w:val="20"/>
          <w:szCs w:val="20"/>
        </w:rPr>
        <w:t>s</w:t>
      </w:r>
      <w:r w:rsidRPr="005C2EF8">
        <w:rPr>
          <w:rFonts w:cs="Arial"/>
          <w:sz w:val="20"/>
          <w:szCs w:val="20"/>
        </w:rPr>
        <w:t>hape for 2015</w:t>
      </w:r>
      <w:r>
        <w:rPr>
          <w:rFonts w:cs="Arial"/>
          <w:sz w:val="20"/>
          <w:szCs w:val="20"/>
        </w:rPr>
        <w:t xml:space="preserve"> is presented below:</w:t>
      </w:r>
    </w:p>
    <w:tbl>
      <w:tblPr>
        <w:tblW w:w="2981" w:type="dxa"/>
        <w:tblInd w:w="93" w:type="dxa"/>
        <w:tblLook w:val="04A0" w:firstRow="1" w:lastRow="0" w:firstColumn="1" w:lastColumn="0" w:noHBand="0" w:noVBand="1"/>
      </w:tblPr>
      <w:tblGrid>
        <w:gridCol w:w="1725"/>
        <w:gridCol w:w="1256"/>
      </w:tblGrid>
      <w:tr w:rsidR="005C2EF8" w:rsidRPr="00FA0BF0" w:rsidTr="009A27F0">
        <w:trPr>
          <w:trHeight w:val="270"/>
        </w:trPr>
        <w:tc>
          <w:tcPr>
            <w:tcW w:w="1725" w:type="dxa"/>
            <w:tcBorders>
              <w:top w:val="single" w:sz="8" w:space="0" w:color="auto"/>
              <w:left w:val="single" w:sz="8" w:space="0" w:color="auto"/>
              <w:bottom w:val="single" w:sz="8" w:space="0" w:color="auto"/>
              <w:right w:val="single" w:sz="8" w:space="0" w:color="auto"/>
            </w:tcBorders>
            <w:shd w:val="clear" w:color="auto" w:fill="auto"/>
            <w:noWrap/>
            <w:vAlign w:val="center"/>
          </w:tcPr>
          <w:p w:rsidR="005C2EF8" w:rsidRPr="00FA0BF0" w:rsidRDefault="005C2EF8" w:rsidP="009460BF">
            <w:pPr>
              <w:jc w:val="center"/>
              <w:rPr>
                <w:rFonts w:cs="Arial"/>
                <w:color w:val="000000"/>
                <w:sz w:val="20"/>
                <w:szCs w:val="20"/>
              </w:rPr>
            </w:pPr>
            <w:r>
              <w:rPr>
                <w:rFonts w:cs="Arial"/>
                <w:b/>
                <w:bCs/>
                <w:color w:val="FFFFFF"/>
                <w:sz w:val="20"/>
                <w:szCs w:val="20"/>
              </w:rPr>
              <w:t>Monthly (</w:t>
            </w:r>
            <w:r w:rsidRPr="00FA0BF0">
              <w:rPr>
                <w:rFonts w:cs="Arial"/>
                <w:b/>
                <w:bCs/>
                <w:sz w:val="20"/>
                <w:szCs w:val="20"/>
              </w:rPr>
              <w:t>kWh/ Annual kWh)</w:t>
            </w:r>
          </w:p>
        </w:tc>
        <w:tc>
          <w:tcPr>
            <w:tcW w:w="1256" w:type="dxa"/>
            <w:tcBorders>
              <w:top w:val="single" w:sz="8" w:space="0" w:color="auto"/>
              <w:left w:val="nil"/>
              <w:bottom w:val="single" w:sz="8" w:space="0" w:color="auto"/>
              <w:right w:val="single" w:sz="8" w:space="0" w:color="auto"/>
            </w:tcBorders>
            <w:shd w:val="clear" w:color="auto" w:fill="auto"/>
            <w:noWrap/>
            <w:vAlign w:val="center"/>
          </w:tcPr>
          <w:p w:rsidR="005C2EF8" w:rsidRPr="00FA0BF0" w:rsidRDefault="009460BF" w:rsidP="0088148C">
            <w:pPr>
              <w:jc w:val="right"/>
              <w:rPr>
                <w:rFonts w:cs="Arial"/>
                <w:color w:val="000000"/>
                <w:sz w:val="20"/>
                <w:szCs w:val="20"/>
              </w:rPr>
            </w:pPr>
            <w:r>
              <w:rPr>
                <w:rFonts w:cs="Arial"/>
                <w:noProof/>
                <w:sz w:val="20"/>
                <w:szCs w:val="20"/>
              </w:rPr>
              <w:drawing>
                <wp:anchor distT="0" distB="0" distL="114300" distR="114300" simplePos="0" relativeHeight="251660288" behindDoc="0" locked="0" layoutInCell="1" allowOverlap="1" wp14:anchorId="32118DC9" wp14:editId="66791DDA">
                  <wp:simplePos x="0" y="0"/>
                  <wp:positionH relativeFrom="column">
                    <wp:posOffset>1109345</wp:posOffset>
                  </wp:positionH>
                  <wp:positionV relativeFrom="paragraph">
                    <wp:posOffset>45085</wp:posOffset>
                  </wp:positionV>
                  <wp:extent cx="3837940" cy="230695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37940" cy="2306955"/>
                          </a:xfrm>
                          <a:prstGeom prst="rect">
                            <a:avLst/>
                          </a:prstGeom>
                          <a:noFill/>
                        </pic:spPr>
                      </pic:pic>
                    </a:graphicData>
                  </a:graphic>
                  <wp14:sizeRelH relativeFrom="page">
                    <wp14:pctWidth>0</wp14:pctWidth>
                  </wp14:sizeRelH>
                  <wp14:sizeRelV relativeFrom="page">
                    <wp14:pctHeight>0</wp14:pctHeight>
                  </wp14:sizeRelV>
                </wp:anchor>
              </w:drawing>
            </w:r>
          </w:p>
        </w:tc>
      </w:tr>
      <w:tr w:rsidR="005C2EF8" w:rsidRPr="00FA0BF0" w:rsidTr="009A27F0">
        <w:trPr>
          <w:trHeight w:val="270"/>
        </w:trPr>
        <w:tc>
          <w:tcPr>
            <w:tcW w:w="172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C2EF8" w:rsidRPr="00FA0BF0" w:rsidRDefault="005C2EF8" w:rsidP="0088148C">
            <w:pPr>
              <w:jc w:val="center"/>
              <w:rPr>
                <w:rFonts w:cs="Arial"/>
                <w:color w:val="000000"/>
                <w:sz w:val="20"/>
                <w:szCs w:val="20"/>
              </w:rPr>
            </w:pPr>
            <w:r w:rsidRPr="00FA0BF0">
              <w:rPr>
                <w:rFonts w:cs="Arial"/>
                <w:color w:val="000000"/>
                <w:sz w:val="20"/>
                <w:szCs w:val="20"/>
              </w:rPr>
              <w:t>Jan</w:t>
            </w:r>
          </w:p>
        </w:tc>
        <w:tc>
          <w:tcPr>
            <w:tcW w:w="1256" w:type="dxa"/>
            <w:tcBorders>
              <w:top w:val="single" w:sz="8" w:space="0" w:color="auto"/>
              <w:left w:val="nil"/>
              <w:bottom w:val="single" w:sz="8" w:space="0" w:color="auto"/>
              <w:right w:val="single" w:sz="8" w:space="0" w:color="auto"/>
            </w:tcBorders>
            <w:shd w:val="clear" w:color="auto" w:fill="auto"/>
            <w:noWrap/>
            <w:hideMark/>
          </w:tcPr>
          <w:p w:rsidR="005C2EF8" w:rsidRPr="00FA0BF0" w:rsidRDefault="005C2EF8" w:rsidP="0088148C">
            <w:pPr>
              <w:jc w:val="right"/>
              <w:rPr>
                <w:rFonts w:cs="Arial"/>
                <w:color w:val="000000"/>
                <w:sz w:val="20"/>
                <w:szCs w:val="20"/>
              </w:rPr>
            </w:pPr>
            <w:r w:rsidRPr="00E75D33">
              <w:t>0.0772986</w:t>
            </w:r>
          </w:p>
        </w:tc>
      </w:tr>
      <w:tr w:rsidR="005C2EF8" w:rsidRPr="00FA0BF0" w:rsidTr="009A27F0">
        <w:trPr>
          <w:trHeight w:val="270"/>
        </w:trPr>
        <w:tc>
          <w:tcPr>
            <w:tcW w:w="1725" w:type="dxa"/>
            <w:tcBorders>
              <w:top w:val="nil"/>
              <w:left w:val="single" w:sz="8" w:space="0" w:color="auto"/>
              <w:bottom w:val="single" w:sz="8" w:space="0" w:color="auto"/>
              <w:right w:val="single" w:sz="8" w:space="0" w:color="auto"/>
            </w:tcBorders>
            <w:shd w:val="clear" w:color="auto" w:fill="auto"/>
            <w:noWrap/>
            <w:vAlign w:val="center"/>
            <w:hideMark/>
          </w:tcPr>
          <w:p w:rsidR="005C2EF8" w:rsidRPr="00FA0BF0" w:rsidRDefault="005C2EF8" w:rsidP="0088148C">
            <w:pPr>
              <w:jc w:val="center"/>
              <w:rPr>
                <w:rFonts w:cs="Arial"/>
                <w:color w:val="000000"/>
                <w:sz w:val="20"/>
                <w:szCs w:val="20"/>
              </w:rPr>
            </w:pPr>
            <w:r w:rsidRPr="00FA0BF0">
              <w:rPr>
                <w:rFonts w:cs="Arial"/>
                <w:color w:val="000000"/>
                <w:sz w:val="20"/>
                <w:szCs w:val="20"/>
              </w:rPr>
              <w:t>Feb</w:t>
            </w:r>
          </w:p>
        </w:tc>
        <w:tc>
          <w:tcPr>
            <w:tcW w:w="1256" w:type="dxa"/>
            <w:tcBorders>
              <w:top w:val="nil"/>
              <w:left w:val="nil"/>
              <w:bottom w:val="single" w:sz="8" w:space="0" w:color="auto"/>
              <w:right w:val="single" w:sz="8" w:space="0" w:color="auto"/>
            </w:tcBorders>
            <w:shd w:val="clear" w:color="auto" w:fill="auto"/>
            <w:noWrap/>
            <w:hideMark/>
          </w:tcPr>
          <w:p w:rsidR="005C2EF8" w:rsidRPr="00FA0BF0" w:rsidRDefault="005C2EF8" w:rsidP="0088148C">
            <w:pPr>
              <w:rPr>
                <w:rFonts w:cs="Arial"/>
                <w:color w:val="000000"/>
                <w:sz w:val="20"/>
                <w:szCs w:val="20"/>
              </w:rPr>
            </w:pPr>
            <w:r w:rsidRPr="00E75D33">
              <w:t>0.0623938</w:t>
            </w:r>
          </w:p>
        </w:tc>
      </w:tr>
      <w:tr w:rsidR="005C2EF8" w:rsidRPr="00FA0BF0" w:rsidTr="009A27F0">
        <w:trPr>
          <w:trHeight w:val="270"/>
        </w:trPr>
        <w:tc>
          <w:tcPr>
            <w:tcW w:w="1725" w:type="dxa"/>
            <w:tcBorders>
              <w:top w:val="nil"/>
              <w:left w:val="single" w:sz="8" w:space="0" w:color="auto"/>
              <w:bottom w:val="single" w:sz="8" w:space="0" w:color="auto"/>
              <w:right w:val="single" w:sz="8" w:space="0" w:color="auto"/>
            </w:tcBorders>
            <w:shd w:val="clear" w:color="auto" w:fill="auto"/>
            <w:noWrap/>
            <w:vAlign w:val="center"/>
            <w:hideMark/>
          </w:tcPr>
          <w:p w:rsidR="005C2EF8" w:rsidRPr="00FA0BF0" w:rsidRDefault="005C2EF8" w:rsidP="0088148C">
            <w:pPr>
              <w:jc w:val="center"/>
              <w:rPr>
                <w:rFonts w:cs="Arial"/>
                <w:color w:val="000000"/>
                <w:sz w:val="20"/>
                <w:szCs w:val="20"/>
              </w:rPr>
            </w:pPr>
            <w:r w:rsidRPr="00FA0BF0">
              <w:rPr>
                <w:rFonts w:cs="Arial"/>
                <w:color w:val="000000"/>
                <w:sz w:val="20"/>
                <w:szCs w:val="20"/>
              </w:rPr>
              <w:t>Mar</w:t>
            </w:r>
          </w:p>
        </w:tc>
        <w:tc>
          <w:tcPr>
            <w:tcW w:w="1256" w:type="dxa"/>
            <w:tcBorders>
              <w:top w:val="nil"/>
              <w:left w:val="nil"/>
              <w:bottom w:val="single" w:sz="8" w:space="0" w:color="auto"/>
              <w:right w:val="single" w:sz="8" w:space="0" w:color="auto"/>
            </w:tcBorders>
            <w:shd w:val="clear" w:color="auto" w:fill="auto"/>
            <w:noWrap/>
            <w:hideMark/>
          </w:tcPr>
          <w:p w:rsidR="005C2EF8" w:rsidRPr="00FA0BF0" w:rsidRDefault="005C2EF8" w:rsidP="0088148C">
            <w:pPr>
              <w:rPr>
                <w:rFonts w:cs="Arial"/>
                <w:color w:val="000000"/>
                <w:sz w:val="20"/>
                <w:szCs w:val="20"/>
              </w:rPr>
            </w:pPr>
            <w:r w:rsidRPr="00E75D33">
              <w:t>0.0689485</w:t>
            </w:r>
          </w:p>
        </w:tc>
      </w:tr>
      <w:tr w:rsidR="005C2EF8" w:rsidRPr="00FA0BF0" w:rsidTr="009A27F0">
        <w:trPr>
          <w:trHeight w:val="270"/>
        </w:trPr>
        <w:tc>
          <w:tcPr>
            <w:tcW w:w="1725" w:type="dxa"/>
            <w:tcBorders>
              <w:top w:val="nil"/>
              <w:left w:val="single" w:sz="8" w:space="0" w:color="auto"/>
              <w:bottom w:val="single" w:sz="8" w:space="0" w:color="auto"/>
              <w:right w:val="single" w:sz="8" w:space="0" w:color="auto"/>
            </w:tcBorders>
            <w:shd w:val="clear" w:color="auto" w:fill="auto"/>
            <w:noWrap/>
            <w:vAlign w:val="center"/>
            <w:hideMark/>
          </w:tcPr>
          <w:p w:rsidR="005C2EF8" w:rsidRPr="00FA0BF0" w:rsidRDefault="005C2EF8" w:rsidP="0088148C">
            <w:pPr>
              <w:jc w:val="center"/>
              <w:rPr>
                <w:rFonts w:cs="Arial"/>
                <w:color w:val="000000"/>
                <w:sz w:val="20"/>
                <w:szCs w:val="20"/>
              </w:rPr>
            </w:pPr>
            <w:r w:rsidRPr="00FA0BF0">
              <w:rPr>
                <w:rFonts w:cs="Arial"/>
                <w:color w:val="000000"/>
                <w:sz w:val="20"/>
                <w:szCs w:val="20"/>
              </w:rPr>
              <w:t>Apr</w:t>
            </w:r>
          </w:p>
        </w:tc>
        <w:tc>
          <w:tcPr>
            <w:tcW w:w="1256" w:type="dxa"/>
            <w:tcBorders>
              <w:top w:val="nil"/>
              <w:left w:val="nil"/>
              <w:bottom w:val="single" w:sz="8" w:space="0" w:color="auto"/>
              <w:right w:val="single" w:sz="8" w:space="0" w:color="auto"/>
            </w:tcBorders>
            <w:shd w:val="clear" w:color="auto" w:fill="auto"/>
            <w:noWrap/>
            <w:hideMark/>
          </w:tcPr>
          <w:p w:rsidR="005C2EF8" w:rsidRPr="00FA0BF0" w:rsidRDefault="005C2EF8" w:rsidP="0088148C">
            <w:pPr>
              <w:rPr>
                <w:rFonts w:cs="Arial"/>
                <w:color w:val="000000"/>
                <w:sz w:val="20"/>
                <w:szCs w:val="20"/>
              </w:rPr>
            </w:pPr>
            <w:r w:rsidRPr="00E75D33">
              <w:t>0.070993</w:t>
            </w:r>
          </w:p>
        </w:tc>
      </w:tr>
      <w:tr w:rsidR="005C2EF8" w:rsidRPr="00FA0BF0" w:rsidTr="009A27F0">
        <w:trPr>
          <w:trHeight w:val="270"/>
        </w:trPr>
        <w:tc>
          <w:tcPr>
            <w:tcW w:w="1725" w:type="dxa"/>
            <w:tcBorders>
              <w:top w:val="nil"/>
              <w:left w:val="single" w:sz="8" w:space="0" w:color="auto"/>
              <w:bottom w:val="single" w:sz="8" w:space="0" w:color="auto"/>
              <w:right w:val="single" w:sz="8" w:space="0" w:color="auto"/>
            </w:tcBorders>
            <w:shd w:val="clear" w:color="auto" w:fill="auto"/>
            <w:noWrap/>
            <w:vAlign w:val="center"/>
            <w:hideMark/>
          </w:tcPr>
          <w:p w:rsidR="005C2EF8" w:rsidRPr="00FA0BF0" w:rsidRDefault="005C2EF8" w:rsidP="0088148C">
            <w:pPr>
              <w:jc w:val="center"/>
              <w:rPr>
                <w:rFonts w:cs="Arial"/>
                <w:color w:val="000000"/>
                <w:sz w:val="20"/>
                <w:szCs w:val="20"/>
              </w:rPr>
            </w:pPr>
            <w:r w:rsidRPr="00FA0BF0">
              <w:rPr>
                <w:rFonts w:cs="Arial"/>
                <w:color w:val="000000"/>
                <w:sz w:val="20"/>
                <w:szCs w:val="20"/>
              </w:rPr>
              <w:t>May</w:t>
            </w:r>
          </w:p>
        </w:tc>
        <w:tc>
          <w:tcPr>
            <w:tcW w:w="1256" w:type="dxa"/>
            <w:tcBorders>
              <w:top w:val="nil"/>
              <w:left w:val="nil"/>
              <w:bottom w:val="single" w:sz="8" w:space="0" w:color="auto"/>
              <w:right w:val="single" w:sz="8" w:space="0" w:color="auto"/>
            </w:tcBorders>
            <w:shd w:val="clear" w:color="auto" w:fill="auto"/>
            <w:noWrap/>
            <w:hideMark/>
          </w:tcPr>
          <w:p w:rsidR="005C2EF8" w:rsidRPr="00FA0BF0" w:rsidRDefault="005C2EF8" w:rsidP="0088148C">
            <w:pPr>
              <w:rPr>
                <w:rFonts w:cs="Arial"/>
                <w:color w:val="000000"/>
                <w:sz w:val="20"/>
                <w:szCs w:val="20"/>
              </w:rPr>
            </w:pPr>
            <w:r w:rsidRPr="00E75D33">
              <w:t>0.0782812</w:t>
            </w:r>
          </w:p>
        </w:tc>
      </w:tr>
      <w:tr w:rsidR="005C2EF8" w:rsidRPr="00FA0BF0" w:rsidTr="009A27F0">
        <w:trPr>
          <w:trHeight w:val="270"/>
        </w:trPr>
        <w:tc>
          <w:tcPr>
            <w:tcW w:w="1725" w:type="dxa"/>
            <w:tcBorders>
              <w:top w:val="nil"/>
              <w:left w:val="single" w:sz="8" w:space="0" w:color="auto"/>
              <w:bottom w:val="single" w:sz="8" w:space="0" w:color="auto"/>
              <w:right w:val="single" w:sz="8" w:space="0" w:color="auto"/>
            </w:tcBorders>
            <w:shd w:val="clear" w:color="auto" w:fill="auto"/>
            <w:noWrap/>
            <w:vAlign w:val="center"/>
            <w:hideMark/>
          </w:tcPr>
          <w:p w:rsidR="005C2EF8" w:rsidRPr="00FA0BF0" w:rsidRDefault="005C2EF8" w:rsidP="0088148C">
            <w:pPr>
              <w:jc w:val="center"/>
              <w:rPr>
                <w:rFonts w:cs="Arial"/>
                <w:color w:val="000000"/>
                <w:sz w:val="20"/>
                <w:szCs w:val="20"/>
              </w:rPr>
            </w:pPr>
            <w:r w:rsidRPr="00FA0BF0">
              <w:rPr>
                <w:rFonts w:cs="Arial"/>
                <w:color w:val="000000"/>
                <w:sz w:val="20"/>
                <w:szCs w:val="20"/>
              </w:rPr>
              <w:t>Jun</w:t>
            </w:r>
          </w:p>
        </w:tc>
        <w:tc>
          <w:tcPr>
            <w:tcW w:w="1256" w:type="dxa"/>
            <w:tcBorders>
              <w:top w:val="nil"/>
              <w:left w:val="nil"/>
              <w:bottom w:val="single" w:sz="8" w:space="0" w:color="auto"/>
              <w:right w:val="single" w:sz="8" w:space="0" w:color="auto"/>
            </w:tcBorders>
            <w:shd w:val="clear" w:color="auto" w:fill="auto"/>
            <w:noWrap/>
            <w:hideMark/>
          </w:tcPr>
          <w:p w:rsidR="005C2EF8" w:rsidRPr="00FA0BF0" w:rsidRDefault="005C2EF8" w:rsidP="0088148C">
            <w:pPr>
              <w:rPr>
                <w:rFonts w:cs="Arial"/>
                <w:color w:val="000000"/>
                <w:sz w:val="20"/>
                <w:szCs w:val="20"/>
              </w:rPr>
            </w:pPr>
            <w:r w:rsidRPr="00E75D33">
              <w:t>0.1016216</w:t>
            </w:r>
          </w:p>
        </w:tc>
      </w:tr>
      <w:tr w:rsidR="005C2EF8" w:rsidRPr="00FA0BF0" w:rsidTr="009A27F0">
        <w:trPr>
          <w:trHeight w:val="270"/>
        </w:trPr>
        <w:tc>
          <w:tcPr>
            <w:tcW w:w="1725" w:type="dxa"/>
            <w:tcBorders>
              <w:top w:val="nil"/>
              <w:left w:val="single" w:sz="8" w:space="0" w:color="auto"/>
              <w:bottom w:val="single" w:sz="8" w:space="0" w:color="auto"/>
              <w:right w:val="single" w:sz="8" w:space="0" w:color="auto"/>
            </w:tcBorders>
            <w:shd w:val="clear" w:color="auto" w:fill="auto"/>
            <w:noWrap/>
            <w:vAlign w:val="center"/>
            <w:hideMark/>
          </w:tcPr>
          <w:p w:rsidR="005C2EF8" w:rsidRPr="00FA0BF0" w:rsidRDefault="005C2EF8" w:rsidP="0088148C">
            <w:pPr>
              <w:jc w:val="center"/>
              <w:rPr>
                <w:rFonts w:cs="Arial"/>
                <w:color w:val="000000"/>
                <w:sz w:val="20"/>
                <w:szCs w:val="20"/>
              </w:rPr>
            </w:pPr>
            <w:r w:rsidRPr="00FA0BF0">
              <w:rPr>
                <w:rFonts w:cs="Arial"/>
                <w:color w:val="000000"/>
                <w:sz w:val="20"/>
                <w:szCs w:val="20"/>
              </w:rPr>
              <w:t>Jul</w:t>
            </w:r>
          </w:p>
        </w:tc>
        <w:tc>
          <w:tcPr>
            <w:tcW w:w="1256" w:type="dxa"/>
            <w:tcBorders>
              <w:top w:val="nil"/>
              <w:left w:val="nil"/>
              <w:bottom w:val="single" w:sz="8" w:space="0" w:color="auto"/>
              <w:right w:val="single" w:sz="8" w:space="0" w:color="auto"/>
            </w:tcBorders>
            <w:shd w:val="clear" w:color="auto" w:fill="auto"/>
            <w:noWrap/>
            <w:hideMark/>
          </w:tcPr>
          <w:p w:rsidR="005C2EF8" w:rsidRPr="00FA0BF0" w:rsidRDefault="005C2EF8" w:rsidP="0088148C">
            <w:pPr>
              <w:rPr>
                <w:rFonts w:cs="Arial"/>
                <w:color w:val="000000"/>
                <w:sz w:val="20"/>
                <w:szCs w:val="20"/>
              </w:rPr>
            </w:pPr>
            <w:r w:rsidRPr="00E75D33">
              <w:t>0.1081705</w:t>
            </w:r>
          </w:p>
        </w:tc>
      </w:tr>
      <w:tr w:rsidR="005C2EF8" w:rsidRPr="00FA0BF0" w:rsidTr="009A27F0">
        <w:trPr>
          <w:trHeight w:val="270"/>
        </w:trPr>
        <w:tc>
          <w:tcPr>
            <w:tcW w:w="1725" w:type="dxa"/>
            <w:tcBorders>
              <w:top w:val="nil"/>
              <w:left w:val="single" w:sz="8" w:space="0" w:color="auto"/>
              <w:bottom w:val="single" w:sz="8" w:space="0" w:color="auto"/>
              <w:right w:val="single" w:sz="8" w:space="0" w:color="auto"/>
            </w:tcBorders>
            <w:shd w:val="clear" w:color="auto" w:fill="auto"/>
            <w:noWrap/>
            <w:vAlign w:val="center"/>
            <w:hideMark/>
          </w:tcPr>
          <w:p w:rsidR="005C2EF8" w:rsidRPr="00FA0BF0" w:rsidRDefault="005C2EF8" w:rsidP="0088148C">
            <w:pPr>
              <w:jc w:val="center"/>
              <w:rPr>
                <w:rFonts w:cs="Arial"/>
                <w:color w:val="000000"/>
                <w:sz w:val="20"/>
                <w:szCs w:val="20"/>
              </w:rPr>
            </w:pPr>
            <w:r w:rsidRPr="00FA0BF0">
              <w:rPr>
                <w:rFonts w:cs="Arial"/>
                <w:color w:val="000000"/>
                <w:sz w:val="20"/>
                <w:szCs w:val="20"/>
              </w:rPr>
              <w:t>Aug</w:t>
            </w:r>
          </w:p>
        </w:tc>
        <w:tc>
          <w:tcPr>
            <w:tcW w:w="1256" w:type="dxa"/>
            <w:tcBorders>
              <w:top w:val="nil"/>
              <w:left w:val="nil"/>
              <w:bottom w:val="single" w:sz="8" w:space="0" w:color="auto"/>
              <w:right w:val="single" w:sz="8" w:space="0" w:color="auto"/>
            </w:tcBorders>
            <w:shd w:val="clear" w:color="auto" w:fill="auto"/>
            <w:noWrap/>
            <w:hideMark/>
          </w:tcPr>
          <w:p w:rsidR="005C2EF8" w:rsidRPr="00FA0BF0" w:rsidRDefault="005C2EF8" w:rsidP="0088148C">
            <w:pPr>
              <w:rPr>
                <w:rFonts w:cs="Arial"/>
                <w:color w:val="000000"/>
                <w:sz w:val="20"/>
                <w:szCs w:val="20"/>
              </w:rPr>
            </w:pPr>
            <w:r w:rsidRPr="00E75D33">
              <w:t>0.1062156</w:t>
            </w:r>
          </w:p>
        </w:tc>
      </w:tr>
      <w:tr w:rsidR="005C2EF8" w:rsidRPr="00FA0BF0" w:rsidTr="009A27F0">
        <w:trPr>
          <w:trHeight w:val="270"/>
        </w:trPr>
        <w:tc>
          <w:tcPr>
            <w:tcW w:w="1725" w:type="dxa"/>
            <w:tcBorders>
              <w:top w:val="nil"/>
              <w:left w:val="single" w:sz="8" w:space="0" w:color="auto"/>
              <w:bottom w:val="single" w:sz="8" w:space="0" w:color="auto"/>
              <w:right w:val="single" w:sz="8" w:space="0" w:color="auto"/>
            </w:tcBorders>
            <w:shd w:val="clear" w:color="auto" w:fill="auto"/>
            <w:noWrap/>
            <w:vAlign w:val="center"/>
            <w:hideMark/>
          </w:tcPr>
          <w:p w:rsidR="005C2EF8" w:rsidRPr="00FA0BF0" w:rsidRDefault="005C2EF8" w:rsidP="0088148C">
            <w:pPr>
              <w:jc w:val="center"/>
              <w:rPr>
                <w:rFonts w:cs="Arial"/>
                <w:color w:val="000000"/>
                <w:sz w:val="20"/>
                <w:szCs w:val="20"/>
              </w:rPr>
            </w:pPr>
            <w:r w:rsidRPr="00FA0BF0">
              <w:rPr>
                <w:rFonts w:cs="Arial"/>
                <w:color w:val="000000"/>
                <w:sz w:val="20"/>
                <w:szCs w:val="20"/>
              </w:rPr>
              <w:t>Sep</w:t>
            </w:r>
          </w:p>
        </w:tc>
        <w:tc>
          <w:tcPr>
            <w:tcW w:w="1256" w:type="dxa"/>
            <w:tcBorders>
              <w:top w:val="nil"/>
              <w:left w:val="nil"/>
              <w:bottom w:val="single" w:sz="8" w:space="0" w:color="auto"/>
              <w:right w:val="single" w:sz="8" w:space="0" w:color="auto"/>
            </w:tcBorders>
            <w:shd w:val="clear" w:color="auto" w:fill="auto"/>
            <w:noWrap/>
            <w:hideMark/>
          </w:tcPr>
          <w:p w:rsidR="005C2EF8" w:rsidRPr="00FA0BF0" w:rsidRDefault="005C2EF8" w:rsidP="0088148C">
            <w:pPr>
              <w:rPr>
                <w:rFonts w:cs="Arial"/>
                <w:color w:val="000000"/>
                <w:sz w:val="20"/>
                <w:szCs w:val="20"/>
              </w:rPr>
            </w:pPr>
            <w:r w:rsidRPr="00E75D33">
              <w:t>0.0896876</w:t>
            </w:r>
          </w:p>
        </w:tc>
      </w:tr>
      <w:tr w:rsidR="005C2EF8" w:rsidRPr="00FA0BF0" w:rsidTr="009A27F0">
        <w:trPr>
          <w:trHeight w:val="270"/>
        </w:trPr>
        <w:tc>
          <w:tcPr>
            <w:tcW w:w="1725" w:type="dxa"/>
            <w:tcBorders>
              <w:top w:val="nil"/>
              <w:left w:val="single" w:sz="8" w:space="0" w:color="auto"/>
              <w:bottom w:val="single" w:sz="8" w:space="0" w:color="auto"/>
              <w:right w:val="single" w:sz="8" w:space="0" w:color="auto"/>
            </w:tcBorders>
            <w:shd w:val="clear" w:color="auto" w:fill="auto"/>
            <w:noWrap/>
            <w:vAlign w:val="center"/>
            <w:hideMark/>
          </w:tcPr>
          <w:p w:rsidR="005C2EF8" w:rsidRPr="00FA0BF0" w:rsidRDefault="005C2EF8" w:rsidP="0088148C">
            <w:pPr>
              <w:jc w:val="center"/>
              <w:rPr>
                <w:rFonts w:cs="Arial"/>
                <w:color w:val="000000"/>
                <w:sz w:val="20"/>
                <w:szCs w:val="20"/>
              </w:rPr>
            </w:pPr>
            <w:r w:rsidRPr="00FA0BF0">
              <w:rPr>
                <w:rFonts w:cs="Arial"/>
                <w:color w:val="000000"/>
                <w:sz w:val="20"/>
                <w:szCs w:val="20"/>
              </w:rPr>
              <w:t>Oct</w:t>
            </w:r>
          </w:p>
        </w:tc>
        <w:tc>
          <w:tcPr>
            <w:tcW w:w="1256" w:type="dxa"/>
            <w:tcBorders>
              <w:top w:val="nil"/>
              <w:left w:val="nil"/>
              <w:bottom w:val="single" w:sz="8" w:space="0" w:color="auto"/>
              <w:right w:val="single" w:sz="8" w:space="0" w:color="auto"/>
            </w:tcBorders>
            <w:shd w:val="clear" w:color="auto" w:fill="auto"/>
            <w:noWrap/>
            <w:hideMark/>
          </w:tcPr>
          <w:p w:rsidR="005C2EF8" w:rsidRPr="00FA0BF0" w:rsidRDefault="005C2EF8" w:rsidP="0088148C">
            <w:pPr>
              <w:rPr>
                <w:rFonts w:cs="Arial"/>
                <w:color w:val="000000"/>
                <w:sz w:val="20"/>
                <w:szCs w:val="20"/>
              </w:rPr>
            </w:pPr>
            <w:r w:rsidRPr="00E75D33">
              <w:t>0.0791887</w:t>
            </w:r>
          </w:p>
        </w:tc>
      </w:tr>
      <w:tr w:rsidR="005C2EF8" w:rsidRPr="00FA0BF0" w:rsidTr="009A27F0">
        <w:trPr>
          <w:trHeight w:val="270"/>
        </w:trPr>
        <w:tc>
          <w:tcPr>
            <w:tcW w:w="1725" w:type="dxa"/>
            <w:tcBorders>
              <w:top w:val="nil"/>
              <w:left w:val="single" w:sz="8" w:space="0" w:color="auto"/>
              <w:bottom w:val="single" w:sz="8" w:space="0" w:color="auto"/>
              <w:right w:val="single" w:sz="8" w:space="0" w:color="auto"/>
            </w:tcBorders>
            <w:shd w:val="clear" w:color="auto" w:fill="auto"/>
            <w:noWrap/>
            <w:vAlign w:val="center"/>
            <w:hideMark/>
          </w:tcPr>
          <w:p w:rsidR="005C2EF8" w:rsidRPr="00FA0BF0" w:rsidRDefault="005C2EF8" w:rsidP="0088148C">
            <w:pPr>
              <w:jc w:val="center"/>
              <w:rPr>
                <w:rFonts w:cs="Arial"/>
                <w:color w:val="000000"/>
                <w:sz w:val="20"/>
                <w:szCs w:val="20"/>
              </w:rPr>
            </w:pPr>
            <w:r w:rsidRPr="00FA0BF0">
              <w:rPr>
                <w:rFonts w:cs="Arial"/>
                <w:color w:val="000000"/>
                <w:sz w:val="20"/>
                <w:szCs w:val="20"/>
              </w:rPr>
              <w:t>Nov</w:t>
            </w:r>
          </w:p>
        </w:tc>
        <w:tc>
          <w:tcPr>
            <w:tcW w:w="1256" w:type="dxa"/>
            <w:tcBorders>
              <w:top w:val="nil"/>
              <w:left w:val="nil"/>
              <w:bottom w:val="single" w:sz="8" w:space="0" w:color="auto"/>
              <w:right w:val="single" w:sz="8" w:space="0" w:color="auto"/>
            </w:tcBorders>
            <w:shd w:val="clear" w:color="auto" w:fill="auto"/>
            <w:noWrap/>
            <w:hideMark/>
          </w:tcPr>
          <w:p w:rsidR="005C2EF8" w:rsidRPr="00FA0BF0" w:rsidRDefault="005C2EF8" w:rsidP="0088148C">
            <w:pPr>
              <w:rPr>
                <w:rFonts w:cs="Arial"/>
                <w:color w:val="000000"/>
                <w:sz w:val="20"/>
                <w:szCs w:val="20"/>
              </w:rPr>
            </w:pPr>
            <w:r w:rsidRPr="00E75D33">
              <w:t>0.073398</w:t>
            </w:r>
          </w:p>
        </w:tc>
      </w:tr>
      <w:tr w:rsidR="005C2EF8" w:rsidRPr="00FA0BF0" w:rsidTr="009A27F0">
        <w:trPr>
          <w:trHeight w:val="270"/>
        </w:trPr>
        <w:tc>
          <w:tcPr>
            <w:tcW w:w="1725" w:type="dxa"/>
            <w:tcBorders>
              <w:top w:val="nil"/>
              <w:left w:val="single" w:sz="8" w:space="0" w:color="auto"/>
              <w:bottom w:val="single" w:sz="8" w:space="0" w:color="auto"/>
              <w:right w:val="single" w:sz="8" w:space="0" w:color="auto"/>
            </w:tcBorders>
            <w:shd w:val="clear" w:color="auto" w:fill="auto"/>
            <w:noWrap/>
            <w:vAlign w:val="center"/>
            <w:hideMark/>
          </w:tcPr>
          <w:p w:rsidR="005C2EF8" w:rsidRPr="00FA0BF0" w:rsidRDefault="005C2EF8" w:rsidP="0088148C">
            <w:pPr>
              <w:jc w:val="center"/>
              <w:rPr>
                <w:rFonts w:cs="Arial"/>
                <w:color w:val="000000"/>
                <w:sz w:val="20"/>
                <w:szCs w:val="20"/>
              </w:rPr>
            </w:pPr>
            <w:r w:rsidRPr="00FA0BF0">
              <w:rPr>
                <w:rFonts w:cs="Arial"/>
                <w:color w:val="000000"/>
                <w:sz w:val="20"/>
                <w:szCs w:val="20"/>
              </w:rPr>
              <w:t>Dec</w:t>
            </w:r>
          </w:p>
        </w:tc>
        <w:tc>
          <w:tcPr>
            <w:tcW w:w="1256" w:type="dxa"/>
            <w:tcBorders>
              <w:top w:val="nil"/>
              <w:left w:val="nil"/>
              <w:bottom w:val="single" w:sz="8" w:space="0" w:color="auto"/>
              <w:right w:val="single" w:sz="8" w:space="0" w:color="auto"/>
            </w:tcBorders>
            <w:shd w:val="clear" w:color="auto" w:fill="auto"/>
            <w:noWrap/>
            <w:hideMark/>
          </w:tcPr>
          <w:p w:rsidR="005C2EF8" w:rsidRPr="00FA0BF0" w:rsidRDefault="005C2EF8" w:rsidP="0088148C">
            <w:pPr>
              <w:rPr>
                <w:rFonts w:cs="Arial"/>
                <w:color w:val="000000"/>
                <w:sz w:val="20"/>
                <w:szCs w:val="20"/>
              </w:rPr>
            </w:pPr>
            <w:r w:rsidRPr="00E75D33">
              <w:t>0.0838028</w:t>
            </w:r>
          </w:p>
        </w:tc>
      </w:tr>
    </w:tbl>
    <w:p w:rsidR="009A27F0" w:rsidRPr="008C6752" w:rsidRDefault="009A27F0" w:rsidP="009A27F0">
      <w:pPr>
        <w:rPr>
          <w:sz w:val="20"/>
          <w:szCs w:val="20"/>
        </w:rPr>
      </w:pPr>
    </w:p>
    <w:p w:rsidR="009A27F0" w:rsidRPr="008C6752" w:rsidRDefault="009A27F0" w:rsidP="009A27F0">
      <w:pPr>
        <w:rPr>
          <w:sz w:val="20"/>
          <w:szCs w:val="20"/>
        </w:rPr>
      </w:pPr>
    </w:p>
    <w:p w:rsidR="009A27F0" w:rsidRPr="008C6752" w:rsidRDefault="009A27F0" w:rsidP="009A27F0">
      <w:pPr>
        <w:rPr>
          <w:sz w:val="20"/>
          <w:szCs w:val="20"/>
        </w:rPr>
      </w:pPr>
    </w:p>
    <w:p w:rsidR="001B4699" w:rsidRPr="001B4699" w:rsidRDefault="001B4699" w:rsidP="001B4699">
      <w:pPr>
        <w:pStyle w:val="BodyParagraph"/>
        <w:rPr>
          <w:rFonts w:ascii="Arial" w:hAnsi="Arial" w:cs="Arial"/>
          <w:b/>
        </w:rPr>
      </w:pPr>
      <w:r w:rsidRPr="001B4699">
        <w:rPr>
          <w:rFonts w:ascii="Arial" w:hAnsi="Arial" w:cs="Arial"/>
          <w:b/>
          <w:sz w:val="24"/>
        </w:rPr>
        <w:t>E3 Proxy Tool Background</w:t>
      </w:r>
    </w:p>
    <w:p w:rsidR="001B4699" w:rsidRDefault="001B4699" w:rsidP="001B4699">
      <w:pPr>
        <w:rPr>
          <w:sz w:val="20"/>
        </w:rPr>
      </w:pPr>
      <w:r w:rsidRPr="001B4699">
        <w:rPr>
          <w:rFonts w:cs="Arial"/>
          <w:sz w:val="20"/>
        </w:rPr>
        <w:t>The E3 Calculator is an Excel spreadsheet (to be replaced by a SQL tool referred to as the Cost Effectiveness Tool (CET) which has the same functionality) that is used to evaluate the cost effectiveness of energy efficiency measures for the three California investor owned utilities. The E3 Calculator was first developed in 2004 with a focus on simplifying the program submission and review process by using a limited set of pre-determined EE impact shapes. 19 DEER-based impact shapes currently included in the E3 Calculator were se</w:t>
      </w:r>
      <w:r w:rsidRPr="001B4699">
        <w:rPr>
          <w:sz w:val="20"/>
        </w:rPr>
        <w:t>lected to fit over 80 percent of the expected EE program savings. However, for those measures that were not a good fit with the pre-determined shapes, the user was generally left with the chore of selecting the least bad fit.</w:t>
      </w:r>
    </w:p>
    <w:p w:rsidR="002C172A" w:rsidRPr="001B4699" w:rsidRDefault="002C172A" w:rsidP="001B4699">
      <w:pPr>
        <w:rPr>
          <w:sz w:val="20"/>
        </w:rPr>
      </w:pPr>
    </w:p>
    <w:p w:rsidR="001B4699" w:rsidRDefault="001B4699" w:rsidP="001B4699">
      <w:pPr>
        <w:rPr>
          <w:sz w:val="20"/>
        </w:rPr>
      </w:pPr>
      <w:r w:rsidRPr="001B4699">
        <w:rPr>
          <w:sz w:val="20"/>
        </w:rPr>
        <w:t>E3 has provided the utilities with the “E3 Proxy” tool to allow precise valuation of such measures in the E3 Calculator (and in the CET).</w:t>
      </w:r>
      <w:r w:rsidR="002C172A">
        <w:rPr>
          <w:sz w:val="20"/>
        </w:rPr>
        <w:t xml:space="preserve"> </w:t>
      </w:r>
      <w:r w:rsidRPr="001B4699">
        <w:rPr>
          <w:sz w:val="20"/>
        </w:rPr>
        <w:t>At its core, the E3 Calculator is a cost-effectiveness tool that determines the present value of lifecycle avoided cost benefits and lifecycle costs. When one assigns a DEER shape to a measure, that DEER shape determines the avoided cost benefits that will be attributed to the measure. The Proxy Tool simply calculates a weighted average of two DEER shapes that can be used to equal the avoided cost benefits that would have been attributed to the measure if that measure’s impact shape were a selectable shape.</w:t>
      </w:r>
    </w:p>
    <w:p w:rsidR="00C36AAB" w:rsidRPr="001B4699" w:rsidRDefault="00C36AAB" w:rsidP="001B4699">
      <w:pPr>
        <w:rPr>
          <w:sz w:val="20"/>
        </w:rPr>
      </w:pPr>
    </w:p>
    <w:p w:rsidR="001B4699" w:rsidRPr="001B4699" w:rsidRDefault="001B4699" w:rsidP="001B4699">
      <w:pPr>
        <w:rPr>
          <w:sz w:val="20"/>
        </w:rPr>
      </w:pPr>
      <w:r w:rsidRPr="001B4699">
        <w:rPr>
          <w:sz w:val="20"/>
        </w:rPr>
        <w:t xml:space="preserve">For example, assume measure A saves 600kWh per year, has an EUL of 10 years, and has present value avoided cost benefits of $1000 per annual kWh. Further assume that we have DEER shape 1 with present value avoided cost benefits of $1400/annual kWh and DEER Shape 2 with $900/annual kWh.  </w:t>
      </w:r>
    </w:p>
    <w:p w:rsidR="001B4699" w:rsidRPr="001B4699" w:rsidRDefault="001B4699" w:rsidP="001B4699">
      <w:pPr>
        <w:pStyle w:val="ListParagraph"/>
        <w:numPr>
          <w:ilvl w:val="0"/>
          <w:numId w:val="46"/>
        </w:numPr>
        <w:spacing w:after="160" w:line="259" w:lineRule="auto"/>
        <w:rPr>
          <w:sz w:val="20"/>
        </w:rPr>
      </w:pPr>
      <w:r w:rsidRPr="001B4699">
        <w:rPr>
          <w:sz w:val="20"/>
        </w:rPr>
        <w:lastRenderedPageBreak/>
        <w:t>The standard approach would be to enter measure A as saving 600 kWh per year and mapped to DEER Shape 2. The resulting benefits would be $540,000 (600 * 900) which is less than the actual $600,000 (600 * 1000).</w:t>
      </w:r>
    </w:p>
    <w:p w:rsidR="001B4699" w:rsidRPr="001B4699" w:rsidRDefault="001B4699" w:rsidP="001B4699">
      <w:pPr>
        <w:pStyle w:val="ListParagraph"/>
        <w:numPr>
          <w:ilvl w:val="0"/>
          <w:numId w:val="46"/>
        </w:numPr>
        <w:spacing w:after="160" w:line="259" w:lineRule="auto"/>
        <w:rPr>
          <w:sz w:val="20"/>
        </w:rPr>
      </w:pPr>
      <w:r w:rsidRPr="001B4699">
        <w:rPr>
          <w:sz w:val="20"/>
        </w:rPr>
        <w:t>The Proxy Tool method would enter measure A as saving 480kWh per year using DEER Shape 2 and 120kWh per year using DEER Shape 1. By modeling measure A using a blend of two existing DEER shapes, one can obtain the correct avoided cost benefits of $600,000 (480 * 900 + 120 * 1400)</w:t>
      </w:r>
    </w:p>
    <w:p w:rsidR="001B4699" w:rsidRPr="001B4699" w:rsidRDefault="001B4699" w:rsidP="001B4699">
      <w:pPr>
        <w:rPr>
          <w:sz w:val="20"/>
        </w:rPr>
      </w:pPr>
    </w:p>
    <w:p w:rsidR="001B4699" w:rsidRDefault="001B4699" w:rsidP="001B4699">
      <w:pPr>
        <w:pStyle w:val="BodyParagraph"/>
        <w:rPr>
          <w:rFonts w:ascii="Arial" w:hAnsi="Arial" w:cs="Arial"/>
          <w:b/>
          <w:sz w:val="24"/>
        </w:rPr>
      </w:pPr>
      <w:r w:rsidRPr="001B4699">
        <w:rPr>
          <w:rFonts w:ascii="Arial" w:hAnsi="Arial" w:cs="Arial"/>
          <w:b/>
          <w:sz w:val="24"/>
        </w:rPr>
        <w:t>The Proxy Tool</w:t>
      </w:r>
    </w:p>
    <w:p w:rsidR="001B4699" w:rsidRPr="001B4699" w:rsidRDefault="001B4699" w:rsidP="001B4699">
      <w:pPr>
        <w:rPr>
          <w:sz w:val="20"/>
        </w:rPr>
      </w:pPr>
      <w:r w:rsidRPr="001B4699">
        <w:rPr>
          <w:sz w:val="20"/>
        </w:rPr>
        <w:t>The Proxy Tool is an Excel spreadsheet that calculates the present value avoided cost benefits for a user-input hourly impact shape. This calculation is done using the same hourly avoided cost inputs that are used for the DEER shape “pre-processing”, and the same weighted average cost of capital (WACC) discount rate used in the E3 Calculator. The tool then compares the avoided cost benefits of the user-input impact shape to the avoided cost benefits for the official DEER shapes, and calculates allocation factors for any pair of DEER shapes. By splitting the measure’s annual kWh across the pair of DEER shapes using these allocation factors, the E3 Calculator will attribute present value avoided cost benefits to the measure that match what the measure would have received if its actual shape were included among the official DEER shapes.</w:t>
      </w:r>
    </w:p>
    <w:p w:rsidR="00C36AAB" w:rsidRDefault="00C36AAB" w:rsidP="001B4699">
      <w:pPr>
        <w:rPr>
          <w:sz w:val="20"/>
        </w:rPr>
      </w:pPr>
    </w:p>
    <w:p w:rsidR="001B4699" w:rsidRPr="001B4699" w:rsidRDefault="001B4699" w:rsidP="001B4699">
      <w:pPr>
        <w:rPr>
          <w:sz w:val="20"/>
        </w:rPr>
      </w:pPr>
      <w:r w:rsidRPr="001B4699">
        <w:rPr>
          <w:sz w:val="20"/>
        </w:rPr>
        <w:t>Notes:</w:t>
      </w:r>
    </w:p>
    <w:p w:rsidR="000D416B" w:rsidRDefault="001B4699" w:rsidP="001B4699">
      <w:pPr>
        <w:rPr>
          <w:sz w:val="20"/>
        </w:rPr>
      </w:pPr>
      <w:r w:rsidRPr="001B4699">
        <w:rPr>
          <w:sz w:val="20"/>
        </w:rPr>
        <w:t>The Proxy Tool can calculate allocation factors for any pair of DEER measures. The choice of DEER measures to use will not affect the result, as the allocation factors will always result in the correct avoided costs, and will always sum to 100%, so the tracking of total annual kWh savings is not distorted. Certain pairings, however, will likely have more appeal from a pure optics perspective, and for this optics reason, one should probably try to avoid pairings that result in a negative share and a greater than 100% share (unless one is modeling a storage or load shifting measure).</w:t>
      </w:r>
    </w:p>
    <w:p w:rsidR="001B4699" w:rsidRPr="001B4699" w:rsidRDefault="001B4699" w:rsidP="001B4699">
      <w:pPr>
        <w:rPr>
          <w:sz w:val="20"/>
        </w:rPr>
      </w:pPr>
    </w:p>
    <w:p w:rsidR="001B4699" w:rsidRPr="001B4699" w:rsidRDefault="001B4699" w:rsidP="001B4699">
      <w:pPr>
        <w:rPr>
          <w:sz w:val="20"/>
        </w:rPr>
      </w:pPr>
      <w:r w:rsidRPr="001B4699">
        <w:rPr>
          <w:sz w:val="20"/>
        </w:rPr>
        <w:t>The allocation shares are calculated assuming the measures are installed at the beginning of the user-entered calendar year, and that EUL is integer years. While the E3 Calculator tracks installation quarters and fractional EUL years, we do not believe that level of detail is necessary for determining allocation factors, as we do not expect the factors would change significantly with those modifications.</w:t>
      </w:r>
    </w:p>
    <w:p w:rsidR="001B4699" w:rsidRPr="001B4699" w:rsidRDefault="001B4699" w:rsidP="001B4699">
      <w:pPr>
        <w:rPr>
          <w:sz w:val="20"/>
        </w:rPr>
      </w:pPr>
    </w:p>
    <w:p w:rsidR="001B4699" w:rsidRPr="001B4699" w:rsidRDefault="001B4699" w:rsidP="00DC0EE2">
      <w:pPr>
        <w:rPr>
          <w:color w:val="1F497D"/>
          <w:sz w:val="18"/>
          <w:szCs w:val="20"/>
        </w:rPr>
      </w:pPr>
    </w:p>
    <w:p w:rsidR="001B4699" w:rsidRDefault="001B4699" w:rsidP="00DC0EE2">
      <w:pPr>
        <w:rPr>
          <w:color w:val="1F497D"/>
          <w:sz w:val="20"/>
          <w:szCs w:val="20"/>
        </w:rPr>
      </w:pPr>
    </w:p>
    <w:p w:rsidR="009460BF" w:rsidRDefault="009460BF" w:rsidP="00DC0EE2">
      <w:pPr>
        <w:rPr>
          <w:color w:val="1F497D"/>
          <w:sz w:val="20"/>
          <w:szCs w:val="20"/>
        </w:rPr>
      </w:pPr>
    </w:p>
    <w:p w:rsidR="00C839DB" w:rsidRDefault="00C839DB">
      <w:pPr>
        <w:rPr>
          <w:rFonts w:cs="Arial"/>
          <w:b/>
          <w:bCs/>
          <w:kern w:val="32"/>
          <w:sz w:val="32"/>
          <w:szCs w:val="32"/>
        </w:rPr>
      </w:pPr>
      <w:bookmarkStart w:id="134" w:name="_Toc324318383"/>
      <w:bookmarkStart w:id="135" w:name="_Toc324340513"/>
    </w:p>
    <w:p w:rsidR="00AF1807" w:rsidRDefault="00AF1807" w:rsidP="000966CC">
      <w:pPr>
        <w:pStyle w:val="Heading1"/>
        <w:sectPr w:rsidR="00AF1807" w:rsidSect="009B00D1">
          <w:headerReference w:type="default" r:id="rId27"/>
          <w:footerReference w:type="default" r:id="rId28"/>
          <w:endnotePr>
            <w:numFmt w:val="decimal"/>
          </w:endnotePr>
          <w:pgSz w:w="12240" w:h="15840"/>
          <w:pgMar w:top="1440" w:right="1440" w:bottom="1440" w:left="1440" w:header="720" w:footer="720" w:gutter="0"/>
          <w:pgNumType w:start="1" w:chapStyle="1"/>
          <w:cols w:space="720"/>
          <w:docGrid w:linePitch="360"/>
        </w:sectPr>
      </w:pPr>
    </w:p>
    <w:p w:rsidR="006B4563" w:rsidRDefault="000966CC" w:rsidP="000966CC">
      <w:pPr>
        <w:pStyle w:val="Heading1"/>
      </w:pPr>
      <w:bookmarkStart w:id="136" w:name="_Toc476228505"/>
      <w:r>
        <w:lastRenderedPageBreak/>
        <w:t>References</w:t>
      </w:r>
      <w:bookmarkEnd w:id="134"/>
      <w:bookmarkEnd w:id="135"/>
      <w:bookmarkEnd w:id="136"/>
      <w:r w:rsidR="00844B27">
        <w:t xml:space="preserve"> </w:t>
      </w:r>
    </w:p>
    <w:bookmarkEnd w:id="133"/>
    <w:p w:rsidR="00AA4D7A" w:rsidRDefault="00AA4D7A" w:rsidP="00965CA0">
      <w:pPr>
        <w:ind w:left="180" w:hanging="180"/>
      </w:pPr>
    </w:p>
    <w:p w:rsidR="00AA4D7A" w:rsidRDefault="00AA4D7A" w:rsidP="00965CA0">
      <w:pPr>
        <w:ind w:left="180" w:hanging="180"/>
      </w:pPr>
      <w:r>
        <w:t xml:space="preserve">Davis Matt; </w:t>
      </w:r>
      <w:r w:rsidRPr="00AA4D7A">
        <w:rPr>
          <w:i/>
        </w:rPr>
        <w:t>Behavior and Energy Savings</w:t>
      </w:r>
      <w:r>
        <w:rPr>
          <w:i/>
        </w:rPr>
        <w:t xml:space="preserve">, Evidence from a Series of Experimental Interventions; </w:t>
      </w:r>
      <w:r w:rsidRPr="00AA4D7A">
        <w:t>Environmental Defense Fund</w:t>
      </w:r>
      <w:r>
        <w:t>; 2011</w:t>
      </w:r>
    </w:p>
    <w:p w:rsidR="00AA4D7A" w:rsidRDefault="00AA4D7A" w:rsidP="00965CA0">
      <w:pPr>
        <w:ind w:left="180" w:hanging="180"/>
      </w:pPr>
    </w:p>
    <w:p w:rsidR="00112A46" w:rsidRDefault="00112A46" w:rsidP="00965CA0">
      <w:pPr>
        <w:ind w:left="180" w:hanging="180"/>
      </w:pPr>
      <w:r>
        <w:t xml:space="preserve">Agnew, K., Niu, M., Tanimoto, P., Goldberg, M., &amp; Wilhelm, B. (2010). </w:t>
      </w:r>
      <w:r w:rsidRPr="008E3ACA">
        <w:rPr>
          <w:i/>
        </w:rPr>
        <w:t>MO’Power to the Customer: An Evaluation of a Dual Fuel Home Energy Reports Program</w:t>
      </w:r>
      <w:r>
        <w:t>. Residential Behavior Based Energy Efficiency Program Profiles</w:t>
      </w:r>
      <w:r w:rsidR="005435EC">
        <w:t>. Madison, WI: KEMA</w:t>
      </w:r>
    </w:p>
    <w:p w:rsidR="00AA4D7A" w:rsidRPr="00AA4D7A" w:rsidRDefault="00AA4D7A" w:rsidP="00965CA0">
      <w:pPr>
        <w:ind w:left="180" w:hanging="180"/>
        <w:rPr>
          <w:i/>
        </w:rPr>
      </w:pPr>
    </w:p>
    <w:p w:rsidR="004124F7" w:rsidRDefault="004124F7" w:rsidP="00965CA0">
      <w:pPr>
        <w:ind w:left="180" w:hanging="180"/>
      </w:pPr>
      <w:r w:rsidRPr="004124F7">
        <w:t>Allcott</w:t>
      </w:r>
      <w:r>
        <w:t>,</w:t>
      </w:r>
      <w:r w:rsidRPr="004124F7">
        <w:t xml:space="preserve"> Hunt and Rogers</w:t>
      </w:r>
      <w:r>
        <w:t>,</w:t>
      </w:r>
      <w:r w:rsidRPr="004124F7">
        <w:t xml:space="preserve"> Todd</w:t>
      </w:r>
      <w:r>
        <w:t>;</w:t>
      </w:r>
      <w:r>
        <w:rPr>
          <w:i/>
        </w:rPr>
        <w:t xml:space="preserve"> </w:t>
      </w:r>
      <w:r w:rsidRPr="004124F7">
        <w:rPr>
          <w:i/>
        </w:rPr>
        <w:t>The Short-Run and Long-Run Effects of Behavioral Interventions:</w:t>
      </w:r>
      <w:r>
        <w:rPr>
          <w:i/>
        </w:rPr>
        <w:t xml:space="preserve"> </w:t>
      </w:r>
      <w:r w:rsidRPr="004124F7">
        <w:rPr>
          <w:i/>
        </w:rPr>
        <w:t>Experimental Evidence from Energy Conservation</w:t>
      </w:r>
      <w:r>
        <w:rPr>
          <w:i/>
        </w:rPr>
        <w:t xml:space="preserve">; </w:t>
      </w:r>
      <w:r w:rsidRPr="004124F7">
        <w:t>October</w:t>
      </w:r>
      <w:r>
        <w:t xml:space="preserve"> </w:t>
      </w:r>
      <w:r w:rsidRPr="004124F7">
        <w:t>16,</w:t>
      </w:r>
      <w:r>
        <w:t xml:space="preserve"> </w:t>
      </w:r>
      <w:r w:rsidRPr="004124F7">
        <w:t>2012</w:t>
      </w:r>
    </w:p>
    <w:p w:rsidR="006021AF" w:rsidRDefault="006021AF" w:rsidP="00965CA0">
      <w:pPr>
        <w:ind w:left="180" w:hanging="180"/>
      </w:pPr>
    </w:p>
    <w:p w:rsidR="000E7219" w:rsidRDefault="000E7219" w:rsidP="00965CA0">
      <w:pPr>
        <w:ind w:left="180" w:hanging="180"/>
        <w:rPr>
          <w:rFonts w:cs="Arial"/>
          <w:szCs w:val="22"/>
        </w:rPr>
      </w:pPr>
      <w:r w:rsidRPr="000E7219">
        <w:rPr>
          <w:szCs w:val="22"/>
        </w:rPr>
        <w:t xml:space="preserve">California Public Utilities Commission, </w:t>
      </w:r>
      <w:r w:rsidRPr="000E7219">
        <w:rPr>
          <w:rFonts w:cs="Arial"/>
          <w:szCs w:val="22"/>
        </w:rPr>
        <w:t>Decision 09-09-047 September 24, 2009 -- Application of Southern California Edison Company (U338E) for Approval of its 2009-2011Energy Efficiency Program Plans and Associated Public Goods Charge (PGC) and Procurement Funding Requests, Date of Issuance 10/1/2009</w:t>
      </w:r>
    </w:p>
    <w:p w:rsidR="000E7219" w:rsidRDefault="000E7219" w:rsidP="00965CA0">
      <w:pPr>
        <w:ind w:left="180" w:hanging="180"/>
        <w:rPr>
          <w:rFonts w:cs="Arial"/>
          <w:szCs w:val="22"/>
        </w:rPr>
      </w:pPr>
    </w:p>
    <w:p w:rsidR="000E7219" w:rsidRDefault="000E7219" w:rsidP="00965CA0">
      <w:pPr>
        <w:ind w:left="180" w:hanging="180"/>
        <w:rPr>
          <w:szCs w:val="22"/>
        </w:rPr>
      </w:pPr>
      <w:r w:rsidRPr="000E7219">
        <w:rPr>
          <w:szCs w:val="22"/>
        </w:rPr>
        <w:t>California Public Utilities Commission, Decision 10-04-029 April 8, 2010 -- Application of Southern California Edison Company (U338E) for Approval of its 2009-2011 Energy Efficiency Program Plans and Associated Public Goods Charge (PGC) and Procurement Funding Requests, Date of Issuance 4/21/2010</w:t>
      </w:r>
    </w:p>
    <w:p w:rsidR="00BE53E8" w:rsidRDefault="00BE53E8" w:rsidP="00965CA0">
      <w:pPr>
        <w:ind w:left="180" w:hanging="180"/>
        <w:rPr>
          <w:szCs w:val="22"/>
        </w:rPr>
      </w:pPr>
    </w:p>
    <w:p w:rsidR="00A110BD" w:rsidRDefault="00A110BD" w:rsidP="00965CA0">
      <w:pPr>
        <w:ind w:left="180" w:hanging="180"/>
        <w:rPr>
          <w:szCs w:val="22"/>
        </w:rPr>
      </w:pPr>
      <w:r>
        <w:t xml:space="preserve">DNV GL – </w:t>
      </w:r>
      <w:r w:rsidRPr="00E80611">
        <w:t>2013 PG&amp;E home energy reports Program Review and Validation of impact evaluation; ED Res 3.1</w:t>
      </w:r>
      <w:r>
        <w:t xml:space="preserve"> ; 1/16/2015 ; Study ID: </w:t>
      </w:r>
      <w:r w:rsidRPr="00E80611">
        <w:t>CPU0096.00; ED Res 3.1</w:t>
      </w:r>
    </w:p>
    <w:p w:rsidR="00A110BD" w:rsidRDefault="00A110BD" w:rsidP="00965CA0">
      <w:pPr>
        <w:ind w:left="180" w:hanging="180"/>
        <w:rPr>
          <w:szCs w:val="22"/>
        </w:rPr>
      </w:pPr>
    </w:p>
    <w:p w:rsidR="00A110BD" w:rsidRDefault="00A110BD" w:rsidP="00965CA0">
      <w:pPr>
        <w:ind w:left="180" w:hanging="180"/>
      </w:pPr>
      <w:r>
        <w:t>DNV GL – 2014 Impact Evaluation of Home Energy Reports Program Puget Sound Energy ; 07/13/2015</w:t>
      </w:r>
    </w:p>
    <w:p w:rsidR="00A110BD" w:rsidRDefault="00A110BD" w:rsidP="00965CA0">
      <w:pPr>
        <w:ind w:left="180" w:hanging="180"/>
        <w:rPr>
          <w:szCs w:val="22"/>
        </w:rPr>
      </w:pPr>
    </w:p>
    <w:p w:rsidR="00540105" w:rsidRDefault="00540105" w:rsidP="00965CA0">
      <w:pPr>
        <w:ind w:left="180" w:hanging="180"/>
      </w:pPr>
      <w:r>
        <w:t xml:space="preserve">DNV GL – </w:t>
      </w:r>
      <w:r w:rsidRPr="00245DDE">
        <w:t>California Upstream and Residential Lighting Impact Evaluation Work Order 28 (WO28) Final Report</w:t>
      </w:r>
      <w:r>
        <w:t xml:space="preserve"> ; 8/4/2014 ; Study ID: CPU0099.01</w:t>
      </w:r>
    </w:p>
    <w:p w:rsidR="00540105" w:rsidRDefault="00540105" w:rsidP="00965CA0">
      <w:pPr>
        <w:ind w:left="180" w:hanging="180"/>
        <w:rPr>
          <w:szCs w:val="22"/>
        </w:rPr>
      </w:pPr>
    </w:p>
    <w:p w:rsidR="00A110BD" w:rsidRDefault="00A110BD" w:rsidP="00965CA0">
      <w:pPr>
        <w:ind w:left="180" w:hanging="180"/>
      </w:pPr>
      <w:r>
        <w:t xml:space="preserve">DNV GL – Review </w:t>
      </w:r>
      <w:r w:rsidRPr="00E80611">
        <w:t>and Validation of 2014 Pacific Gas and Electric home energy reports Program impacts (Final Report)</w:t>
      </w:r>
      <w:r>
        <w:t xml:space="preserve"> ; 4/1/2016 ; Study ID: CPU0123.01; ED_D_Res 3.1</w:t>
      </w:r>
    </w:p>
    <w:p w:rsidR="00A110BD" w:rsidRDefault="00A110BD" w:rsidP="00965CA0">
      <w:pPr>
        <w:ind w:left="180" w:hanging="180"/>
        <w:rPr>
          <w:szCs w:val="22"/>
        </w:rPr>
      </w:pPr>
    </w:p>
    <w:p w:rsidR="00BE53E8" w:rsidRDefault="00BE53E8" w:rsidP="00965CA0">
      <w:pPr>
        <w:ind w:left="180" w:hanging="180"/>
        <w:rPr>
          <w:szCs w:val="22"/>
        </w:rPr>
      </w:pPr>
      <w:r>
        <w:t xml:space="preserve">Kema – Review </w:t>
      </w:r>
      <w:r w:rsidRPr="007C56A9">
        <w:t>of PG&amp;E Home Energy Reports Initiative Evaluation</w:t>
      </w:r>
      <w:r>
        <w:t>; 5/31/2013 ; Study ID: CPU0064.01; WO027; KEMA027</w:t>
      </w:r>
    </w:p>
    <w:p w:rsidR="00BE53E8" w:rsidRDefault="00BE53E8" w:rsidP="00965CA0">
      <w:pPr>
        <w:ind w:left="180" w:hanging="180"/>
      </w:pPr>
    </w:p>
    <w:p w:rsidR="00BE53E8" w:rsidRDefault="00BE53E8" w:rsidP="00965CA0">
      <w:pPr>
        <w:ind w:left="180" w:hanging="180"/>
        <w:rPr>
          <w:rStyle w:val="Hyperlink"/>
          <w:rFonts w:cs="Arial"/>
          <w:szCs w:val="22"/>
        </w:rPr>
      </w:pPr>
      <w:r w:rsidRPr="00A5253D">
        <w:rPr>
          <w:rFonts w:eastAsiaTheme="minorEastAsia" w:cs="Arial"/>
          <w:szCs w:val="22"/>
        </w:rPr>
        <w:t>Neenan</w:t>
      </w:r>
      <w:r>
        <w:rPr>
          <w:rFonts w:eastAsiaTheme="minorEastAsia" w:cs="Arial"/>
          <w:szCs w:val="22"/>
        </w:rPr>
        <w:t xml:space="preserve"> B.F.</w:t>
      </w:r>
      <w:r w:rsidR="006F428D">
        <w:rPr>
          <w:rFonts w:eastAsiaTheme="minorEastAsia" w:cs="Arial"/>
          <w:szCs w:val="22"/>
        </w:rPr>
        <w:t xml:space="preserve"> and</w:t>
      </w:r>
      <w:r>
        <w:rPr>
          <w:rFonts w:eastAsiaTheme="minorEastAsia" w:cs="Arial"/>
          <w:szCs w:val="22"/>
        </w:rPr>
        <w:t xml:space="preserve"> </w:t>
      </w:r>
      <w:r w:rsidRPr="00A5253D">
        <w:rPr>
          <w:rFonts w:eastAsiaTheme="minorEastAsia" w:cs="Arial"/>
          <w:szCs w:val="22"/>
        </w:rPr>
        <w:t>Robinson</w:t>
      </w:r>
      <w:r w:rsidRPr="00BE53E8">
        <w:rPr>
          <w:rFonts w:eastAsiaTheme="minorEastAsia" w:cs="Arial"/>
          <w:szCs w:val="22"/>
        </w:rPr>
        <w:t xml:space="preserve"> </w:t>
      </w:r>
      <w:r w:rsidRPr="00A5253D">
        <w:rPr>
          <w:rFonts w:eastAsiaTheme="minorEastAsia" w:cs="Arial"/>
          <w:szCs w:val="22"/>
        </w:rPr>
        <w:t xml:space="preserve">J.K.G.; </w:t>
      </w:r>
      <w:r w:rsidRPr="00A5253D">
        <w:rPr>
          <w:rFonts w:cs="Arial"/>
          <w:i/>
          <w:szCs w:val="22"/>
        </w:rPr>
        <w:t>Guidelines for Designing Effective Energy Information Feedback Pilots: Research Protocols</w:t>
      </w:r>
      <w:r>
        <w:rPr>
          <w:rFonts w:cs="Arial"/>
          <w:i/>
          <w:szCs w:val="22"/>
        </w:rPr>
        <w:t xml:space="preserve"> 1020855</w:t>
      </w:r>
      <w:r w:rsidRPr="00A5253D">
        <w:rPr>
          <w:rFonts w:cs="Arial"/>
          <w:i/>
          <w:szCs w:val="22"/>
        </w:rPr>
        <w:t>;</w:t>
      </w:r>
      <w:r w:rsidRPr="00A5253D">
        <w:rPr>
          <w:rFonts w:cs="Arial"/>
          <w:szCs w:val="22"/>
        </w:rPr>
        <w:t xml:space="preserve"> Electric Power Research Institute</w:t>
      </w:r>
      <w:r>
        <w:rPr>
          <w:rFonts w:cs="Arial"/>
          <w:szCs w:val="22"/>
        </w:rPr>
        <w:t xml:space="preserve"> (EPRI)</w:t>
      </w:r>
      <w:r w:rsidRPr="00A5253D">
        <w:rPr>
          <w:rFonts w:cs="Arial"/>
          <w:szCs w:val="22"/>
        </w:rPr>
        <w:t>;</w:t>
      </w:r>
      <w:r>
        <w:rPr>
          <w:rFonts w:cs="Arial"/>
          <w:szCs w:val="22"/>
        </w:rPr>
        <w:t xml:space="preserve"> Final Report April 2010; </w:t>
      </w:r>
      <w:hyperlink r:id="rId29" w:history="1">
        <w:r w:rsidRPr="009F044F">
          <w:rPr>
            <w:rStyle w:val="Hyperlink"/>
            <w:rFonts w:cs="Arial"/>
            <w:szCs w:val="22"/>
          </w:rPr>
          <w:t>www.EPRI.com</w:t>
        </w:r>
      </w:hyperlink>
    </w:p>
    <w:p w:rsidR="008E3ACA" w:rsidRDefault="008E3ACA" w:rsidP="008E3ACA">
      <w:pPr>
        <w:ind w:left="180" w:hanging="180"/>
      </w:pPr>
    </w:p>
    <w:p w:rsidR="00BE53E8" w:rsidRDefault="00BE53E8" w:rsidP="00965CA0">
      <w:pPr>
        <w:ind w:left="180" w:hanging="180"/>
      </w:pPr>
      <w:r>
        <w:t xml:space="preserve">PG&amp;E CES EM&amp;V Dept.; </w:t>
      </w:r>
      <w:r>
        <w:rPr>
          <w:i/>
        </w:rPr>
        <w:t>IOU Proposal for Reporting Energy Savings for Comparative Usage</w:t>
      </w:r>
      <w:r>
        <w:t xml:space="preserve"> </w:t>
      </w:r>
      <w:r w:rsidRPr="00C35F3E">
        <w:rPr>
          <w:i/>
        </w:rPr>
        <w:t>Energy Efficiency Programs</w:t>
      </w:r>
      <w:r>
        <w:rPr>
          <w:i/>
        </w:rPr>
        <w:t>,</w:t>
      </w:r>
      <w:r>
        <w:t xml:space="preserve"> May 8, 2012 Revision</w:t>
      </w:r>
    </w:p>
    <w:p w:rsidR="00BE53E8" w:rsidRDefault="00BE53E8" w:rsidP="00965CA0">
      <w:pPr>
        <w:ind w:left="180" w:hanging="180"/>
      </w:pPr>
    </w:p>
    <w:p w:rsidR="00BE53E8" w:rsidRDefault="00BE53E8" w:rsidP="00965CA0">
      <w:pPr>
        <w:ind w:left="180" w:hanging="180"/>
      </w:pPr>
      <w:r w:rsidRPr="00FA551E">
        <w:rPr>
          <w:lang w:val="fr-FR"/>
        </w:rPr>
        <w:t xml:space="preserve">PG&amp;E CES EM&amp;V Dept. </w:t>
      </w:r>
      <w:r w:rsidRPr="00322F5E">
        <w:rPr>
          <w:i/>
        </w:rPr>
        <w:t>PG&amp;E Home Energy Reports Initiative</w:t>
      </w:r>
      <w:r>
        <w:t xml:space="preserve"> </w:t>
      </w:r>
      <w:r w:rsidRPr="00AA4D7A">
        <w:rPr>
          <w:i/>
        </w:rPr>
        <w:t>Sampling Plan</w:t>
      </w:r>
      <w:r>
        <w:t xml:space="preserve"> May 17,2011 Revision</w:t>
      </w:r>
    </w:p>
    <w:p w:rsidR="00A110BD" w:rsidRDefault="00A110BD" w:rsidP="00965CA0">
      <w:pPr>
        <w:ind w:left="180" w:hanging="180"/>
      </w:pPr>
    </w:p>
    <w:p w:rsidR="00A46042" w:rsidRDefault="00BE53E8" w:rsidP="00A46042">
      <w:r>
        <w:lastRenderedPageBreak/>
        <w:t xml:space="preserve">State and Local Energy Efficiency Action Network (SEE Action); </w:t>
      </w:r>
      <w:r>
        <w:rPr>
          <w:i/>
        </w:rPr>
        <w:t>Evaluation, Measurement and Verification (EM&amp;V) of Residential Behavior-Based</w:t>
      </w:r>
      <w:r>
        <w:t xml:space="preserve"> </w:t>
      </w:r>
      <w:r w:rsidRPr="00746952">
        <w:rPr>
          <w:i/>
        </w:rPr>
        <w:t>Energy Efficiency Programs: Issues and Recommendations;</w:t>
      </w:r>
      <w:r>
        <w:t xml:space="preserve"> May 2012; </w:t>
      </w:r>
      <w:hyperlink r:id="rId30" w:history="1">
        <w:r w:rsidR="00A46042" w:rsidRPr="00A72CF9">
          <w:rPr>
            <w:rStyle w:val="Hyperlink"/>
          </w:rPr>
          <w:t>www.seeaction.gov</w:t>
        </w:r>
      </w:hyperlink>
      <w:r w:rsidR="00A46042">
        <w:t xml:space="preserve"> </w:t>
      </w:r>
    </w:p>
    <w:p w:rsidR="00BE53E8" w:rsidRDefault="00BE53E8" w:rsidP="00965CA0">
      <w:pPr>
        <w:ind w:left="180" w:hanging="180"/>
        <w:rPr>
          <w:szCs w:val="22"/>
        </w:rPr>
      </w:pPr>
    </w:p>
    <w:p w:rsidR="00A110BD" w:rsidRPr="000E7219" w:rsidRDefault="00A110BD" w:rsidP="00965CA0">
      <w:pPr>
        <w:ind w:left="180" w:hanging="180"/>
        <w:rPr>
          <w:szCs w:val="22"/>
        </w:rPr>
      </w:pPr>
      <w:r w:rsidRPr="009226B9">
        <w:t>TRC Energy Services</w:t>
      </w:r>
      <w:r>
        <w:t xml:space="preserve"> – Lighting </w:t>
      </w:r>
      <w:r w:rsidRPr="009226B9">
        <w:t>Savings Overlap Estimate for 2014 IOU Home Energy Report Programs</w:t>
      </w:r>
      <w:r>
        <w:t xml:space="preserve"> ; 6/27/2016 ; Study ID: PGE0383.01</w:t>
      </w:r>
    </w:p>
    <w:p w:rsidR="000E7219" w:rsidRDefault="000E7219" w:rsidP="00965CA0">
      <w:pPr>
        <w:ind w:left="180" w:hanging="180"/>
        <w:rPr>
          <w:b/>
          <w:sz w:val="24"/>
        </w:rPr>
      </w:pPr>
    </w:p>
    <w:p w:rsidR="00487AEF" w:rsidRPr="00487AEF" w:rsidRDefault="00487AEF" w:rsidP="004124F7">
      <w:pPr>
        <w:rPr>
          <w:b/>
          <w:sz w:val="24"/>
        </w:rPr>
      </w:pPr>
      <w:r w:rsidRPr="00487AEF">
        <w:rPr>
          <w:b/>
          <w:sz w:val="24"/>
        </w:rPr>
        <w:t>Endnotes</w:t>
      </w:r>
    </w:p>
    <w:sectPr w:rsidR="00487AEF" w:rsidRPr="00487AEF"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A08" w:rsidRDefault="00B37A08">
      <w:r>
        <w:separator/>
      </w:r>
    </w:p>
    <w:p w:rsidR="00B37A08" w:rsidRDefault="00B37A08"/>
  </w:endnote>
  <w:endnote w:type="continuationSeparator" w:id="0">
    <w:p w:rsidR="00B37A08" w:rsidRDefault="00B37A08">
      <w:r>
        <w:continuationSeparator/>
      </w:r>
    </w:p>
    <w:p w:rsidR="00B37A08" w:rsidRDefault="00B37A08"/>
  </w:endnote>
  <w:endnote w:id="1">
    <w:p w:rsidR="00E60EB9" w:rsidRDefault="00E60EB9" w:rsidP="00965CA0">
      <w:pPr>
        <w:pStyle w:val="EndnoteText"/>
        <w:ind w:left="180" w:hanging="180"/>
      </w:pPr>
      <w:r>
        <w:rPr>
          <w:rStyle w:val="EndnoteReference"/>
        </w:rPr>
        <w:endnoteRef/>
      </w:r>
      <w:r>
        <w:t xml:space="preserve"> </w:t>
      </w:r>
      <w:r w:rsidRPr="009226B9">
        <w:t>TRC Energy Services</w:t>
      </w:r>
      <w:r>
        <w:t xml:space="preserve"> – Lighting </w:t>
      </w:r>
      <w:r w:rsidRPr="009226B9">
        <w:t>Savings Overlap Estimate for 2014 IOU Home Energy Report Programs</w:t>
      </w:r>
      <w:r>
        <w:t xml:space="preserve"> ; 6/27/2016 ; Study ID: PGE0383.01</w:t>
      </w:r>
    </w:p>
    <w:p w:rsidR="00E60EB9" w:rsidRDefault="00E60EB9" w:rsidP="00965CA0">
      <w:pPr>
        <w:pStyle w:val="EndnoteText"/>
        <w:ind w:left="180" w:hanging="180"/>
      </w:pPr>
    </w:p>
  </w:endnote>
  <w:endnote w:id="2">
    <w:p w:rsidR="00E60EB9" w:rsidRDefault="00E60EB9" w:rsidP="00965CA0">
      <w:pPr>
        <w:pStyle w:val="EndnoteText"/>
        <w:ind w:left="180" w:hanging="180"/>
      </w:pPr>
      <w:r>
        <w:rPr>
          <w:rStyle w:val="EndnoteReference"/>
        </w:rPr>
        <w:endnoteRef/>
      </w:r>
      <w:r>
        <w:t xml:space="preserve"> </w:t>
      </w:r>
      <w:r w:rsidRPr="004F1C36">
        <w:t>Freeman, Sullivan &amp; Co.</w:t>
      </w:r>
      <w:r>
        <w:t xml:space="preserve"> (FSC) – </w:t>
      </w:r>
      <w:r w:rsidRPr="004F1C36">
        <w:t>Evaluation of PG&amp;E Home Energy Report Initiative for the 2010-2012 Program</w:t>
      </w:r>
      <w:r>
        <w:t xml:space="preserve"> ;</w:t>
      </w:r>
      <w:r w:rsidRPr="004F1C36">
        <w:t xml:space="preserve"> </w:t>
      </w:r>
      <w:r>
        <w:t>04/</w:t>
      </w:r>
      <w:r w:rsidRPr="004F1C36">
        <w:t>25</w:t>
      </w:r>
      <w:r>
        <w:t>/</w:t>
      </w:r>
      <w:r w:rsidRPr="004F1C36">
        <w:t xml:space="preserve"> 2013, p. 39</w:t>
      </w:r>
      <w:r>
        <w:t xml:space="preserve"> ;</w:t>
      </w:r>
      <w:r w:rsidRPr="004F1C36">
        <w:t xml:space="preserve"> CALMAC ID: ID PGE0329.01</w:t>
      </w:r>
    </w:p>
    <w:p w:rsidR="00E60EB9" w:rsidRDefault="00E60EB9" w:rsidP="00965CA0">
      <w:pPr>
        <w:pStyle w:val="EndnoteText"/>
        <w:ind w:left="180" w:hanging="180"/>
      </w:pPr>
    </w:p>
  </w:endnote>
  <w:endnote w:id="3">
    <w:p w:rsidR="00E60EB9" w:rsidRDefault="00E60EB9" w:rsidP="00965CA0">
      <w:pPr>
        <w:pStyle w:val="EndnoteText"/>
        <w:ind w:left="180" w:hanging="180"/>
      </w:pPr>
      <w:r>
        <w:rPr>
          <w:rStyle w:val="EndnoteReference"/>
        </w:rPr>
        <w:endnoteRef/>
      </w:r>
      <w:r>
        <w:t xml:space="preserve"> </w:t>
      </w:r>
      <w:r w:rsidRPr="007C0148">
        <w:t xml:space="preserve">Smith </w:t>
      </w:r>
      <w:r>
        <w:t xml:space="preserve">B. and </w:t>
      </w:r>
      <w:proofErr w:type="spellStart"/>
      <w:r w:rsidRPr="007C0148">
        <w:t>Arnot</w:t>
      </w:r>
      <w:proofErr w:type="spellEnd"/>
      <w:r>
        <w:t xml:space="preserve"> L. – </w:t>
      </w:r>
      <w:r w:rsidRPr="007C0148">
        <w:t>Neighbor Comparison Re</w:t>
      </w:r>
      <w:r>
        <w:t>ports Produce Savings, but HOW? ; ACEEE Summer Session 2014</w:t>
      </w:r>
    </w:p>
    <w:p w:rsidR="00E60EB9" w:rsidRDefault="00E60EB9" w:rsidP="00965CA0">
      <w:pPr>
        <w:pStyle w:val="EndnoteText"/>
        <w:ind w:left="180" w:hanging="180"/>
      </w:pPr>
    </w:p>
  </w:endnote>
  <w:endnote w:id="4">
    <w:p w:rsidR="00E60EB9" w:rsidRDefault="00E60EB9" w:rsidP="00965CA0">
      <w:pPr>
        <w:pStyle w:val="EndnoteText"/>
        <w:ind w:left="180" w:hanging="180"/>
        <w:rPr>
          <w:rFonts w:cs="Arial"/>
        </w:rPr>
      </w:pPr>
      <w:r w:rsidRPr="000E7219">
        <w:rPr>
          <w:rStyle w:val="EndnoteReference"/>
          <w:b/>
          <w:sz w:val="24"/>
          <w:szCs w:val="24"/>
        </w:rPr>
        <w:endnoteRef/>
      </w:r>
      <w:r>
        <w:t xml:space="preserve"> </w:t>
      </w:r>
      <w:r w:rsidRPr="000E7219">
        <w:t xml:space="preserve">California Public Utilities Commission, </w:t>
      </w:r>
      <w:r w:rsidRPr="000E7219">
        <w:rPr>
          <w:rFonts w:cs="Arial"/>
        </w:rPr>
        <w:t>Decision 09-09-047 September 24, 2009 -- Application of Southern California Edison</w:t>
      </w:r>
      <w:r>
        <w:rPr>
          <w:rFonts w:cs="Arial"/>
        </w:rPr>
        <w:t xml:space="preserve"> </w:t>
      </w:r>
      <w:r w:rsidRPr="000E7219">
        <w:rPr>
          <w:rFonts w:cs="Arial"/>
        </w:rPr>
        <w:t>Company (U338E) for Approval of its 2009-2011Energy Efficiency Program Plans and Associated</w:t>
      </w:r>
      <w:r>
        <w:rPr>
          <w:rFonts w:cs="Arial"/>
        </w:rPr>
        <w:t xml:space="preserve"> </w:t>
      </w:r>
      <w:r w:rsidRPr="000E7219">
        <w:rPr>
          <w:rFonts w:cs="Arial"/>
        </w:rPr>
        <w:t>Public Goods Charge (PGC) and Procurement</w:t>
      </w:r>
      <w:r>
        <w:rPr>
          <w:rFonts w:cs="Arial"/>
        </w:rPr>
        <w:t xml:space="preserve"> </w:t>
      </w:r>
      <w:r w:rsidRPr="000E7219">
        <w:rPr>
          <w:rFonts w:cs="Arial"/>
        </w:rPr>
        <w:t>Funding Requests</w:t>
      </w:r>
      <w:r>
        <w:rPr>
          <w:rFonts w:cs="Arial"/>
        </w:rPr>
        <w:t xml:space="preserve">, </w:t>
      </w:r>
      <w:r w:rsidRPr="000E7219">
        <w:rPr>
          <w:rFonts w:cs="Arial"/>
        </w:rPr>
        <w:t>Date of Issuance 10/1/2009</w:t>
      </w:r>
      <w:r>
        <w:rPr>
          <w:rFonts w:cs="Arial"/>
        </w:rPr>
        <w:t>; pg. 304</w:t>
      </w:r>
    </w:p>
    <w:p w:rsidR="00E60EB9" w:rsidRDefault="00E60EB9" w:rsidP="00965CA0">
      <w:pPr>
        <w:pStyle w:val="EndnoteText"/>
        <w:ind w:left="180" w:hanging="180"/>
      </w:pPr>
    </w:p>
  </w:endnote>
  <w:endnote w:id="5">
    <w:p w:rsidR="00E60EB9" w:rsidRDefault="00E60EB9" w:rsidP="00965CA0">
      <w:pPr>
        <w:pStyle w:val="EndnoteText"/>
        <w:ind w:left="180" w:hanging="180"/>
      </w:pPr>
      <w:r w:rsidRPr="000E7219">
        <w:rPr>
          <w:rStyle w:val="EndnoteReference"/>
          <w:b/>
          <w:sz w:val="24"/>
          <w:szCs w:val="24"/>
        </w:rPr>
        <w:endnoteRef/>
      </w:r>
      <w:r w:rsidRPr="000E7219">
        <w:rPr>
          <w:b/>
          <w:sz w:val="24"/>
          <w:szCs w:val="24"/>
        </w:rPr>
        <w:t xml:space="preserve"> </w:t>
      </w:r>
      <w:r w:rsidRPr="000E7219">
        <w:t>California Public Utilities Commission, Decision 10-04-029 April 8, 2010</w:t>
      </w:r>
      <w:r>
        <w:t xml:space="preserve"> -- Application of Southern California Edison Company (U338E) for Approval of its 2009-2011 Energy Efficiency Program Plans and Associated Public Goods Charge (PGC) and Procurement Funding Requests,</w:t>
      </w:r>
      <w:r w:rsidRPr="000E7219">
        <w:t xml:space="preserve"> Date of Issuance 4/21/2010, pp.40-42</w:t>
      </w:r>
    </w:p>
    <w:p w:rsidR="00E60EB9" w:rsidRPr="000E7219" w:rsidRDefault="00E60EB9" w:rsidP="00965CA0">
      <w:pPr>
        <w:pStyle w:val="EndnoteText"/>
        <w:ind w:left="180" w:hanging="180"/>
      </w:pPr>
    </w:p>
  </w:endnote>
  <w:endnote w:id="6">
    <w:p w:rsidR="00E60EB9" w:rsidRDefault="00E60EB9" w:rsidP="00965CA0">
      <w:pPr>
        <w:pStyle w:val="EndnoteText"/>
        <w:ind w:left="180" w:hanging="180"/>
        <w:rPr>
          <w:rFonts w:cs="Arial"/>
          <w:i/>
        </w:rPr>
      </w:pPr>
      <w:r w:rsidRPr="00D3514E">
        <w:rPr>
          <w:rStyle w:val="EndnoteReference"/>
          <w:b/>
          <w:sz w:val="24"/>
          <w:szCs w:val="24"/>
        </w:rPr>
        <w:endnoteRef/>
      </w:r>
      <w:r w:rsidRPr="00D3514E">
        <w:rPr>
          <w:b/>
          <w:sz w:val="24"/>
          <w:szCs w:val="24"/>
        </w:rP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p w:rsidR="00E60EB9" w:rsidRDefault="00E60EB9" w:rsidP="00965CA0">
      <w:pPr>
        <w:pStyle w:val="EndnoteText"/>
        <w:ind w:left="180" w:hanging="180"/>
      </w:pPr>
    </w:p>
  </w:endnote>
  <w:endnote w:id="7">
    <w:p w:rsidR="00E60EB9" w:rsidRDefault="00E60EB9" w:rsidP="00965CA0">
      <w:pPr>
        <w:pStyle w:val="EndnoteText"/>
        <w:ind w:left="180" w:hanging="180"/>
      </w:pPr>
      <w:r w:rsidRPr="00EB2D3B">
        <w:rPr>
          <w:rStyle w:val="EndnoteReference"/>
          <w:b/>
          <w:sz w:val="24"/>
          <w:szCs w:val="24"/>
        </w:rPr>
        <w:endnoteRef/>
      </w:r>
      <w:r w:rsidRPr="00EB2D3B">
        <w:rPr>
          <w:b/>
          <w:sz w:val="24"/>
          <w:szCs w:val="24"/>
        </w:rPr>
        <w:t xml:space="preserve"> </w:t>
      </w:r>
      <w:r>
        <w:t xml:space="preserve">PG&amp;E CES EM&amp;V Dept.; </w:t>
      </w:r>
      <w:r>
        <w:rPr>
          <w:i/>
        </w:rPr>
        <w:t>IOU Proposal for Reporting Energy Savings for Comparative Usage</w:t>
      </w:r>
      <w:r>
        <w:t xml:space="preserve"> </w:t>
      </w:r>
      <w:r w:rsidRPr="00C35F3E">
        <w:rPr>
          <w:i/>
        </w:rPr>
        <w:t>Energy Efficiency Programs</w:t>
      </w:r>
      <w:r>
        <w:rPr>
          <w:i/>
        </w:rPr>
        <w:t>,</w:t>
      </w:r>
      <w:r>
        <w:t xml:space="preserve"> May 8, 2012 Revision; page 4</w:t>
      </w:r>
    </w:p>
    <w:p w:rsidR="00E60EB9" w:rsidRDefault="00E60EB9" w:rsidP="00965CA0">
      <w:pPr>
        <w:pStyle w:val="EndnoteText"/>
        <w:ind w:left="180" w:hanging="180"/>
      </w:pPr>
    </w:p>
  </w:endnote>
  <w:endnote w:id="8">
    <w:p w:rsidR="00E60EB9" w:rsidRPr="00475C59" w:rsidRDefault="00E60EB9" w:rsidP="00965CA0">
      <w:pPr>
        <w:ind w:left="180" w:hanging="180"/>
        <w:rPr>
          <w:sz w:val="20"/>
          <w:szCs w:val="20"/>
        </w:rPr>
      </w:pPr>
      <w:r w:rsidRPr="00D3514E">
        <w:rPr>
          <w:rStyle w:val="EndnoteReference"/>
          <w:rFonts w:cs="Arial"/>
          <w:b/>
          <w:sz w:val="24"/>
        </w:rPr>
        <w:endnoteRef/>
      </w:r>
      <w:r w:rsidRPr="00BA7567">
        <w:rPr>
          <w:lang w:val="fr-FR"/>
        </w:rPr>
        <w:t xml:space="preserve"> </w:t>
      </w:r>
      <w:r w:rsidRPr="00BA7567">
        <w:rPr>
          <w:sz w:val="20"/>
          <w:szCs w:val="20"/>
          <w:lang w:val="fr-FR"/>
        </w:rPr>
        <w:t xml:space="preserve">PG&amp;E CES EM&amp;V </w:t>
      </w:r>
      <w:proofErr w:type="spellStart"/>
      <w:r w:rsidRPr="00BA7567">
        <w:rPr>
          <w:sz w:val="20"/>
          <w:szCs w:val="20"/>
          <w:lang w:val="fr-FR"/>
        </w:rPr>
        <w:t>Dept</w:t>
      </w:r>
      <w:proofErr w:type="spellEnd"/>
      <w:r w:rsidRPr="00BA7567">
        <w:rPr>
          <w:sz w:val="20"/>
          <w:szCs w:val="20"/>
          <w:lang w:val="fr-FR"/>
        </w:rPr>
        <w:t xml:space="preserve">. </w:t>
      </w:r>
      <w:r w:rsidRPr="00475C59">
        <w:rPr>
          <w:i/>
          <w:sz w:val="20"/>
          <w:szCs w:val="20"/>
        </w:rPr>
        <w:t>PG&amp;E Home Energy Reports Initiative</w:t>
      </w:r>
      <w:r w:rsidRPr="00475C59">
        <w:rPr>
          <w:sz w:val="20"/>
          <w:szCs w:val="20"/>
        </w:rPr>
        <w:t xml:space="preserve"> </w:t>
      </w:r>
      <w:r w:rsidRPr="00475C59">
        <w:rPr>
          <w:i/>
          <w:sz w:val="20"/>
          <w:szCs w:val="20"/>
        </w:rPr>
        <w:t>Sampling Plan</w:t>
      </w:r>
      <w:r w:rsidRPr="00475C59">
        <w:rPr>
          <w:sz w:val="20"/>
          <w:szCs w:val="20"/>
        </w:rPr>
        <w:t xml:space="preserve"> May 17,2011 Revision</w:t>
      </w:r>
    </w:p>
    <w:p w:rsidR="00E60EB9" w:rsidRDefault="00E60EB9" w:rsidP="00965CA0">
      <w:pPr>
        <w:pStyle w:val="EndnoteText"/>
        <w:ind w:left="180" w:hanging="180"/>
      </w:pPr>
    </w:p>
  </w:endnote>
  <w:endnote w:id="9">
    <w:p w:rsidR="00E60EB9" w:rsidRDefault="00E60EB9" w:rsidP="00965CA0">
      <w:pPr>
        <w:ind w:left="180" w:hanging="180"/>
      </w:pPr>
      <w:r w:rsidRPr="00D3514E">
        <w:rPr>
          <w:rStyle w:val="EndnoteReference"/>
          <w:rFonts w:cs="Arial"/>
          <w:b/>
          <w:sz w:val="24"/>
        </w:rPr>
        <w:endnoteRef/>
      </w:r>
      <w:r>
        <w:t xml:space="preserve"> </w:t>
      </w:r>
      <w:r w:rsidRPr="00475C59">
        <w:rPr>
          <w:sz w:val="20"/>
          <w:szCs w:val="20"/>
        </w:rPr>
        <w:t xml:space="preserve">PG&amp;E CES EM&amp;V Dept.; </w:t>
      </w:r>
      <w:r w:rsidRPr="00475C59">
        <w:rPr>
          <w:i/>
          <w:sz w:val="20"/>
          <w:szCs w:val="20"/>
        </w:rPr>
        <w:t>IOU Proposal for Reporting Energy Savings for Comparative Usage</w:t>
      </w:r>
      <w:r w:rsidRPr="00475C59">
        <w:rPr>
          <w:sz w:val="20"/>
          <w:szCs w:val="20"/>
        </w:rPr>
        <w:t xml:space="preserve"> </w:t>
      </w:r>
      <w:r w:rsidRPr="00475C59">
        <w:rPr>
          <w:i/>
          <w:sz w:val="20"/>
          <w:szCs w:val="20"/>
        </w:rPr>
        <w:t>Energy Efficiency Programs,</w:t>
      </w:r>
      <w:r w:rsidRPr="00475C59">
        <w:rPr>
          <w:sz w:val="20"/>
          <w:szCs w:val="20"/>
        </w:rPr>
        <w:t xml:space="preserve"> May 8, 2012 Revision</w:t>
      </w:r>
      <w:r>
        <w:rPr>
          <w:sz w:val="20"/>
          <w:szCs w:val="20"/>
        </w:rPr>
        <w:t>; page 4</w:t>
      </w:r>
    </w:p>
    <w:p w:rsidR="00E60EB9" w:rsidRDefault="00E60EB9" w:rsidP="00965CA0">
      <w:pPr>
        <w:ind w:left="180" w:hanging="180"/>
      </w:pPr>
    </w:p>
  </w:endnote>
  <w:endnote w:id="10">
    <w:p w:rsidR="00E60EB9" w:rsidRDefault="00E60EB9" w:rsidP="00965CA0">
      <w:pPr>
        <w:pStyle w:val="EndnoteText"/>
        <w:ind w:left="180" w:hanging="180"/>
      </w:pPr>
      <w:r w:rsidRPr="00BC48EC">
        <w:rPr>
          <w:rStyle w:val="EndnoteReference"/>
          <w:b/>
          <w:sz w:val="24"/>
          <w:szCs w:val="24"/>
        </w:rPr>
        <w:endnoteRef/>
      </w:r>
      <w:r>
        <w:t xml:space="preserve"> PG&amp;E CES EM&amp;V Dept.; </w:t>
      </w:r>
      <w:r>
        <w:rPr>
          <w:i/>
        </w:rPr>
        <w:t>IOU Proposal for Reporting Energy Savings for Comparative Usage</w:t>
      </w:r>
      <w:r>
        <w:t xml:space="preserve"> </w:t>
      </w:r>
      <w:r w:rsidRPr="00C35F3E">
        <w:rPr>
          <w:i/>
        </w:rPr>
        <w:t>Energy Efficiency Programs</w:t>
      </w:r>
      <w:r>
        <w:rPr>
          <w:i/>
        </w:rPr>
        <w:t>,</w:t>
      </w:r>
      <w:r>
        <w:t xml:space="preserve"> May 8, 2012 Revision; page 4</w:t>
      </w:r>
    </w:p>
    <w:p w:rsidR="00E60EB9" w:rsidRDefault="00E60EB9" w:rsidP="00965CA0">
      <w:pPr>
        <w:pStyle w:val="EndnoteText"/>
        <w:ind w:left="180" w:hanging="180"/>
      </w:pPr>
    </w:p>
  </w:endnote>
  <w:endnote w:id="11">
    <w:p w:rsidR="00E60EB9" w:rsidRDefault="00E60EB9" w:rsidP="00965CA0">
      <w:pPr>
        <w:ind w:left="180" w:hanging="180"/>
      </w:pPr>
      <w:r w:rsidRPr="00322EC9">
        <w:rPr>
          <w:rStyle w:val="EndnoteReference"/>
          <w:b/>
          <w:sz w:val="24"/>
        </w:rPr>
        <w:endnoteRef/>
      </w:r>
      <w:r>
        <w:t xml:space="preserve"> </w:t>
      </w:r>
      <w:r w:rsidRPr="00BC48EC">
        <w:rPr>
          <w:sz w:val="20"/>
          <w:szCs w:val="20"/>
        </w:rPr>
        <w:t xml:space="preserve">PG&amp;E CES EM&amp;V Dept.; </w:t>
      </w:r>
      <w:r w:rsidRPr="00BC48EC">
        <w:rPr>
          <w:i/>
          <w:sz w:val="20"/>
          <w:szCs w:val="20"/>
        </w:rPr>
        <w:t>IOU Proposal for Reporting Energy Savings for Comparative Usage</w:t>
      </w:r>
      <w:r w:rsidRPr="00BC48EC">
        <w:rPr>
          <w:sz w:val="20"/>
          <w:szCs w:val="20"/>
        </w:rPr>
        <w:t xml:space="preserve"> </w:t>
      </w:r>
      <w:r w:rsidRPr="00BC48EC">
        <w:rPr>
          <w:i/>
          <w:sz w:val="20"/>
          <w:szCs w:val="20"/>
        </w:rPr>
        <w:t>Energy Efficiency Programs,</w:t>
      </w:r>
      <w:r w:rsidRPr="00BC48EC">
        <w:rPr>
          <w:sz w:val="20"/>
          <w:szCs w:val="20"/>
        </w:rPr>
        <w:t xml:space="preserve"> May 8, 2012 Revision; p</w:t>
      </w:r>
      <w:r>
        <w:rPr>
          <w:sz w:val="20"/>
          <w:szCs w:val="20"/>
        </w:rPr>
        <w:t>a</w:t>
      </w:r>
      <w:r w:rsidRPr="00BC48EC">
        <w:rPr>
          <w:sz w:val="20"/>
          <w:szCs w:val="20"/>
        </w:rPr>
        <w:t>g</w:t>
      </w:r>
      <w:r>
        <w:rPr>
          <w:sz w:val="20"/>
          <w:szCs w:val="20"/>
        </w:rPr>
        <w:t>e</w:t>
      </w:r>
      <w:r w:rsidRPr="00BC48EC">
        <w:rPr>
          <w:sz w:val="20"/>
          <w:szCs w:val="20"/>
        </w:rPr>
        <w:t xml:space="preserve"> 4</w:t>
      </w:r>
    </w:p>
    <w:p w:rsidR="00E60EB9" w:rsidRDefault="00E60EB9" w:rsidP="00965CA0">
      <w:pPr>
        <w:pStyle w:val="EndnoteText"/>
        <w:ind w:left="180" w:hanging="180"/>
      </w:pPr>
    </w:p>
  </w:endnote>
  <w:endnote w:id="12">
    <w:p w:rsidR="00E60EB9" w:rsidRDefault="00E60EB9" w:rsidP="00965CA0">
      <w:pPr>
        <w:ind w:left="180" w:hanging="180"/>
        <w:rPr>
          <w:sz w:val="20"/>
          <w:szCs w:val="20"/>
        </w:rPr>
      </w:pPr>
      <w:r w:rsidRPr="00CC1129">
        <w:rPr>
          <w:rStyle w:val="EndnoteReference"/>
          <w:b/>
          <w:sz w:val="24"/>
        </w:rPr>
        <w:endnoteRef/>
      </w:r>
      <w:r>
        <w:t xml:space="preserve"> </w:t>
      </w:r>
      <w:r w:rsidRPr="00BC48EC">
        <w:rPr>
          <w:sz w:val="20"/>
          <w:szCs w:val="20"/>
        </w:rPr>
        <w:t xml:space="preserve">PG&amp;E CES EM&amp;V Dept.; </w:t>
      </w:r>
      <w:r w:rsidRPr="00BC48EC">
        <w:rPr>
          <w:i/>
          <w:sz w:val="20"/>
          <w:szCs w:val="20"/>
        </w:rPr>
        <w:t>IOU Proposal for Reporting Energy Savings for Comparative Usage</w:t>
      </w:r>
      <w:r w:rsidRPr="00BC48EC">
        <w:rPr>
          <w:sz w:val="20"/>
          <w:szCs w:val="20"/>
        </w:rPr>
        <w:t xml:space="preserve"> </w:t>
      </w:r>
      <w:r w:rsidRPr="00BC48EC">
        <w:rPr>
          <w:i/>
          <w:sz w:val="20"/>
          <w:szCs w:val="20"/>
        </w:rPr>
        <w:t>Energy Efficiency Programs,</w:t>
      </w:r>
      <w:r w:rsidRPr="00BC48EC">
        <w:rPr>
          <w:sz w:val="20"/>
          <w:szCs w:val="20"/>
        </w:rPr>
        <w:t xml:space="preserve"> May 8, 2012 Revision; p</w:t>
      </w:r>
      <w:r>
        <w:rPr>
          <w:sz w:val="20"/>
          <w:szCs w:val="20"/>
        </w:rPr>
        <w:t>a</w:t>
      </w:r>
      <w:r w:rsidRPr="00BC48EC">
        <w:rPr>
          <w:sz w:val="20"/>
          <w:szCs w:val="20"/>
        </w:rPr>
        <w:t>g</w:t>
      </w:r>
      <w:r>
        <w:rPr>
          <w:sz w:val="20"/>
          <w:szCs w:val="20"/>
        </w:rPr>
        <w:t>e</w:t>
      </w:r>
      <w:r w:rsidRPr="00BC48EC">
        <w:rPr>
          <w:sz w:val="20"/>
          <w:szCs w:val="20"/>
        </w:rPr>
        <w:t xml:space="preserve"> 4</w:t>
      </w:r>
    </w:p>
    <w:p w:rsidR="00E60EB9" w:rsidRDefault="00E60EB9" w:rsidP="00965CA0">
      <w:pPr>
        <w:ind w:left="180" w:hanging="180"/>
      </w:pPr>
    </w:p>
  </w:endnote>
  <w:endnote w:id="13">
    <w:p w:rsidR="00E60EB9" w:rsidRDefault="00E60EB9" w:rsidP="00965CA0">
      <w:pPr>
        <w:ind w:left="180" w:hanging="180"/>
      </w:pPr>
      <w:r w:rsidRPr="00D3514E">
        <w:rPr>
          <w:rStyle w:val="EndnoteReference"/>
          <w:rFonts w:cs="Arial"/>
          <w:b/>
          <w:sz w:val="24"/>
        </w:rPr>
        <w:endnoteRef/>
      </w:r>
      <w:r>
        <w:t xml:space="preserve"> </w:t>
      </w:r>
      <w:r w:rsidRPr="00BC48EC">
        <w:rPr>
          <w:sz w:val="20"/>
          <w:szCs w:val="20"/>
        </w:rPr>
        <w:t xml:space="preserve">State and Local Energy Efficiency Action Network (SEE Action); </w:t>
      </w:r>
      <w:r w:rsidRPr="00BC48EC">
        <w:rPr>
          <w:i/>
          <w:sz w:val="20"/>
          <w:szCs w:val="20"/>
        </w:rPr>
        <w:t>Evaluation, Measurement and Verification (EM&amp;V) of Residential Behavior-Based</w:t>
      </w:r>
      <w:r w:rsidRPr="00BC48EC">
        <w:rPr>
          <w:sz w:val="20"/>
          <w:szCs w:val="20"/>
        </w:rPr>
        <w:t xml:space="preserve"> </w:t>
      </w:r>
      <w:r w:rsidRPr="00BC48EC">
        <w:rPr>
          <w:i/>
          <w:sz w:val="20"/>
          <w:szCs w:val="20"/>
        </w:rPr>
        <w:t>Energy Efficiency Programs: Issues and Recommendations;</w:t>
      </w:r>
      <w:r w:rsidRPr="00BC48EC">
        <w:rPr>
          <w:sz w:val="20"/>
          <w:szCs w:val="20"/>
        </w:rPr>
        <w:t xml:space="preserve"> May 2012; </w:t>
      </w:r>
      <w:hyperlink r:id="rId2" w:history="1">
        <w:r w:rsidRPr="00BC48EC">
          <w:rPr>
            <w:rStyle w:val="Hyperlink"/>
            <w:sz w:val="20"/>
            <w:szCs w:val="20"/>
          </w:rPr>
          <w:t>www.seeaction.gov</w:t>
        </w:r>
      </w:hyperlink>
    </w:p>
  </w:endnote>
  <w:endnote w:id="14">
    <w:p w:rsidR="00E60EB9" w:rsidRDefault="00E60EB9" w:rsidP="00965CA0">
      <w:pPr>
        <w:pStyle w:val="EndnoteText"/>
        <w:ind w:left="180" w:hanging="180"/>
      </w:pPr>
      <w:r w:rsidRPr="00D3514E">
        <w:rPr>
          <w:rStyle w:val="EndnoteReference"/>
          <w:b/>
          <w:sz w:val="24"/>
          <w:szCs w:val="24"/>
        </w:rPr>
        <w:endnoteRef/>
      </w:r>
      <w:r>
        <w:t xml:space="preserve"> SCE, Measure Cost Revision 5 revised for PG&amp;E by S.L. Blanc 2012</w:t>
      </w:r>
    </w:p>
    <w:p w:rsidR="00E60EB9" w:rsidRDefault="00E60EB9" w:rsidP="00965CA0">
      <w:pPr>
        <w:pStyle w:val="EndnoteText"/>
        <w:ind w:left="180" w:hanging="180"/>
      </w:pPr>
      <w:r w:rsidRPr="003D298F">
        <w:t xml:space="preserve"> </w:t>
      </w:r>
      <w:bookmarkStart w:id="124" w:name="_MON_1398086104"/>
      <w:bookmarkStart w:id="125" w:name="_MON_1398083315"/>
      <w:bookmarkEnd w:id="124"/>
      <w:bookmarkEnd w:id="125"/>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EB9" w:rsidRDefault="00E60EB9"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60EB9" w:rsidRDefault="00E60E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EB9" w:rsidRPr="00846195" w:rsidRDefault="00E60EB9"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E60EB9" w:rsidRDefault="00E60EB9"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rsidR="00E60EB9" w:rsidRDefault="00E60EB9" w:rsidP="00D7047A">
    <w:pPr>
      <w:pStyle w:val="Footer"/>
      <w:rPr>
        <w:b/>
        <w:sz w:val="20"/>
        <w:szCs w:val="20"/>
      </w:rPr>
    </w:pPr>
    <w:r>
      <w:rPr>
        <w:b/>
        <w:sz w:val="20"/>
        <w:szCs w:val="20"/>
      </w:rPr>
      <w:t>Pacific Gas &amp; Electric Company</w:t>
    </w:r>
  </w:p>
  <w:p w:rsidR="00E60EB9" w:rsidRPr="00844B27" w:rsidRDefault="00E60EB9"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PGECOALL107_R0_Home_Energy_Reports_130301_comments HL+GC-CLEAN.docx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EB9" w:rsidRPr="002E0E3F" w:rsidRDefault="000656B3" w:rsidP="00274A7E">
    <w:pPr>
      <w:pStyle w:val="Footer"/>
      <w:jc w:val="right"/>
      <w:rPr>
        <w:rFonts w:cs="Arial"/>
        <w:b/>
        <w:sz w:val="36"/>
        <w:szCs w:val="36"/>
      </w:rPr>
    </w:pPr>
    <w:r>
      <w:rPr>
        <w:rFonts w:cs="Arial"/>
        <w:b/>
        <w:sz w:val="36"/>
        <w:szCs w:val="36"/>
      </w:rPr>
      <w:t>03/</w:t>
    </w:r>
    <w:r w:rsidR="002E0252">
      <w:rPr>
        <w:rFonts w:cs="Arial"/>
        <w:b/>
        <w:sz w:val="36"/>
        <w:szCs w:val="36"/>
      </w:rPr>
      <w:t>06</w:t>
    </w:r>
    <w:r w:rsidR="00E60EB9">
      <w:rPr>
        <w:rFonts w:cs="Arial"/>
        <w:b/>
        <w:sz w:val="36"/>
        <w:szCs w:val="36"/>
      </w:rPr>
      <w:t>/2017</w:t>
    </w:r>
  </w:p>
  <w:p w:rsidR="00E60EB9" w:rsidRDefault="00E60EB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EB9" w:rsidRDefault="00E60EB9"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60EB9" w:rsidRDefault="00E60EB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113" w:rsidRDefault="00E60EB9" w:rsidP="00D23113">
    <w:pPr>
      <w:pStyle w:val="Footer"/>
      <w:pBdr>
        <w:top w:val="single" w:sz="4" w:space="1" w:color="auto"/>
      </w:pBdr>
      <w:tabs>
        <w:tab w:val="clear" w:pos="4320"/>
        <w:tab w:val="clear" w:pos="8640"/>
        <w:tab w:val="right" w:pos="9360"/>
      </w:tabs>
      <w:rPr>
        <w:b/>
        <w:color w:val="000000" w:themeColor="text1"/>
        <w:sz w:val="20"/>
        <w:szCs w:val="20"/>
      </w:rPr>
    </w:pPr>
    <w:r w:rsidRPr="0043050A">
      <w:rPr>
        <w:b/>
        <w:color w:val="000000" w:themeColor="text1"/>
        <w:sz w:val="20"/>
        <w:szCs w:val="20"/>
      </w:rPr>
      <w:t xml:space="preserve">PGECOALL107 Home Energy Report, Revision </w:t>
    </w:r>
    <w:r>
      <w:rPr>
        <w:b/>
        <w:color w:val="000000" w:themeColor="text1"/>
        <w:sz w:val="20"/>
        <w:szCs w:val="20"/>
      </w:rPr>
      <w:t>1</w:t>
    </w:r>
    <w:r w:rsidRPr="0043050A">
      <w:rPr>
        <w:b/>
        <w:color w:val="000000" w:themeColor="text1"/>
        <w:sz w:val="20"/>
        <w:szCs w:val="20"/>
      </w:rPr>
      <w:tab/>
    </w:r>
    <w:r w:rsidR="000656B3">
      <w:rPr>
        <w:b/>
        <w:color w:val="000000" w:themeColor="text1"/>
        <w:sz w:val="20"/>
        <w:szCs w:val="20"/>
      </w:rPr>
      <w:t>03/</w:t>
    </w:r>
    <w:r w:rsidR="002E0252">
      <w:rPr>
        <w:b/>
        <w:color w:val="000000" w:themeColor="text1"/>
        <w:sz w:val="20"/>
        <w:szCs w:val="20"/>
      </w:rPr>
      <w:t>06</w:t>
    </w:r>
    <w:r>
      <w:rPr>
        <w:b/>
        <w:color w:val="000000" w:themeColor="text1"/>
        <w:sz w:val="20"/>
        <w:szCs w:val="20"/>
      </w:rPr>
      <w:t>/17</w:t>
    </w:r>
  </w:p>
  <w:p w:rsidR="00E60EB9" w:rsidRPr="00D23113" w:rsidRDefault="00E60EB9" w:rsidP="00D23113">
    <w:pPr>
      <w:pStyle w:val="Footer"/>
      <w:pBdr>
        <w:top w:val="single" w:sz="4" w:space="1" w:color="auto"/>
      </w:pBdr>
      <w:tabs>
        <w:tab w:val="clear" w:pos="4320"/>
        <w:tab w:val="clear" w:pos="8640"/>
        <w:tab w:val="right" w:pos="9360"/>
      </w:tabs>
      <w:rPr>
        <w:b/>
        <w:color w:val="000000" w:themeColor="text1"/>
        <w:sz w:val="20"/>
        <w:szCs w:val="20"/>
      </w:rPr>
    </w:pPr>
    <w:r>
      <w:rPr>
        <w:b/>
        <w:color w:val="0000FF"/>
        <w:sz w:val="20"/>
        <w:szCs w:val="20"/>
      </w:rPr>
      <w:tab/>
    </w:r>
    <w:r>
      <w:rPr>
        <w:b/>
        <w:color w:val="0000FF"/>
        <w:sz w:val="20"/>
        <w:szCs w:val="20"/>
      </w:rPr>
      <w:fldChar w:fldCharType="begin"/>
    </w:r>
    <w:r>
      <w:rPr>
        <w:b/>
        <w:color w:val="0000FF"/>
        <w:sz w:val="20"/>
        <w:szCs w:val="20"/>
      </w:rPr>
      <w:instrText xml:space="preserve"> PAGE  \* roman  \* MERGEFORMAT </w:instrText>
    </w:r>
    <w:r>
      <w:rPr>
        <w:b/>
        <w:color w:val="0000FF"/>
        <w:sz w:val="20"/>
        <w:szCs w:val="20"/>
      </w:rPr>
      <w:fldChar w:fldCharType="separate"/>
    </w:r>
    <w:r w:rsidR="002E0252">
      <w:rPr>
        <w:b/>
        <w:noProof/>
        <w:color w:val="0000FF"/>
        <w:sz w:val="20"/>
        <w:szCs w:val="20"/>
      </w:rPr>
      <w:t>vii</w:t>
    </w:r>
    <w:r>
      <w:rPr>
        <w:b/>
        <w:color w:val="0000FF"/>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EB9" w:rsidRPr="002E0E3F" w:rsidRDefault="00E60EB9" w:rsidP="00D7047A">
    <w:pPr>
      <w:pStyle w:val="Footer"/>
      <w:jc w:val="right"/>
      <w:rPr>
        <w:rFonts w:cs="Arial"/>
        <w:b/>
        <w:sz w:val="36"/>
        <w:szCs w:val="36"/>
      </w:rPr>
    </w:pPr>
    <w:r>
      <w:rPr>
        <w:rFonts w:cs="Arial"/>
        <w:b/>
        <w:sz w:val="36"/>
        <w:szCs w:val="36"/>
      </w:rPr>
      <w:t>Date of Last Revision</w:t>
    </w:r>
  </w:p>
  <w:p w:rsidR="00E60EB9" w:rsidRDefault="00E60EB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EB9" w:rsidRPr="001640F7" w:rsidRDefault="00E60EB9" w:rsidP="000D0941">
    <w:pPr>
      <w:pStyle w:val="Footer"/>
      <w:pBdr>
        <w:top w:val="single" w:sz="4" w:space="1" w:color="auto"/>
      </w:pBdr>
      <w:tabs>
        <w:tab w:val="clear" w:pos="4320"/>
        <w:tab w:val="clear" w:pos="8640"/>
        <w:tab w:val="right" w:pos="9360"/>
      </w:tabs>
      <w:rPr>
        <w:b/>
        <w:color w:val="000000" w:themeColor="text1"/>
        <w:sz w:val="20"/>
        <w:szCs w:val="20"/>
      </w:rPr>
    </w:pPr>
    <w:r w:rsidRPr="001640F7">
      <w:rPr>
        <w:b/>
        <w:color w:val="000000" w:themeColor="text1"/>
        <w:sz w:val="20"/>
        <w:szCs w:val="20"/>
      </w:rPr>
      <w:t xml:space="preserve">PGECOALL107 Home Energy Report, Revision </w:t>
    </w:r>
    <w:r>
      <w:rPr>
        <w:b/>
        <w:color w:val="000000" w:themeColor="text1"/>
        <w:sz w:val="20"/>
        <w:szCs w:val="20"/>
      </w:rPr>
      <w:t>1</w:t>
    </w:r>
    <w:r w:rsidRPr="001640F7">
      <w:rPr>
        <w:b/>
        <w:color w:val="000000" w:themeColor="text1"/>
        <w:sz w:val="20"/>
        <w:szCs w:val="20"/>
      </w:rPr>
      <w:tab/>
    </w:r>
    <w:r w:rsidR="000656B3">
      <w:rPr>
        <w:b/>
        <w:color w:val="000000" w:themeColor="text1"/>
        <w:sz w:val="20"/>
        <w:szCs w:val="20"/>
      </w:rPr>
      <w:t>03/</w:t>
    </w:r>
    <w:r w:rsidR="002E0252">
      <w:rPr>
        <w:b/>
        <w:color w:val="000000" w:themeColor="text1"/>
        <w:sz w:val="20"/>
        <w:szCs w:val="20"/>
      </w:rPr>
      <w:t>06</w:t>
    </w:r>
    <w:r>
      <w:rPr>
        <w:b/>
        <w:color w:val="000000" w:themeColor="text1"/>
        <w:sz w:val="20"/>
        <w:szCs w:val="20"/>
      </w:rPr>
      <w:t>/17</w:t>
    </w:r>
  </w:p>
  <w:p w:rsidR="00E60EB9" w:rsidRDefault="00E60EB9" w:rsidP="00C747DF">
    <w:pPr>
      <w:pStyle w:val="Footer"/>
      <w:tabs>
        <w:tab w:val="clear" w:pos="4320"/>
        <w:tab w:val="clear" w:pos="8640"/>
        <w:tab w:val="right" w:pos="9360"/>
      </w:tabs>
      <w:rPr>
        <w:b/>
        <w:color w:val="0000FF"/>
        <w:sz w:val="20"/>
        <w:szCs w:val="20"/>
      </w:rPr>
    </w:pPr>
    <w:r>
      <w:rPr>
        <w:b/>
        <w:color w:val="0000FF"/>
        <w:sz w:val="20"/>
        <w:szCs w:val="20"/>
      </w:rPr>
      <w:tab/>
    </w:r>
    <w:r>
      <w:rPr>
        <w:b/>
        <w:color w:val="0000FF"/>
        <w:sz w:val="20"/>
        <w:szCs w:val="20"/>
      </w:rPr>
      <w:fldChar w:fldCharType="begin"/>
    </w:r>
    <w:r>
      <w:rPr>
        <w:b/>
        <w:color w:val="0000FF"/>
        <w:sz w:val="20"/>
        <w:szCs w:val="20"/>
      </w:rPr>
      <w:instrText xml:space="preserve"> PAGE  \* Arabic  \* MERGEFORMAT </w:instrText>
    </w:r>
    <w:r>
      <w:rPr>
        <w:b/>
        <w:color w:val="0000FF"/>
        <w:sz w:val="20"/>
        <w:szCs w:val="20"/>
      </w:rPr>
      <w:fldChar w:fldCharType="separate"/>
    </w:r>
    <w:r w:rsidR="002E0252">
      <w:rPr>
        <w:b/>
        <w:noProof/>
        <w:color w:val="0000FF"/>
        <w:sz w:val="20"/>
        <w:szCs w:val="20"/>
      </w:rPr>
      <w:t>5</w:t>
    </w:r>
    <w:r>
      <w:rPr>
        <w:b/>
        <w:color w:val="0000F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A08" w:rsidRDefault="00B37A08">
      <w:r>
        <w:separator/>
      </w:r>
    </w:p>
    <w:p w:rsidR="00B37A08" w:rsidRDefault="00B37A08"/>
  </w:footnote>
  <w:footnote w:type="continuationSeparator" w:id="0">
    <w:p w:rsidR="00B37A08" w:rsidRDefault="00B37A08">
      <w:r>
        <w:continuationSeparator/>
      </w:r>
    </w:p>
    <w:p w:rsidR="00B37A08" w:rsidRDefault="00B37A08"/>
  </w:footnote>
  <w:footnote w:id="1">
    <w:p w:rsidR="00E60EB9" w:rsidRDefault="00E60EB9">
      <w:pPr>
        <w:pStyle w:val="FootnoteText"/>
      </w:pPr>
      <w:r>
        <w:rPr>
          <w:rStyle w:val="FootnoteReference"/>
        </w:rPr>
        <w:footnoteRef/>
      </w:r>
      <w:r>
        <w:t xml:space="preserve"> ‘Adjusted Savings’ are defined as ‘Unadjusted Saving’ (estimated by statistical analysis) minus ‘Joint-Savings’ (savings that have been claimed by other energy efficiency programs).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EB9" w:rsidRDefault="00B37A08">
    <w:pPr>
      <w:pStyle w:val="Header"/>
    </w:pPr>
    <w:r>
      <w:rPr>
        <w:noProof/>
      </w:rPr>
      <w:pict w14:anchorId="2B0A5A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EB9" w:rsidRDefault="00E60EB9" w:rsidP="001A573F">
    <w:pPr>
      <w:pStyle w:val="Header"/>
      <w:jc w:val="right"/>
    </w:pPr>
  </w:p>
  <w:p w:rsidR="00E60EB9" w:rsidRDefault="00E60EB9"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EB9" w:rsidRDefault="00B37A08">
    <w:pPr>
      <w:pStyle w:val="Header"/>
    </w:pPr>
    <w:r>
      <w:rPr>
        <w:noProof/>
      </w:rPr>
      <w:pict w14:anchorId="46600A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EB9" w:rsidRDefault="00E60EB9" w:rsidP="001A573F">
    <w:pPr>
      <w:pStyle w:val="Header"/>
      <w:jc w:val="right"/>
    </w:pPr>
  </w:p>
  <w:p w:rsidR="00E60EB9" w:rsidRDefault="00E60EB9"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EB9" w:rsidRDefault="00B37A08">
    <w:pPr>
      <w:pStyle w:val="Header"/>
    </w:pPr>
    <w:r>
      <w:rPr>
        <w:noProof/>
      </w:rPr>
      <w:pict w14:anchorId="6D899A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EB9" w:rsidRDefault="00E60EB9" w:rsidP="001A573F">
    <w:pPr>
      <w:pStyle w:val="Header"/>
      <w:jc w:val="right"/>
    </w:pPr>
  </w:p>
  <w:p w:rsidR="00E60EB9" w:rsidRDefault="00E60EB9"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6F74"/>
    <w:multiLevelType w:val="hybridMultilevel"/>
    <w:tmpl w:val="18C82E56"/>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25014E"/>
    <w:multiLevelType w:val="hybridMultilevel"/>
    <w:tmpl w:val="838E59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6923A63"/>
    <w:multiLevelType w:val="hybridMultilevel"/>
    <w:tmpl w:val="BAA84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D82B28"/>
    <w:multiLevelType w:val="hybridMultilevel"/>
    <w:tmpl w:val="C43EF53C"/>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958184B"/>
    <w:multiLevelType w:val="hybridMultilevel"/>
    <w:tmpl w:val="63868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nsid w:val="0D11009A"/>
    <w:multiLevelType w:val="hybridMultilevel"/>
    <w:tmpl w:val="2098E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4049BD"/>
    <w:multiLevelType w:val="hybridMultilevel"/>
    <w:tmpl w:val="5D924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5ED6064"/>
    <w:multiLevelType w:val="hybridMultilevel"/>
    <w:tmpl w:val="29D8C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7751AEA"/>
    <w:multiLevelType w:val="hybridMultilevel"/>
    <w:tmpl w:val="4FE0C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A6E29EF"/>
    <w:multiLevelType w:val="hybridMultilevel"/>
    <w:tmpl w:val="039E3C3C"/>
    <w:lvl w:ilvl="0" w:tplc="0922C32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4CF5F58"/>
    <w:multiLevelType w:val="hybridMultilevel"/>
    <w:tmpl w:val="E35842FC"/>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nsid w:val="2CEC0DEC"/>
    <w:multiLevelType w:val="hybridMultilevel"/>
    <w:tmpl w:val="B8089BC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2E680BA4"/>
    <w:multiLevelType w:val="hybridMultilevel"/>
    <w:tmpl w:val="692AF2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22">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ABB6A8B"/>
    <w:multiLevelType w:val="hybridMultilevel"/>
    <w:tmpl w:val="24DE9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4673A8"/>
    <w:multiLevelType w:val="hybridMultilevel"/>
    <w:tmpl w:val="ACBE6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2D3596C"/>
    <w:multiLevelType w:val="hybridMultilevel"/>
    <w:tmpl w:val="63868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68649D3"/>
    <w:multiLevelType w:val="hybridMultilevel"/>
    <w:tmpl w:val="B328A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8F22D97"/>
    <w:multiLevelType w:val="hybridMultilevel"/>
    <w:tmpl w:val="6A666272"/>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1">
      <w:start w:val="1"/>
      <w:numFmt w:val="bullet"/>
      <w:lvlText w:val=""/>
      <w:lvlJc w:val="left"/>
      <w:pPr>
        <w:tabs>
          <w:tab w:val="num" w:pos="1080"/>
        </w:tabs>
        <w:ind w:left="1080" w:hanging="360"/>
      </w:pPr>
      <w:rPr>
        <w:rFonts w:ascii="Symbol" w:hAnsi="Symbol" w:hint="default"/>
      </w:rPr>
    </w:lvl>
    <w:lvl w:ilvl="3" w:tplc="04090001">
      <w:start w:val="1"/>
      <w:numFmt w:val="bullet"/>
      <w:lvlText w:val=""/>
      <w:lvlJc w:val="left"/>
      <w:pPr>
        <w:tabs>
          <w:tab w:val="num" w:pos="1800"/>
        </w:tabs>
        <w:ind w:left="1800" w:hanging="360"/>
      </w:pPr>
      <w:rPr>
        <w:rFonts w:ascii="Symbol" w:hAnsi="Symbol" w:hint="default"/>
      </w:rPr>
    </w:lvl>
    <w:lvl w:ilvl="4" w:tplc="EEE08AFC">
      <w:numFmt w:val="bullet"/>
      <w:lvlText w:val="•"/>
      <w:lvlJc w:val="left"/>
      <w:pPr>
        <w:ind w:left="2520" w:hanging="360"/>
      </w:pPr>
      <w:rPr>
        <w:rFonts w:ascii="Arial" w:eastAsia="Times New Roman" w:hAnsi="Arial" w:cs="Arial"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1">
    <w:nsid w:val="4CE65E8D"/>
    <w:multiLevelType w:val="hybridMultilevel"/>
    <w:tmpl w:val="CCFA0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5E1BED"/>
    <w:multiLevelType w:val="hybridMultilevel"/>
    <w:tmpl w:val="0FE06C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9A4F17"/>
    <w:multiLevelType w:val="hybridMultilevel"/>
    <w:tmpl w:val="8CD8C164"/>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EEE08AFC">
      <w:numFmt w:val="bullet"/>
      <w:lvlText w:val="•"/>
      <w:lvlJc w:val="left"/>
      <w:pPr>
        <w:ind w:left="2520" w:hanging="360"/>
      </w:pPr>
      <w:rPr>
        <w:rFonts w:ascii="Arial" w:eastAsia="Times New Roman" w:hAnsi="Arial" w:cs="Arial"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4">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61D33340"/>
    <w:multiLevelType w:val="hybridMultilevel"/>
    <w:tmpl w:val="EE5A9B34"/>
    <w:lvl w:ilvl="0" w:tplc="539A9D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9D258D1"/>
    <w:multiLevelType w:val="hybridMultilevel"/>
    <w:tmpl w:val="7F823922"/>
    <w:lvl w:ilvl="0" w:tplc="9F8C635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AC269F7"/>
    <w:multiLevelType w:val="hybridMultilevel"/>
    <w:tmpl w:val="0DA86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F47477F"/>
    <w:multiLevelType w:val="hybridMultilevel"/>
    <w:tmpl w:val="E26E2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A1A69"/>
    <w:multiLevelType w:val="hybridMultilevel"/>
    <w:tmpl w:val="D7903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785DF2"/>
    <w:multiLevelType w:val="hybridMultilevel"/>
    <w:tmpl w:val="AD76193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2">
    <w:nsid w:val="74CD311A"/>
    <w:multiLevelType w:val="hybridMultilevel"/>
    <w:tmpl w:val="D100A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820856"/>
    <w:multiLevelType w:val="singleLevel"/>
    <w:tmpl w:val="6C78A414"/>
    <w:lvl w:ilvl="0">
      <w:start w:val="1"/>
      <w:numFmt w:val="decimal"/>
      <w:lvlText w:val="%1."/>
      <w:legacy w:legacy="1" w:legacySpace="0" w:legacyIndent="0"/>
      <w:lvlJc w:val="left"/>
    </w:lvl>
  </w:abstractNum>
  <w:abstractNum w:abstractNumId="44">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B8C0532"/>
    <w:multiLevelType w:val="hybridMultilevel"/>
    <w:tmpl w:val="15524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11"/>
  </w:num>
  <w:num w:numId="4">
    <w:abstractNumId w:val="16"/>
  </w:num>
  <w:num w:numId="5">
    <w:abstractNumId w:val="43"/>
  </w:num>
  <w:num w:numId="6">
    <w:abstractNumId w:val="21"/>
  </w:num>
  <w:num w:numId="7">
    <w:abstractNumId w:val="14"/>
  </w:num>
  <w:num w:numId="8">
    <w:abstractNumId w:val="25"/>
  </w:num>
  <w:num w:numId="9">
    <w:abstractNumId w:val="18"/>
  </w:num>
  <w:num w:numId="10">
    <w:abstractNumId w:val="6"/>
  </w:num>
  <w:num w:numId="11">
    <w:abstractNumId w:val="33"/>
  </w:num>
  <w:num w:numId="12">
    <w:abstractNumId w:val="34"/>
  </w:num>
  <w:num w:numId="13">
    <w:abstractNumId w:val="10"/>
  </w:num>
  <w:num w:numId="14">
    <w:abstractNumId w:val="45"/>
  </w:num>
  <w:num w:numId="15">
    <w:abstractNumId w:val="27"/>
  </w:num>
  <w:num w:numId="16">
    <w:abstractNumId w:val="29"/>
  </w:num>
  <w:num w:numId="17">
    <w:abstractNumId w:val="4"/>
  </w:num>
  <w:num w:numId="18">
    <w:abstractNumId w:val="44"/>
  </w:num>
  <w:num w:numId="19">
    <w:abstractNumId w:val="36"/>
  </w:num>
  <w:num w:numId="20">
    <w:abstractNumId w:val="32"/>
  </w:num>
  <w:num w:numId="21">
    <w:abstractNumId w:val="15"/>
  </w:num>
  <w:num w:numId="22">
    <w:abstractNumId w:val="24"/>
  </w:num>
  <w:num w:numId="23">
    <w:abstractNumId w:val="38"/>
  </w:num>
  <w:num w:numId="24">
    <w:abstractNumId w:val="30"/>
  </w:num>
  <w:num w:numId="25">
    <w:abstractNumId w:val="40"/>
  </w:num>
  <w:num w:numId="26">
    <w:abstractNumId w:val="39"/>
  </w:num>
  <w:num w:numId="27">
    <w:abstractNumId w:val="7"/>
  </w:num>
  <w:num w:numId="28">
    <w:abstractNumId w:val="26"/>
  </w:num>
  <w:num w:numId="29">
    <w:abstractNumId w:val="31"/>
  </w:num>
  <w:num w:numId="30">
    <w:abstractNumId w:val="37"/>
  </w:num>
  <w:num w:numId="31">
    <w:abstractNumId w:val="42"/>
  </w:num>
  <w:num w:numId="32">
    <w:abstractNumId w:val="35"/>
  </w:num>
  <w:num w:numId="33">
    <w:abstractNumId w:val="41"/>
  </w:num>
  <w:num w:numId="34">
    <w:abstractNumId w:val="1"/>
  </w:num>
  <w:num w:numId="35">
    <w:abstractNumId w:val="20"/>
  </w:num>
  <w:num w:numId="36">
    <w:abstractNumId w:val="5"/>
  </w:num>
  <w:num w:numId="37">
    <w:abstractNumId w:val="13"/>
  </w:num>
  <w:num w:numId="38">
    <w:abstractNumId w:val="2"/>
  </w:num>
  <w:num w:numId="39">
    <w:abstractNumId w:val="12"/>
  </w:num>
  <w:num w:numId="40">
    <w:abstractNumId w:val="28"/>
  </w:num>
  <w:num w:numId="41">
    <w:abstractNumId w:val="0"/>
  </w:num>
  <w:num w:numId="42">
    <w:abstractNumId w:val="3"/>
  </w:num>
  <w:num w:numId="43">
    <w:abstractNumId w:val="17"/>
  </w:num>
  <w:num w:numId="44">
    <w:abstractNumId w:val="8"/>
  </w:num>
  <w:num w:numId="45">
    <w:abstractNumId w:val="23"/>
  </w:num>
  <w:num w:numId="46">
    <w:abstractNumId w:val="46"/>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1C1"/>
    <w:rsid w:val="00003527"/>
    <w:rsid w:val="00004670"/>
    <w:rsid w:val="00005E70"/>
    <w:rsid w:val="00011111"/>
    <w:rsid w:val="00012F86"/>
    <w:rsid w:val="00014740"/>
    <w:rsid w:val="0001499D"/>
    <w:rsid w:val="00014EC1"/>
    <w:rsid w:val="00015D8B"/>
    <w:rsid w:val="000170B5"/>
    <w:rsid w:val="00017488"/>
    <w:rsid w:val="00020042"/>
    <w:rsid w:val="000205FB"/>
    <w:rsid w:val="0002129F"/>
    <w:rsid w:val="00023254"/>
    <w:rsid w:val="00024AA9"/>
    <w:rsid w:val="00025E91"/>
    <w:rsid w:val="00025EBE"/>
    <w:rsid w:val="00026ED5"/>
    <w:rsid w:val="00026F78"/>
    <w:rsid w:val="000272C2"/>
    <w:rsid w:val="00027B0C"/>
    <w:rsid w:val="00027C7A"/>
    <w:rsid w:val="0003064A"/>
    <w:rsid w:val="00031249"/>
    <w:rsid w:val="00032B63"/>
    <w:rsid w:val="000351CB"/>
    <w:rsid w:val="000374A5"/>
    <w:rsid w:val="000407DD"/>
    <w:rsid w:val="00044570"/>
    <w:rsid w:val="00047BF8"/>
    <w:rsid w:val="00047FE7"/>
    <w:rsid w:val="0005034B"/>
    <w:rsid w:val="000508AC"/>
    <w:rsid w:val="00054702"/>
    <w:rsid w:val="000549DF"/>
    <w:rsid w:val="00055A79"/>
    <w:rsid w:val="00056348"/>
    <w:rsid w:val="0005669F"/>
    <w:rsid w:val="00056B95"/>
    <w:rsid w:val="000571F6"/>
    <w:rsid w:val="000575B2"/>
    <w:rsid w:val="00057C09"/>
    <w:rsid w:val="000614D1"/>
    <w:rsid w:val="0006325C"/>
    <w:rsid w:val="00063BFD"/>
    <w:rsid w:val="00063FA7"/>
    <w:rsid w:val="0006490F"/>
    <w:rsid w:val="000656B3"/>
    <w:rsid w:val="00065A01"/>
    <w:rsid w:val="00066D5B"/>
    <w:rsid w:val="000678A2"/>
    <w:rsid w:val="00067EB5"/>
    <w:rsid w:val="000701EB"/>
    <w:rsid w:val="000719AA"/>
    <w:rsid w:val="000721F0"/>
    <w:rsid w:val="000749EA"/>
    <w:rsid w:val="0007589E"/>
    <w:rsid w:val="00075D84"/>
    <w:rsid w:val="00077161"/>
    <w:rsid w:val="00077774"/>
    <w:rsid w:val="00080457"/>
    <w:rsid w:val="000814B9"/>
    <w:rsid w:val="00083BB8"/>
    <w:rsid w:val="000842B9"/>
    <w:rsid w:val="000845B2"/>
    <w:rsid w:val="000853AB"/>
    <w:rsid w:val="00085DF5"/>
    <w:rsid w:val="00086594"/>
    <w:rsid w:val="00087378"/>
    <w:rsid w:val="00090BD9"/>
    <w:rsid w:val="00090CBD"/>
    <w:rsid w:val="0009162D"/>
    <w:rsid w:val="0009412C"/>
    <w:rsid w:val="00095411"/>
    <w:rsid w:val="00095610"/>
    <w:rsid w:val="000966CC"/>
    <w:rsid w:val="00096EC2"/>
    <w:rsid w:val="000A06AB"/>
    <w:rsid w:val="000A17BE"/>
    <w:rsid w:val="000A2ABA"/>
    <w:rsid w:val="000A2FB3"/>
    <w:rsid w:val="000A48F2"/>
    <w:rsid w:val="000A737E"/>
    <w:rsid w:val="000B0B1E"/>
    <w:rsid w:val="000C092B"/>
    <w:rsid w:val="000C0FD3"/>
    <w:rsid w:val="000C2497"/>
    <w:rsid w:val="000C3A71"/>
    <w:rsid w:val="000C5B2D"/>
    <w:rsid w:val="000C6D7B"/>
    <w:rsid w:val="000C798C"/>
    <w:rsid w:val="000D0941"/>
    <w:rsid w:val="000D17B9"/>
    <w:rsid w:val="000D416B"/>
    <w:rsid w:val="000D425D"/>
    <w:rsid w:val="000E0C25"/>
    <w:rsid w:val="000E132D"/>
    <w:rsid w:val="000E2194"/>
    <w:rsid w:val="000E22C9"/>
    <w:rsid w:val="000E31B5"/>
    <w:rsid w:val="000E5D60"/>
    <w:rsid w:val="000E7219"/>
    <w:rsid w:val="000E722C"/>
    <w:rsid w:val="000E7E44"/>
    <w:rsid w:val="000F0069"/>
    <w:rsid w:val="000F0A2B"/>
    <w:rsid w:val="000F11DD"/>
    <w:rsid w:val="000F32B7"/>
    <w:rsid w:val="000F4BCE"/>
    <w:rsid w:val="0010761F"/>
    <w:rsid w:val="00112A46"/>
    <w:rsid w:val="00113464"/>
    <w:rsid w:val="00115EB1"/>
    <w:rsid w:val="001178BE"/>
    <w:rsid w:val="00120191"/>
    <w:rsid w:val="0012176A"/>
    <w:rsid w:val="00121A22"/>
    <w:rsid w:val="00121C91"/>
    <w:rsid w:val="001248A3"/>
    <w:rsid w:val="00124F32"/>
    <w:rsid w:val="00126483"/>
    <w:rsid w:val="00126A4E"/>
    <w:rsid w:val="0012764E"/>
    <w:rsid w:val="00127CC8"/>
    <w:rsid w:val="0013046A"/>
    <w:rsid w:val="0013080C"/>
    <w:rsid w:val="0013087E"/>
    <w:rsid w:val="00131890"/>
    <w:rsid w:val="00132D43"/>
    <w:rsid w:val="00133198"/>
    <w:rsid w:val="00133C60"/>
    <w:rsid w:val="00136D56"/>
    <w:rsid w:val="00137AC7"/>
    <w:rsid w:val="00137C00"/>
    <w:rsid w:val="0014227F"/>
    <w:rsid w:val="00142AAC"/>
    <w:rsid w:val="001433EB"/>
    <w:rsid w:val="001445E7"/>
    <w:rsid w:val="00146434"/>
    <w:rsid w:val="001465B1"/>
    <w:rsid w:val="00150EC7"/>
    <w:rsid w:val="001515B0"/>
    <w:rsid w:val="00152FC2"/>
    <w:rsid w:val="00155EF5"/>
    <w:rsid w:val="00156198"/>
    <w:rsid w:val="00161892"/>
    <w:rsid w:val="001640F7"/>
    <w:rsid w:val="00165B2A"/>
    <w:rsid w:val="00167F2B"/>
    <w:rsid w:val="00170235"/>
    <w:rsid w:val="0017179F"/>
    <w:rsid w:val="00172149"/>
    <w:rsid w:val="00173346"/>
    <w:rsid w:val="00175673"/>
    <w:rsid w:val="001761C3"/>
    <w:rsid w:val="00176431"/>
    <w:rsid w:val="00177905"/>
    <w:rsid w:val="00183AC0"/>
    <w:rsid w:val="00183C8E"/>
    <w:rsid w:val="00184ABD"/>
    <w:rsid w:val="00186C16"/>
    <w:rsid w:val="00190AE7"/>
    <w:rsid w:val="00191C69"/>
    <w:rsid w:val="00192A0C"/>
    <w:rsid w:val="00192B77"/>
    <w:rsid w:val="001946B1"/>
    <w:rsid w:val="00194E14"/>
    <w:rsid w:val="00195F2F"/>
    <w:rsid w:val="001965AF"/>
    <w:rsid w:val="00196D7C"/>
    <w:rsid w:val="00197A23"/>
    <w:rsid w:val="001A1ADE"/>
    <w:rsid w:val="001A1F55"/>
    <w:rsid w:val="001A3026"/>
    <w:rsid w:val="001A311D"/>
    <w:rsid w:val="001A3888"/>
    <w:rsid w:val="001A4516"/>
    <w:rsid w:val="001A550C"/>
    <w:rsid w:val="001A573F"/>
    <w:rsid w:val="001A64C6"/>
    <w:rsid w:val="001A68AF"/>
    <w:rsid w:val="001A7081"/>
    <w:rsid w:val="001A70AD"/>
    <w:rsid w:val="001A73E3"/>
    <w:rsid w:val="001A79B1"/>
    <w:rsid w:val="001B0FBA"/>
    <w:rsid w:val="001B1416"/>
    <w:rsid w:val="001B238D"/>
    <w:rsid w:val="001B242B"/>
    <w:rsid w:val="001B4699"/>
    <w:rsid w:val="001B4ACB"/>
    <w:rsid w:val="001B503E"/>
    <w:rsid w:val="001B5BDA"/>
    <w:rsid w:val="001B5E15"/>
    <w:rsid w:val="001B75E6"/>
    <w:rsid w:val="001B792D"/>
    <w:rsid w:val="001C0CB0"/>
    <w:rsid w:val="001C2942"/>
    <w:rsid w:val="001C7827"/>
    <w:rsid w:val="001D11CE"/>
    <w:rsid w:val="001D16C2"/>
    <w:rsid w:val="001D35F0"/>
    <w:rsid w:val="001D3F48"/>
    <w:rsid w:val="001D40B7"/>
    <w:rsid w:val="001D483C"/>
    <w:rsid w:val="001D51A4"/>
    <w:rsid w:val="001D5638"/>
    <w:rsid w:val="001D6ECB"/>
    <w:rsid w:val="001E2CBE"/>
    <w:rsid w:val="001E2DBF"/>
    <w:rsid w:val="001E4C31"/>
    <w:rsid w:val="001E7CA0"/>
    <w:rsid w:val="001F4083"/>
    <w:rsid w:val="001F50BD"/>
    <w:rsid w:val="001F60D5"/>
    <w:rsid w:val="001F627F"/>
    <w:rsid w:val="001F6B53"/>
    <w:rsid w:val="001F7023"/>
    <w:rsid w:val="00200174"/>
    <w:rsid w:val="00201EF5"/>
    <w:rsid w:val="00204448"/>
    <w:rsid w:val="00206B80"/>
    <w:rsid w:val="00207834"/>
    <w:rsid w:val="00211BAC"/>
    <w:rsid w:val="00212856"/>
    <w:rsid w:val="002129D0"/>
    <w:rsid w:val="002154B2"/>
    <w:rsid w:val="002170D6"/>
    <w:rsid w:val="00217323"/>
    <w:rsid w:val="002203EA"/>
    <w:rsid w:val="0022055B"/>
    <w:rsid w:val="0022067C"/>
    <w:rsid w:val="002207C3"/>
    <w:rsid w:val="00220AA8"/>
    <w:rsid w:val="00221772"/>
    <w:rsid w:val="0022428B"/>
    <w:rsid w:val="002245C0"/>
    <w:rsid w:val="00224E77"/>
    <w:rsid w:val="002257FA"/>
    <w:rsid w:val="002338F3"/>
    <w:rsid w:val="002348AC"/>
    <w:rsid w:val="00235694"/>
    <w:rsid w:val="00236BB3"/>
    <w:rsid w:val="00236F73"/>
    <w:rsid w:val="00240DF3"/>
    <w:rsid w:val="0024233E"/>
    <w:rsid w:val="0024237F"/>
    <w:rsid w:val="00243BAC"/>
    <w:rsid w:val="00244BD6"/>
    <w:rsid w:val="00245A56"/>
    <w:rsid w:val="00245DDE"/>
    <w:rsid w:val="002466F4"/>
    <w:rsid w:val="00251E83"/>
    <w:rsid w:val="00252352"/>
    <w:rsid w:val="00252651"/>
    <w:rsid w:val="00254417"/>
    <w:rsid w:val="00255067"/>
    <w:rsid w:val="0025738E"/>
    <w:rsid w:val="00257989"/>
    <w:rsid w:val="002628B9"/>
    <w:rsid w:val="0026321D"/>
    <w:rsid w:val="00264B03"/>
    <w:rsid w:val="002667D2"/>
    <w:rsid w:val="00266D67"/>
    <w:rsid w:val="00267547"/>
    <w:rsid w:val="0027097C"/>
    <w:rsid w:val="00272E55"/>
    <w:rsid w:val="0027474D"/>
    <w:rsid w:val="00274A7E"/>
    <w:rsid w:val="00275856"/>
    <w:rsid w:val="00276918"/>
    <w:rsid w:val="00276ED1"/>
    <w:rsid w:val="002775AB"/>
    <w:rsid w:val="0027792C"/>
    <w:rsid w:val="00282786"/>
    <w:rsid w:val="00283CA0"/>
    <w:rsid w:val="0028430F"/>
    <w:rsid w:val="00285AF5"/>
    <w:rsid w:val="00287034"/>
    <w:rsid w:val="0028709C"/>
    <w:rsid w:val="002914EA"/>
    <w:rsid w:val="00291D75"/>
    <w:rsid w:val="00292F73"/>
    <w:rsid w:val="00294B0F"/>
    <w:rsid w:val="00295B67"/>
    <w:rsid w:val="002A0E12"/>
    <w:rsid w:val="002A2C2E"/>
    <w:rsid w:val="002A4B6C"/>
    <w:rsid w:val="002A669E"/>
    <w:rsid w:val="002B0ECF"/>
    <w:rsid w:val="002B4B14"/>
    <w:rsid w:val="002B4FEF"/>
    <w:rsid w:val="002B5102"/>
    <w:rsid w:val="002B7260"/>
    <w:rsid w:val="002C12FA"/>
    <w:rsid w:val="002C172A"/>
    <w:rsid w:val="002C21F9"/>
    <w:rsid w:val="002C26EB"/>
    <w:rsid w:val="002C321E"/>
    <w:rsid w:val="002C392D"/>
    <w:rsid w:val="002C399F"/>
    <w:rsid w:val="002C42E0"/>
    <w:rsid w:val="002C4373"/>
    <w:rsid w:val="002C47FB"/>
    <w:rsid w:val="002C4F1C"/>
    <w:rsid w:val="002C518C"/>
    <w:rsid w:val="002C6554"/>
    <w:rsid w:val="002C7B46"/>
    <w:rsid w:val="002D0F51"/>
    <w:rsid w:val="002D27DC"/>
    <w:rsid w:val="002D4621"/>
    <w:rsid w:val="002D5030"/>
    <w:rsid w:val="002D6F06"/>
    <w:rsid w:val="002D758F"/>
    <w:rsid w:val="002E0043"/>
    <w:rsid w:val="002E0252"/>
    <w:rsid w:val="002E32D8"/>
    <w:rsid w:val="002E40A2"/>
    <w:rsid w:val="002E47B4"/>
    <w:rsid w:val="002E4B46"/>
    <w:rsid w:val="002E5671"/>
    <w:rsid w:val="002E6162"/>
    <w:rsid w:val="002E7D75"/>
    <w:rsid w:val="002F105C"/>
    <w:rsid w:val="002F1EE2"/>
    <w:rsid w:val="002F2C2F"/>
    <w:rsid w:val="002F2D19"/>
    <w:rsid w:val="002F3610"/>
    <w:rsid w:val="002F3FE5"/>
    <w:rsid w:val="002F4E8C"/>
    <w:rsid w:val="002F532A"/>
    <w:rsid w:val="0030080B"/>
    <w:rsid w:val="0030114D"/>
    <w:rsid w:val="0030152A"/>
    <w:rsid w:val="0030154F"/>
    <w:rsid w:val="00301C8B"/>
    <w:rsid w:val="00302B74"/>
    <w:rsid w:val="003032B7"/>
    <w:rsid w:val="0030550A"/>
    <w:rsid w:val="003112EE"/>
    <w:rsid w:val="003129E8"/>
    <w:rsid w:val="00315AB7"/>
    <w:rsid w:val="00320947"/>
    <w:rsid w:val="00322D0C"/>
    <w:rsid w:val="00322EC9"/>
    <w:rsid w:val="00322F5E"/>
    <w:rsid w:val="003233C3"/>
    <w:rsid w:val="00324AFE"/>
    <w:rsid w:val="00324D0F"/>
    <w:rsid w:val="003259CD"/>
    <w:rsid w:val="0032657A"/>
    <w:rsid w:val="00330825"/>
    <w:rsid w:val="00331516"/>
    <w:rsid w:val="00333E01"/>
    <w:rsid w:val="00335017"/>
    <w:rsid w:val="003352A0"/>
    <w:rsid w:val="003408A4"/>
    <w:rsid w:val="00340DAD"/>
    <w:rsid w:val="00342330"/>
    <w:rsid w:val="00345971"/>
    <w:rsid w:val="00345DE6"/>
    <w:rsid w:val="0034634A"/>
    <w:rsid w:val="0034647B"/>
    <w:rsid w:val="00350382"/>
    <w:rsid w:val="00350593"/>
    <w:rsid w:val="00350BAA"/>
    <w:rsid w:val="003515C6"/>
    <w:rsid w:val="00353930"/>
    <w:rsid w:val="00353DC2"/>
    <w:rsid w:val="003541A6"/>
    <w:rsid w:val="00354E1F"/>
    <w:rsid w:val="00361A15"/>
    <w:rsid w:val="00362067"/>
    <w:rsid w:val="003666AF"/>
    <w:rsid w:val="0037071F"/>
    <w:rsid w:val="00371193"/>
    <w:rsid w:val="00373A84"/>
    <w:rsid w:val="00374640"/>
    <w:rsid w:val="00377407"/>
    <w:rsid w:val="00380225"/>
    <w:rsid w:val="0038116C"/>
    <w:rsid w:val="00382A4B"/>
    <w:rsid w:val="0038391A"/>
    <w:rsid w:val="0038717C"/>
    <w:rsid w:val="00391CE7"/>
    <w:rsid w:val="00392B5E"/>
    <w:rsid w:val="00392C05"/>
    <w:rsid w:val="00393618"/>
    <w:rsid w:val="00393D41"/>
    <w:rsid w:val="00395845"/>
    <w:rsid w:val="00395C77"/>
    <w:rsid w:val="00396E93"/>
    <w:rsid w:val="003A1B51"/>
    <w:rsid w:val="003A26AC"/>
    <w:rsid w:val="003A33DB"/>
    <w:rsid w:val="003A648E"/>
    <w:rsid w:val="003A66D0"/>
    <w:rsid w:val="003A69E4"/>
    <w:rsid w:val="003A7230"/>
    <w:rsid w:val="003B384E"/>
    <w:rsid w:val="003B48D2"/>
    <w:rsid w:val="003B51DE"/>
    <w:rsid w:val="003B62F8"/>
    <w:rsid w:val="003B6B5B"/>
    <w:rsid w:val="003C27C4"/>
    <w:rsid w:val="003C3A3C"/>
    <w:rsid w:val="003C48C5"/>
    <w:rsid w:val="003C58E8"/>
    <w:rsid w:val="003C5980"/>
    <w:rsid w:val="003C61DF"/>
    <w:rsid w:val="003C6DFA"/>
    <w:rsid w:val="003D04BC"/>
    <w:rsid w:val="003D298F"/>
    <w:rsid w:val="003D34A0"/>
    <w:rsid w:val="003D36AD"/>
    <w:rsid w:val="003D3F36"/>
    <w:rsid w:val="003D40A5"/>
    <w:rsid w:val="003D5191"/>
    <w:rsid w:val="003D60B8"/>
    <w:rsid w:val="003D6883"/>
    <w:rsid w:val="003E0565"/>
    <w:rsid w:val="003E0FDC"/>
    <w:rsid w:val="003E15A5"/>
    <w:rsid w:val="003E1601"/>
    <w:rsid w:val="003E16E4"/>
    <w:rsid w:val="003E24CE"/>
    <w:rsid w:val="003E3441"/>
    <w:rsid w:val="003E3941"/>
    <w:rsid w:val="003E4EEC"/>
    <w:rsid w:val="003E540D"/>
    <w:rsid w:val="003E55AA"/>
    <w:rsid w:val="003E7422"/>
    <w:rsid w:val="003E7CF9"/>
    <w:rsid w:val="003E7D3D"/>
    <w:rsid w:val="003E7E0A"/>
    <w:rsid w:val="003F0CBE"/>
    <w:rsid w:val="003F0D8A"/>
    <w:rsid w:val="003F1480"/>
    <w:rsid w:val="003F3179"/>
    <w:rsid w:val="003F3DED"/>
    <w:rsid w:val="003F4C76"/>
    <w:rsid w:val="003F502C"/>
    <w:rsid w:val="003F57BD"/>
    <w:rsid w:val="003F5B70"/>
    <w:rsid w:val="003F6464"/>
    <w:rsid w:val="004018B3"/>
    <w:rsid w:val="00402114"/>
    <w:rsid w:val="0040323C"/>
    <w:rsid w:val="00403FBE"/>
    <w:rsid w:val="00406A65"/>
    <w:rsid w:val="00406D56"/>
    <w:rsid w:val="00406EDD"/>
    <w:rsid w:val="00407069"/>
    <w:rsid w:val="004078BB"/>
    <w:rsid w:val="004124F7"/>
    <w:rsid w:val="004131C1"/>
    <w:rsid w:val="0041339D"/>
    <w:rsid w:val="0041365D"/>
    <w:rsid w:val="004153D7"/>
    <w:rsid w:val="00415754"/>
    <w:rsid w:val="00415E17"/>
    <w:rsid w:val="004162E3"/>
    <w:rsid w:val="004179A8"/>
    <w:rsid w:val="004203C9"/>
    <w:rsid w:val="00421ED8"/>
    <w:rsid w:val="0042297B"/>
    <w:rsid w:val="00422F19"/>
    <w:rsid w:val="00423B48"/>
    <w:rsid w:val="00424602"/>
    <w:rsid w:val="00425AF2"/>
    <w:rsid w:val="00425FE9"/>
    <w:rsid w:val="00427131"/>
    <w:rsid w:val="004304EB"/>
    <w:rsid w:val="0043050A"/>
    <w:rsid w:val="00430775"/>
    <w:rsid w:val="004312C7"/>
    <w:rsid w:val="004323E9"/>
    <w:rsid w:val="00432C65"/>
    <w:rsid w:val="004339ED"/>
    <w:rsid w:val="00433B89"/>
    <w:rsid w:val="00436996"/>
    <w:rsid w:val="00436F7E"/>
    <w:rsid w:val="00437947"/>
    <w:rsid w:val="00437BE1"/>
    <w:rsid w:val="004404CA"/>
    <w:rsid w:val="00440E9F"/>
    <w:rsid w:val="0044128D"/>
    <w:rsid w:val="004419D3"/>
    <w:rsid w:val="00442CD6"/>
    <w:rsid w:val="0044337C"/>
    <w:rsid w:val="00445790"/>
    <w:rsid w:val="004471E3"/>
    <w:rsid w:val="00450100"/>
    <w:rsid w:val="00450273"/>
    <w:rsid w:val="004509A5"/>
    <w:rsid w:val="00453CE7"/>
    <w:rsid w:val="00454DAE"/>
    <w:rsid w:val="004551F3"/>
    <w:rsid w:val="00455856"/>
    <w:rsid w:val="004563F1"/>
    <w:rsid w:val="004602EC"/>
    <w:rsid w:val="00460626"/>
    <w:rsid w:val="004617A6"/>
    <w:rsid w:val="0046446D"/>
    <w:rsid w:val="00466CD6"/>
    <w:rsid w:val="00467FE9"/>
    <w:rsid w:val="004734DC"/>
    <w:rsid w:val="00474025"/>
    <w:rsid w:val="00475C59"/>
    <w:rsid w:val="00475CF0"/>
    <w:rsid w:val="0048008C"/>
    <w:rsid w:val="004809C9"/>
    <w:rsid w:val="00480BAD"/>
    <w:rsid w:val="00480C7E"/>
    <w:rsid w:val="00481EE4"/>
    <w:rsid w:val="00481F63"/>
    <w:rsid w:val="00482ABC"/>
    <w:rsid w:val="0048376E"/>
    <w:rsid w:val="00486C12"/>
    <w:rsid w:val="00486CF9"/>
    <w:rsid w:val="00487A47"/>
    <w:rsid w:val="00487AEF"/>
    <w:rsid w:val="00487D95"/>
    <w:rsid w:val="00490650"/>
    <w:rsid w:val="00492048"/>
    <w:rsid w:val="004959B4"/>
    <w:rsid w:val="004967A2"/>
    <w:rsid w:val="00497CD3"/>
    <w:rsid w:val="004A1A2E"/>
    <w:rsid w:val="004A2D46"/>
    <w:rsid w:val="004A3A35"/>
    <w:rsid w:val="004A5C50"/>
    <w:rsid w:val="004A6FCA"/>
    <w:rsid w:val="004B0F48"/>
    <w:rsid w:val="004B2CFB"/>
    <w:rsid w:val="004B3F31"/>
    <w:rsid w:val="004B4489"/>
    <w:rsid w:val="004B5DA1"/>
    <w:rsid w:val="004C4E2A"/>
    <w:rsid w:val="004C56D1"/>
    <w:rsid w:val="004C5FE9"/>
    <w:rsid w:val="004D2C76"/>
    <w:rsid w:val="004D3B5D"/>
    <w:rsid w:val="004D428E"/>
    <w:rsid w:val="004D58D5"/>
    <w:rsid w:val="004D71AF"/>
    <w:rsid w:val="004D7301"/>
    <w:rsid w:val="004E2777"/>
    <w:rsid w:val="004E4DFA"/>
    <w:rsid w:val="004E6B87"/>
    <w:rsid w:val="004F1C36"/>
    <w:rsid w:val="004F1DB8"/>
    <w:rsid w:val="004F21BC"/>
    <w:rsid w:val="004F3EDB"/>
    <w:rsid w:val="004F55EC"/>
    <w:rsid w:val="004F61DD"/>
    <w:rsid w:val="004F7E62"/>
    <w:rsid w:val="00502569"/>
    <w:rsid w:val="00503556"/>
    <w:rsid w:val="00503645"/>
    <w:rsid w:val="00504C90"/>
    <w:rsid w:val="00506122"/>
    <w:rsid w:val="00506204"/>
    <w:rsid w:val="00511171"/>
    <w:rsid w:val="00513467"/>
    <w:rsid w:val="005136CC"/>
    <w:rsid w:val="00513858"/>
    <w:rsid w:val="00514A39"/>
    <w:rsid w:val="00514B37"/>
    <w:rsid w:val="00514EEC"/>
    <w:rsid w:val="0051797E"/>
    <w:rsid w:val="00521874"/>
    <w:rsid w:val="00521920"/>
    <w:rsid w:val="005246B1"/>
    <w:rsid w:val="0052559C"/>
    <w:rsid w:val="00530B04"/>
    <w:rsid w:val="0053259A"/>
    <w:rsid w:val="00534386"/>
    <w:rsid w:val="0053683E"/>
    <w:rsid w:val="00537B0D"/>
    <w:rsid w:val="00540105"/>
    <w:rsid w:val="005403E8"/>
    <w:rsid w:val="00542990"/>
    <w:rsid w:val="00542A98"/>
    <w:rsid w:val="005435EC"/>
    <w:rsid w:val="00544873"/>
    <w:rsid w:val="005453C5"/>
    <w:rsid w:val="0054599C"/>
    <w:rsid w:val="00545A84"/>
    <w:rsid w:val="00546537"/>
    <w:rsid w:val="005479CB"/>
    <w:rsid w:val="00551EF3"/>
    <w:rsid w:val="00554084"/>
    <w:rsid w:val="00554299"/>
    <w:rsid w:val="00557E24"/>
    <w:rsid w:val="00560593"/>
    <w:rsid w:val="0056163A"/>
    <w:rsid w:val="00562217"/>
    <w:rsid w:val="00563BE5"/>
    <w:rsid w:val="00564F30"/>
    <w:rsid w:val="00565CCD"/>
    <w:rsid w:val="00566407"/>
    <w:rsid w:val="00567397"/>
    <w:rsid w:val="00567D7B"/>
    <w:rsid w:val="00571B06"/>
    <w:rsid w:val="00574FBD"/>
    <w:rsid w:val="005760D1"/>
    <w:rsid w:val="005764C6"/>
    <w:rsid w:val="005773BB"/>
    <w:rsid w:val="00577B7E"/>
    <w:rsid w:val="0058234E"/>
    <w:rsid w:val="005835E3"/>
    <w:rsid w:val="005842B6"/>
    <w:rsid w:val="0058455C"/>
    <w:rsid w:val="005847E0"/>
    <w:rsid w:val="00585C7D"/>
    <w:rsid w:val="00585C83"/>
    <w:rsid w:val="00586604"/>
    <w:rsid w:val="00587DDD"/>
    <w:rsid w:val="00591FDD"/>
    <w:rsid w:val="00592AC3"/>
    <w:rsid w:val="00593B11"/>
    <w:rsid w:val="005963DB"/>
    <w:rsid w:val="005A1336"/>
    <w:rsid w:val="005A1F9D"/>
    <w:rsid w:val="005A3798"/>
    <w:rsid w:val="005A3D78"/>
    <w:rsid w:val="005A6210"/>
    <w:rsid w:val="005A67E5"/>
    <w:rsid w:val="005A7302"/>
    <w:rsid w:val="005B00A6"/>
    <w:rsid w:val="005B0D6D"/>
    <w:rsid w:val="005B3433"/>
    <w:rsid w:val="005B399E"/>
    <w:rsid w:val="005B40F4"/>
    <w:rsid w:val="005B4D0A"/>
    <w:rsid w:val="005C078F"/>
    <w:rsid w:val="005C1C85"/>
    <w:rsid w:val="005C2844"/>
    <w:rsid w:val="005C2EF8"/>
    <w:rsid w:val="005C59AC"/>
    <w:rsid w:val="005C7A33"/>
    <w:rsid w:val="005C7F3F"/>
    <w:rsid w:val="005D0117"/>
    <w:rsid w:val="005D0539"/>
    <w:rsid w:val="005D2879"/>
    <w:rsid w:val="005D3701"/>
    <w:rsid w:val="005D5D0B"/>
    <w:rsid w:val="005D6266"/>
    <w:rsid w:val="005E2187"/>
    <w:rsid w:val="005E4FE9"/>
    <w:rsid w:val="005E7281"/>
    <w:rsid w:val="005F19E0"/>
    <w:rsid w:val="005F39F1"/>
    <w:rsid w:val="005F3E96"/>
    <w:rsid w:val="005F4233"/>
    <w:rsid w:val="005F57B5"/>
    <w:rsid w:val="005F7AA1"/>
    <w:rsid w:val="006021AF"/>
    <w:rsid w:val="0060457B"/>
    <w:rsid w:val="00604FAE"/>
    <w:rsid w:val="00607605"/>
    <w:rsid w:val="0061001E"/>
    <w:rsid w:val="00610B3C"/>
    <w:rsid w:val="00610FC6"/>
    <w:rsid w:val="00616BCC"/>
    <w:rsid w:val="00622319"/>
    <w:rsid w:val="00623394"/>
    <w:rsid w:val="00623BA1"/>
    <w:rsid w:val="0062416A"/>
    <w:rsid w:val="00624A15"/>
    <w:rsid w:val="00625FB3"/>
    <w:rsid w:val="00626129"/>
    <w:rsid w:val="0062736E"/>
    <w:rsid w:val="00632A52"/>
    <w:rsid w:val="00633A9C"/>
    <w:rsid w:val="00634414"/>
    <w:rsid w:val="00636012"/>
    <w:rsid w:val="00636861"/>
    <w:rsid w:val="00636987"/>
    <w:rsid w:val="006400F2"/>
    <w:rsid w:val="0064017A"/>
    <w:rsid w:val="00640BB6"/>
    <w:rsid w:val="00640E03"/>
    <w:rsid w:val="00641702"/>
    <w:rsid w:val="00642FCD"/>
    <w:rsid w:val="006433B2"/>
    <w:rsid w:val="00644D17"/>
    <w:rsid w:val="00645027"/>
    <w:rsid w:val="00646075"/>
    <w:rsid w:val="0064609B"/>
    <w:rsid w:val="0065231B"/>
    <w:rsid w:val="006529BB"/>
    <w:rsid w:val="00652DD9"/>
    <w:rsid w:val="00652E41"/>
    <w:rsid w:val="00653EC3"/>
    <w:rsid w:val="006559C8"/>
    <w:rsid w:val="006560BD"/>
    <w:rsid w:val="00657405"/>
    <w:rsid w:val="006605C2"/>
    <w:rsid w:val="00661864"/>
    <w:rsid w:val="00661961"/>
    <w:rsid w:val="0066223A"/>
    <w:rsid w:val="00663253"/>
    <w:rsid w:val="00663A00"/>
    <w:rsid w:val="00664856"/>
    <w:rsid w:val="00664D52"/>
    <w:rsid w:val="00664FA6"/>
    <w:rsid w:val="0066632E"/>
    <w:rsid w:val="00671943"/>
    <w:rsid w:val="00673682"/>
    <w:rsid w:val="00681D1C"/>
    <w:rsid w:val="00681E9D"/>
    <w:rsid w:val="006832A4"/>
    <w:rsid w:val="00683395"/>
    <w:rsid w:val="006833A1"/>
    <w:rsid w:val="006846E9"/>
    <w:rsid w:val="006872DB"/>
    <w:rsid w:val="00695CBB"/>
    <w:rsid w:val="00695ED2"/>
    <w:rsid w:val="00697A5F"/>
    <w:rsid w:val="006A1022"/>
    <w:rsid w:val="006A1A83"/>
    <w:rsid w:val="006A2C4B"/>
    <w:rsid w:val="006A541C"/>
    <w:rsid w:val="006A55D2"/>
    <w:rsid w:val="006A7557"/>
    <w:rsid w:val="006B0C02"/>
    <w:rsid w:val="006B15A5"/>
    <w:rsid w:val="006B2DB0"/>
    <w:rsid w:val="006B42B8"/>
    <w:rsid w:val="006B4563"/>
    <w:rsid w:val="006B5A92"/>
    <w:rsid w:val="006B5DFC"/>
    <w:rsid w:val="006B6104"/>
    <w:rsid w:val="006B763D"/>
    <w:rsid w:val="006B7C33"/>
    <w:rsid w:val="006B7EDD"/>
    <w:rsid w:val="006C0648"/>
    <w:rsid w:val="006C1D0F"/>
    <w:rsid w:val="006C44B4"/>
    <w:rsid w:val="006D0365"/>
    <w:rsid w:val="006D2068"/>
    <w:rsid w:val="006D35FF"/>
    <w:rsid w:val="006D3725"/>
    <w:rsid w:val="006D3764"/>
    <w:rsid w:val="006D4AE1"/>
    <w:rsid w:val="006D52D8"/>
    <w:rsid w:val="006D5AAB"/>
    <w:rsid w:val="006E0111"/>
    <w:rsid w:val="006E3C13"/>
    <w:rsid w:val="006E5CB6"/>
    <w:rsid w:val="006E77EA"/>
    <w:rsid w:val="006F0139"/>
    <w:rsid w:val="006F214B"/>
    <w:rsid w:val="006F28C7"/>
    <w:rsid w:val="006F428D"/>
    <w:rsid w:val="006F5277"/>
    <w:rsid w:val="007001DD"/>
    <w:rsid w:val="007004B9"/>
    <w:rsid w:val="00703929"/>
    <w:rsid w:val="0070443C"/>
    <w:rsid w:val="007106BE"/>
    <w:rsid w:val="00712407"/>
    <w:rsid w:val="00712477"/>
    <w:rsid w:val="00714F7D"/>
    <w:rsid w:val="00716B41"/>
    <w:rsid w:val="00717869"/>
    <w:rsid w:val="00721A54"/>
    <w:rsid w:val="00721C75"/>
    <w:rsid w:val="007228DB"/>
    <w:rsid w:val="00723862"/>
    <w:rsid w:val="00731859"/>
    <w:rsid w:val="00733275"/>
    <w:rsid w:val="00735A4C"/>
    <w:rsid w:val="00735CB1"/>
    <w:rsid w:val="00741F74"/>
    <w:rsid w:val="00742BD9"/>
    <w:rsid w:val="00742E8A"/>
    <w:rsid w:val="007431B7"/>
    <w:rsid w:val="00745482"/>
    <w:rsid w:val="0074677C"/>
    <w:rsid w:val="00746952"/>
    <w:rsid w:val="00746DDC"/>
    <w:rsid w:val="007475AA"/>
    <w:rsid w:val="0075061C"/>
    <w:rsid w:val="00754D25"/>
    <w:rsid w:val="00755961"/>
    <w:rsid w:val="00755BA5"/>
    <w:rsid w:val="00756A18"/>
    <w:rsid w:val="00757590"/>
    <w:rsid w:val="00762F0E"/>
    <w:rsid w:val="0076412F"/>
    <w:rsid w:val="007652CE"/>
    <w:rsid w:val="00765936"/>
    <w:rsid w:val="00766954"/>
    <w:rsid w:val="0077018C"/>
    <w:rsid w:val="00770DA8"/>
    <w:rsid w:val="00771691"/>
    <w:rsid w:val="0077416A"/>
    <w:rsid w:val="0077449D"/>
    <w:rsid w:val="00774D12"/>
    <w:rsid w:val="00774D9E"/>
    <w:rsid w:val="00774F7F"/>
    <w:rsid w:val="0077634F"/>
    <w:rsid w:val="0077653A"/>
    <w:rsid w:val="0077706D"/>
    <w:rsid w:val="00780249"/>
    <w:rsid w:val="00781316"/>
    <w:rsid w:val="007813B4"/>
    <w:rsid w:val="007821CF"/>
    <w:rsid w:val="00783DAC"/>
    <w:rsid w:val="00784500"/>
    <w:rsid w:val="00785112"/>
    <w:rsid w:val="00785DCD"/>
    <w:rsid w:val="00786700"/>
    <w:rsid w:val="007878B9"/>
    <w:rsid w:val="00790C15"/>
    <w:rsid w:val="007931BC"/>
    <w:rsid w:val="00793646"/>
    <w:rsid w:val="00793C9A"/>
    <w:rsid w:val="0079521E"/>
    <w:rsid w:val="00796071"/>
    <w:rsid w:val="00796424"/>
    <w:rsid w:val="007A0C2E"/>
    <w:rsid w:val="007A1510"/>
    <w:rsid w:val="007A2504"/>
    <w:rsid w:val="007A4237"/>
    <w:rsid w:val="007A4D97"/>
    <w:rsid w:val="007A7519"/>
    <w:rsid w:val="007A768C"/>
    <w:rsid w:val="007B0C91"/>
    <w:rsid w:val="007B2CAC"/>
    <w:rsid w:val="007B2E26"/>
    <w:rsid w:val="007B44FB"/>
    <w:rsid w:val="007B735A"/>
    <w:rsid w:val="007C0148"/>
    <w:rsid w:val="007C0E38"/>
    <w:rsid w:val="007C18E3"/>
    <w:rsid w:val="007C2D1E"/>
    <w:rsid w:val="007C475D"/>
    <w:rsid w:val="007C4E08"/>
    <w:rsid w:val="007C55FD"/>
    <w:rsid w:val="007C56A9"/>
    <w:rsid w:val="007C66FA"/>
    <w:rsid w:val="007C6842"/>
    <w:rsid w:val="007D0411"/>
    <w:rsid w:val="007D0CA5"/>
    <w:rsid w:val="007D1A1F"/>
    <w:rsid w:val="007D1E01"/>
    <w:rsid w:val="007D2F4C"/>
    <w:rsid w:val="007D3DFF"/>
    <w:rsid w:val="007D3F38"/>
    <w:rsid w:val="007D4823"/>
    <w:rsid w:val="007D4DB8"/>
    <w:rsid w:val="007D5024"/>
    <w:rsid w:val="007D66D9"/>
    <w:rsid w:val="007D776D"/>
    <w:rsid w:val="007E2197"/>
    <w:rsid w:val="007E3304"/>
    <w:rsid w:val="007E3854"/>
    <w:rsid w:val="007E5550"/>
    <w:rsid w:val="007F00C3"/>
    <w:rsid w:val="007F0838"/>
    <w:rsid w:val="007F101A"/>
    <w:rsid w:val="007F1E48"/>
    <w:rsid w:val="007F1E71"/>
    <w:rsid w:val="007F2147"/>
    <w:rsid w:val="007F2C5A"/>
    <w:rsid w:val="007F36E9"/>
    <w:rsid w:val="007F4605"/>
    <w:rsid w:val="007F46DE"/>
    <w:rsid w:val="007F6C7D"/>
    <w:rsid w:val="00800D93"/>
    <w:rsid w:val="0080238F"/>
    <w:rsid w:val="008026F6"/>
    <w:rsid w:val="00803F84"/>
    <w:rsid w:val="00804354"/>
    <w:rsid w:val="008050AD"/>
    <w:rsid w:val="00806070"/>
    <w:rsid w:val="00806EE8"/>
    <w:rsid w:val="00807120"/>
    <w:rsid w:val="00811D89"/>
    <w:rsid w:val="00814500"/>
    <w:rsid w:val="00815DEB"/>
    <w:rsid w:val="00817FF9"/>
    <w:rsid w:val="008207C9"/>
    <w:rsid w:val="00822F77"/>
    <w:rsid w:val="0082356A"/>
    <w:rsid w:val="0083197C"/>
    <w:rsid w:val="008339EF"/>
    <w:rsid w:val="00833AF7"/>
    <w:rsid w:val="00834023"/>
    <w:rsid w:val="00835579"/>
    <w:rsid w:val="00836F9B"/>
    <w:rsid w:val="00840749"/>
    <w:rsid w:val="00844106"/>
    <w:rsid w:val="00844B27"/>
    <w:rsid w:val="00844D29"/>
    <w:rsid w:val="00846195"/>
    <w:rsid w:val="00846852"/>
    <w:rsid w:val="00846FA0"/>
    <w:rsid w:val="008479B6"/>
    <w:rsid w:val="00851ABA"/>
    <w:rsid w:val="00857350"/>
    <w:rsid w:val="0086002F"/>
    <w:rsid w:val="00860947"/>
    <w:rsid w:val="00860B37"/>
    <w:rsid w:val="00863F9D"/>
    <w:rsid w:val="008645F9"/>
    <w:rsid w:val="0086628A"/>
    <w:rsid w:val="00871279"/>
    <w:rsid w:val="00871D20"/>
    <w:rsid w:val="00872913"/>
    <w:rsid w:val="0087372C"/>
    <w:rsid w:val="00873F82"/>
    <w:rsid w:val="0087599D"/>
    <w:rsid w:val="008808F1"/>
    <w:rsid w:val="00880CA5"/>
    <w:rsid w:val="0088148C"/>
    <w:rsid w:val="008817B1"/>
    <w:rsid w:val="008834BB"/>
    <w:rsid w:val="008838FB"/>
    <w:rsid w:val="008840FA"/>
    <w:rsid w:val="0088444D"/>
    <w:rsid w:val="008846D2"/>
    <w:rsid w:val="00890F95"/>
    <w:rsid w:val="0089311A"/>
    <w:rsid w:val="00893900"/>
    <w:rsid w:val="00894336"/>
    <w:rsid w:val="008943CC"/>
    <w:rsid w:val="008946C3"/>
    <w:rsid w:val="008948E0"/>
    <w:rsid w:val="0089528C"/>
    <w:rsid w:val="008A1884"/>
    <w:rsid w:val="008A6467"/>
    <w:rsid w:val="008B034D"/>
    <w:rsid w:val="008B0BBC"/>
    <w:rsid w:val="008B0EAD"/>
    <w:rsid w:val="008B4153"/>
    <w:rsid w:val="008B5356"/>
    <w:rsid w:val="008B7927"/>
    <w:rsid w:val="008B7C85"/>
    <w:rsid w:val="008C0B72"/>
    <w:rsid w:val="008C1E67"/>
    <w:rsid w:val="008C2DD2"/>
    <w:rsid w:val="008C5AF3"/>
    <w:rsid w:val="008C5D00"/>
    <w:rsid w:val="008C6752"/>
    <w:rsid w:val="008C6AD1"/>
    <w:rsid w:val="008C71B5"/>
    <w:rsid w:val="008D0A36"/>
    <w:rsid w:val="008D4BB2"/>
    <w:rsid w:val="008E2C73"/>
    <w:rsid w:val="008E326C"/>
    <w:rsid w:val="008E3ACA"/>
    <w:rsid w:val="008E431F"/>
    <w:rsid w:val="008E507F"/>
    <w:rsid w:val="008E5E12"/>
    <w:rsid w:val="008F04F3"/>
    <w:rsid w:val="008F0D2A"/>
    <w:rsid w:val="008F12D4"/>
    <w:rsid w:val="008F17A0"/>
    <w:rsid w:val="008F23EF"/>
    <w:rsid w:val="008F34D9"/>
    <w:rsid w:val="008F386F"/>
    <w:rsid w:val="008F44ED"/>
    <w:rsid w:val="008F48E1"/>
    <w:rsid w:val="008F5BD0"/>
    <w:rsid w:val="009003FE"/>
    <w:rsid w:val="0090145B"/>
    <w:rsid w:val="00903876"/>
    <w:rsid w:val="00903C95"/>
    <w:rsid w:val="009046D4"/>
    <w:rsid w:val="0091058D"/>
    <w:rsid w:val="00912373"/>
    <w:rsid w:val="00913858"/>
    <w:rsid w:val="00913A0F"/>
    <w:rsid w:val="00914959"/>
    <w:rsid w:val="00915CE6"/>
    <w:rsid w:val="00916468"/>
    <w:rsid w:val="009168A1"/>
    <w:rsid w:val="00916A9C"/>
    <w:rsid w:val="009226B9"/>
    <w:rsid w:val="00922C35"/>
    <w:rsid w:val="00923C05"/>
    <w:rsid w:val="00924681"/>
    <w:rsid w:val="0092581B"/>
    <w:rsid w:val="0092622E"/>
    <w:rsid w:val="0092673D"/>
    <w:rsid w:val="00930254"/>
    <w:rsid w:val="00930877"/>
    <w:rsid w:val="009315ED"/>
    <w:rsid w:val="00932DA5"/>
    <w:rsid w:val="009343A3"/>
    <w:rsid w:val="00935690"/>
    <w:rsid w:val="0094458D"/>
    <w:rsid w:val="00945CB0"/>
    <w:rsid w:val="009460BF"/>
    <w:rsid w:val="00951188"/>
    <w:rsid w:val="00955732"/>
    <w:rsid w:val="00955CBA"/>
    <w:rsid w:val="00955F9B"/>
    <w:rsid w:val="00960F2F"/>
    <w:rsid w:val="009634F6"/>
    <w:rsid w:val="00963B5E"/>
    <w:rsid w:val="00963FA0"/>
    <w:rsid w:val="0096491F"/>
    <w:rsid w:val="00965CA0"/>
    <w:rsid w:val="00965E8C"/>
    <w:rsid w:val="00974E95"/>
    <w:rsid w:val="00975F2D"/>
    <w:rsid w:val="00977BF5"/>
    <w:rsid w:val="0098302D"/>
    <w:rsid w:val="009833EF"/>
    <w:rsid w:val="00987608"/>
    <w:rsid w:val="00987D0F"/>
    <w:rsid w:val="00990FD4"/>
    <w:rsid w:val="00992652"/>
    <w:rsid w:val="00992DF9"/>
    <w:rsid w:val="009943A0"/>
    <w:rsid w:val="009953BC"/>
    <w:rsid w:val="009963D2"/>
    <w:rsid w:val="009A0568"/>
    <w:rsid w:val="009A05DF"/>
    <w:rsid w:val="009A0701"/>
    <w:rsid w:val="009A0AF9"/>
    <w:rsid w:val="009A121B"/>
    <w:rsid w:val="009A15E4"/>
    <w:rsid w:val="009A16BE"/>
    <w:rsid w:val="009A2337"/>
    <w:rsid w:val="009A23B0"/>
    <w:rsid w:val="009A27F0"/>
    <w:rsid w:val="009A2E00"/>
    <w:rsid w:val="009A3440"/>
    <w:rsid w:val="009A355A"/>
    <w:rsid w:val="009A36DC"/>
    <w:rsid w:val="009A5CE8"/>
    <w:rsid w:val="009A7B5A"/>
    <w:rsid w:val="009A7F79"/>
    <w:rsid w:val="009B00D1"/>
    <w:rsid w:val="009B015E"/>
    <w:rsid w:val="009B1863"/>
    <w:rsid w:val="009B2BDC"/>
    <w:rsid w:val="009B46A6"/>
    <w:rsid w:val="009B549D"/>
    <w:rsid w:val="009B5F5D"/>
    <w:rsid w:val="009B6090"/>
    <w:rsid w:val="009B6201"/>
    <w:rsid w:val="009B6326"/>
    <w:rsid w:val="009B73BA"/>
    <w:rsid w:val="009B7C41"/>
    <w:rsid w:val="009C10D9"/>
    <w:rsid w:val="009C19D1"/>
    <w:rsid w:val="009C28DC"/>
    <w:rsid w:val="009C3607"/>
    <w:rsid w:val="009C425A"/>
    <w:rsid w:val="009C5CA7"/>
    <w:rsid w:val="009D03F8"/>
    <w:rsid w:val="009D1DF4"/>
    <w:rsid w:val="009D4C77"/>
    <w:rsid w:val="009D5D8A"/>
    <w:rsid w:val="009D747D"/>
    <w:rsid w:val="009D7A24"/>
    <w:rsid w:val="009D7D4E"/>
    <w:rsid w:val="009E00E4"/>
    <w:rsid w:val="009E0D20"/>
    <w:rsid w:val="009E0F6B"/>
    <w:rsid w:val="009E23B7"/>
    <w:rsid w:val="009E27D7"/>
    <w:rsid w:val="009E2964"/>
    <w:rsid w:val="009E5D18"/>
    <w:rsid w:val="009E63C7"/>
    <w:rsid w:val="009E7DCD"/>
    <w:rsid w:val="009F1859"/>
    <w:rsid w:val="009F4F86"/>
    <w:rsid w:val="009F55F9"/>
    <w:rsid w:val="009F5CC0"/>
    <w:rsid w:val="009F65D3"/>
    <w:rsid w:val="009F6F8B"/>
    <w:rsid w:val="009F7164"/>
    <w:rsid w:val="009F76C6"/>
    <w:rsid w:val="009F78EE"/>
    <w:rsid w:val="00A01631"/>
    <w:rsid w:val="00A016C4"/>
    <w:rsid w:val="00A01CEA"/>
    <w:rsid w:val="00A02F0A"/>
    <w:rsid w:val="00A0355D"/>
    <w:rsid w:val="00A03E14"/>
    <w:rsid w:val="00A06021"/>
    <w:rsid w:val="00A1074D"/>
    <w:rsid w:val="00A1098E"/>
    <w:rsid w:val="00A110BD"/>
    <w:rsid w:val="00A127DD"/>
    <w:rsid w:val="00A1455B"/>
    <w:rsid w:val="00A14E6C"/>
    <w:rsid w:val="00A167EC"/>
    <w:rsid w:val="00A172E6"/>
    <w:rsid w:val="00A20077"/>
    <w:rsid w:val="00A22129"/>
    <w:rsid w:val="00A24434"/>
    <w:rsid w:val="00A24C8D"/>
    <w:rsid w:val="00A26F15"/>
    <w:rsid w:val="00A30E37"/>
    <w:rsid w:val="00A3386B"/>
    <w:rsid w:val="00A3488D"/>
    <w:rsid w:val="00A35CF8"/>
    <w:rsid w:val="00A360E7"/>
    <w:rsid w:val="00A400FB"/>
    <w:rsid w:val="00A41ACF"/>
    <w:rsid w:val="00A443D1"/>
    <w:rsid w:val="00A456B3"/>
    <w:rsid w:val="00A46042"/>
    <w:rsid w:val="00A46305"/>
    <w:rsid w:val="00A47BFE"/>
    <w:rsid w:val="00A5087E"/>
    <w:rsid w:val="00A51808"/>
    <w:rsid w:val="00A51D78"/>
    <w:rsid w:val="00A51EA8"/>
    <w:rsid w:val="00A5253D"/>
    <w:rsid w:val="00A52E6C"/>
    <w:rsid w:val="00A549C3"/>
    <w:rsid w:val="00A55DD1"/>
    <w:rsid w:val="00A561A8"/>
    <w:rsid w:val="00A562A6"/>
    <w:rsid w:val="00A614C3"/>
    <w:rsid w:val="00A63FEB"/>
    <w:rsid w:val="00A646B3"/>
    <w:rsid w:val="00A67C12"/>
    <w:rsid w:val="00A7007B"/>
    <w:rsid w:val="00A71623"/>
    <w:rsid w:val="00A71F50"/>
    <w:rsid w:val="00A721E7"/>
    <w:rsid w:val="00A75B86"/>
    <w:rsid w:val="00A81CF8"/>
    <w:rsid w:val="00A823E7"/>
    <w:rsid w:val="00A84B87"/>
    <w:rsid w:val="00A84D4B"/>
    <w:rsid w:val="00A8592D"/>
    <w:rsid w:val="00A905AD"/>
    <w:rsid w:val="00A90D08"/>
    <w:rsid w:val="00A91B83"/>
    <w:rsid w:val="00A932F7"/>
    <w:rsid w:val="00A93FFF"/>
    <w:rsid w:val="00A9411B"/>
    <w:rsid w:val="00A95746"/>
    <w:rsid w:val="00A95AB5"/>
    <w:rsid w:val="00A96D45"/>
    <w:rsid w:val="00A973EE"/>
    <w:rsid w:val="00A97EBD"/>
    <w:rsid w:val="00AA0A6B"/>
    <w:rsid w:val="00AA18DD"/>
    <w:rsid w:val="00AA1F91"/>
    <w:rsid w:val="00AA4D7A"/>
    <w:rsid w:val="00AA5CE1"/>
    <w:rsid w:val="00AA5E66"/>
    <w:rsid w:val="00AB2137"/>
    <w:rsid w:val="00AB2D9E"/>
    <w:rsid w:val="00AB4404"/>
    <w:rsid w:val="00AB491F"/>
    <w:rsid w:val="00AB68E3"/>
    <w:rsid w:val="00AB76DE"/>
    <w:rsid w:val="00AC0F04"/>
    <w:rsid w:val="00AC1B60"/>
    <w:rsid w:val="00AC21EE"/>
    <w:rsid w:val="00AC2508"/>
    <w:rsid w:val="00AC3872"/>
    <w:rsid w:val="00AC3B22"/>
    <w:rsid w:val="00AC4101"/>
    <w:rsid w:val="00AC4947"/>
    <w:rsid w:val="00AC4CD7"/>
    <w:rsid w:val="00AC4DFF"/>
    <w:rsid w:val="00AC5597"/>
    <w:rsid w:val="00AC6C3F"/>
    <w:rsid w:val="00AC6C60"/>
    <w:rsid w:val="00AD0116"/>
    <w:rsid w:val="00AD032D"/>
    <w:rsid w:val="00AD1B42"/>
    <w:rsid w:val="00AD4177"/>
    <w:rsid w:val="00AD460E"/>
    <w:rsid w:val="00AD4B84"/>
    <w:rsid w:val="00AD71FB"/>
    <w:rsid w:val="00AD78A5"/>
    <w:rsid w:val="00AE23BE"/>
    <w:rsid w:val="00AE32EE"/>
    <w:rsid w:val="00AE5772"/>
    <w:rsid w:val="00AE5880"/>
    <w:rsid w:val="00AF0673"/>
    <w:rsid w:val="00AF0AC0"/>
    <w:rsid w:val="00AF1807"/>
    <w:rsid w:val="00AF3129"/>
    <w:rsid w:val="00AF4CA9"/>
    <w:rsid w:val="00AF5B52"/>
    <w:rsid w:val="00AF5F12"/>
    <w:rsid w:val="00B008BF"/>
    <w:rsid w:val="00B02653"/>
    <w:rsid w:val="00B03052"/>
    <w:rsid w:val="00B03D19"/>
    <w:rsid w:val="00B03EFF"/>
    <w:rsid w:val="00B06452"/>
    <w:rsid w:val="00B06BF0"/>
    <w:rsid w:val="00B07460"/>
    <w:rsid w:val="00B07C0B"/>
    <w:rsid w:val="00B1289B"/>
    <w:rsid w:val="00B14BDF"/>
    <w:rsid w:val="00B16173"/>
    <w:rsid w:val="00B16978"/>
    <w:rsid w:val="00B16BE4"/>
    <w:rsid w:val="00B17EBB"/>
    <w:rsid w:val="00B24A6F"/>
    <w:rsid w:val="00B25257"/>
    <w:rsid w:val="00B27447"/>
    <w:rsid w:val="00B278DB"/>
    <w:rsid w:val="00B30D4F"/>
    <w:rsid w:val="00B32EEA"/>
    <w:rsid w:val="00B3434E"/>
    <w:rsid w:val="00B351FD"/>
    <w:rsid w:val="00B35BFD"/>
    <w:rsid w:val="00B37A08"/>
    <w:rsid w:val="00B37B26"/>
    <w:rsid w:val="00B4098F"/>
    <w:rsid w:val="00B421F2"/>
    <w:rsid w:val="00B42822"/>
    <w:rsid w:val="00B42C54"/>
    <w:rsid w:val="00B4395A"/>
    <w:rsid w:val="00B44493"/>
    <w:rsid w:val="00B44A3A"/>
    <w:rsid w:val="00B44D59"/>
    <w:rsid w:val="00B4549A"/>
    <w:rsid w:val="00B4553E"/>
    <w:rsid w:val="00B466FD"/>
    <w:rsid w:val="00B46773"/>
    <w:rsid w:val="00B46C07"/>
    <w:rsid w:val="00B47091"/>
    <w:rsid w:val="00B4731E"/>
    <w:rsid w:val="00B47E14"/>
    <w:rsid w:val="00B54256"/>
    <w:rsid w:val="00B545F4"/>
    <w:rsid w:val="00B56303"/>
    <w:rsid w:val="00B61CCA"/>
    <w:rsid w:val="00B64F62"/>
    <w:rsid w:val="00B651D3"/>
    <w:rsid w:val="00B65278"/>
    <w:rsid w:val="00B65D48"/>
    <w:rsid w:val="00B661C1"/>
    <w:rsid w:val="00B66898"/>
    <w:rsid w:val="00B7077D"/>
    <w:rsid w:val="00B7164C"/>
    <w:rsid w:val="00B74832"/>
    <w:rsid w:val="00B74917"/>
    <w:rsid w:val="00B807AB"/>
    <w:rsid w:val="00B80F53"/>
    <w:rsid w:val="00B82E26"/>
    <w:rsid w:val="00B85E9F"/>
    <w:rsid w:val="00B87004"/>
    <w:rsid w:val="00B872D0"/>
    <w:rsid w:val="00B9432C"/>
    <w:rsid w:val="00B94DA4"/>
    <w:rsid w:val="00B95FBC"/>
    <w:rsid w:val="00B96960"/>
    <w:rsid w:val="00B96C23"/>
    <w:rsid w:val="00B97C44"/>
    <w:rsid w:val="00BA05AE"/>
    <w:rsid w:val="00BA1640"/>
    <w:rsid w:val="00BA2775"/>
    <w:rsid w:val="00BA2FA3"/>
    <w:rsid w:val="00BA6418"/>
    <w:rsid w:val="00BA6E5A"/>
    <w:rsid w:val="00BA7443"/>
    <w:rsid w:val="00BA7567"/>
    <w:rsid w:val="00BA7D18"/>
    <w:rsid w:val="00BB29FB"/>
    <w:rsid w:val="00BB3308"/>
    <w:rsid w:val="00BB35AF"/>
    <w:rsid w:val="00BB3A8F"/>
    <w:rsid w:val="00BB3E59"/>
    <w:rsid w:val="00BB7A64"/>
    <w:rsid w:val="00BC19F6"/>
    <w:rsid w:val="00BC2A83"/>
    <w:rsid w:val="00BC2F90"/>
    <w:rsid w:val="00BC3B7C"/>
    <w:rsid w:val="00BC48EC"/>
    <w:rsid w:val="00BC4FDF"/>
    <w:rsid w:val="00BC6217"/>
    <w:rsid w:val="00BD02D0"/>
    <w:rsid w:val="00BD0D15"/>
    <w:rsid w:val="00BD1629"/>
    <w:rsid w:val="00BD1760"/>
    <w:rsid w:val="00BD5425"/>
    <w:rsid w:val="00BD7D03"/>
    <w:rsid w:val="00BE0E3A"/>
    <w:rsid w:val="00BE404C"/>
    <w:rsid w:val="00BE53E8"/>
    <w:rsid w:val="00BE5F9D"/>
    <w:rsid w:val="00BF020B"/>
    <w:rsid w:val="00BF0332"/>
    <w:rsid w:val="00BF03E9"/>
    <w:rsid w:val="00BF0815"/>
    <w:rsid w:val="00BF5EF4"/>
    <w:rsid w:val="00BF5FCC"/>
    <w:rsid w:val="00BF6985"/>
    <w:rsid w:val="00C00FA2"/>
    <w:rsid w:val="00C01E10"/>
    <w:rsid w:val="00C069A2"/>
    <w:rsid w:val="00C069EC"/>
    <w:rsid w:val="00C06C64"/>
    <w:rsid w:val="00C10325"/>
    <w:rsid w:val="00C14C2F"/>
    <w:rsid w:val="00C159ED"/>
    <w:rsid w:val="00C17416"/>
    <w:rsid w:val="00C1748F"/>
    <w:rsid w:val="00C17F6F"/>
    <w:rsid w:val="00C20044"/>
    <w:rsid w:val="00C21061"/>
    <w:rsid w:val="00C221D5"/>
    <w:rsid w:val="00C2280A"/>
    <w:rsid w:val="00C23D02"/>
    <w:rsid w:val="00C2652B"/>
    <w:rsid w:val="00C273C5"/>
    <w:rsid w:val="00C274E0"/>
    <w:rsid w:val="00C30598"/>
    <w:rsid w:val="00C308B5"/>
    <w:rsid w:val="00C3265F"/>
    <w:rsid w:val="00C346C7"/>
    <w:rsid w:val="00C3595D"/>
    <w:rsid w:val="00C35F3E"/>
    <w:rsid w:val="00C36AAB"/>
    <w:rsid w:val="00C373FB"/>
    <w:rsid w:val="00C37AF6"/>
    <w:rsid w:val="00C41E55"/>
    <w:rsid w:val="00C41E61"/>
    <w:rsid w:val="00C42D59"/>
    <w:rsid w:val="00C45C85"/>
    <w:rsid w:val="00C45CC3"/>
    <w:rsid w:val="00C515CA"/>
    <w:rsid w:val="00C5266C"/>
    <w:rsid w:val="00C52701"/>
    <w:rsid w:val="00C533E6"/>
    <w:rsid w:val="00C56730"/>
    <w:rsid w:val="00C57854"/>
    <w:rsid w:val="00C6024F"/>
    <w:rsid w:val="00C60CE3"/>
    <w:rsid w:val="00C61C00"/>
    <w:rsid w:val="00C61EDD"/>
    <w:rsid w:val="00C638FA"/>
    <w:rsid w:val="00C63D95"/>
    <w:rsid w:val="00C6407D"/>
    <w:rsid w:val="00C64B94"/>
    <w:rsid w:val="00C70A8C"/>
    <w:rsid w:val="00C7123A"/>
    <w:rsid w:val="00C739BF"/>
    <w:rsid w:val="00C747DF"/>
    <w:rsid w:val="00C74F44"/>
    <w:rsid w:val="00C768C1"/>
    <w:rsid w:val="00C76C24"/>
    <w:rsid w:val="00C76F0C"/>
    <w:rsid w:val="00C80B16"/>
    <w:rsid w:val="00C80E3F"/>
    <w:rsid w:val="00C811C4"/>
    <w:rsid w:val="00C839DB"/>
    <w:rsid w:val="00C83F0A"/>
    <w:rsid w:val="00C85FC6"/>
    <w:rsid w:val="00C87539"/>
    <w:rsid w:val="00C90663"/>
    <w:rsid w:val="00C93DCA"/>
    <w:rsid w:val="00C93E6E"/>
    <w:rsid w:val="00C95410"/>
    <w:rsid w:val="00CA071B"/>
    <w:rsid w:val="00CA5466"/>
    <w:rsid w:val="00CA5803"/>
    <w:rsid w:val="00CA591D"/>
    <w:rsid w:val="00CA59A7"/>
    <w:rsid w:val="00CA734B"/>
    <w:rsid w:val="00CB0475"/>
    <w:rsid w:val="00CB0D2B"/>
    <w:rsid w:val="00CB1266"/>
    <w:rsid w:val="00CB2C4F"/>
    <w:rsid w:val="00CB3583"/>
    <w:rsid w:val="00CB6A8C"/>
    <w:rsid w:val="00CC1129"/>
    <w:rsid w:val="00CC230F"/>
    <w:rsid w:val="00CC34FF"/>
    <w:rsid w:val="00CC44F0"/>
    <w:rsid w:val="00CC7985"/>
    <w:rsid w:val="00CD0E5B"/>
    <w:rsid w:val="00CD0FE9"/>
    <w:rsid w:val="00CD2FD7"/>
    <w:rsid w:val="00CD396E"/>
    <w:rsid w:val="00CD5104"/>
    <w:rsid w:val="00CD6046"/>
    <w:rsid w:val="00CE06A5"/>
    <w:rsid w:val="00CE202E"/>
    <w:rsid w:val="00CE2229"/>
    <w:rsid w:val="00CE374E"/>
    <w:rsid w:val="00CE4117"/>
    <w:rsid w:val="00CE4FA2"/>
    <w:rsid w:val="00CE6DAC"/>
    <w:rsid w:val="00CF0534"/>
    <w:rsid w:val="00CF277F"/>
    <w:rsid w:val="00CF3FF0"/>
    <w:rsid w:val="00CF41AF"/>
    <w:rsid w:val="00CF4567"/>
    <w:rsid w:val="00CF53AB"/>
    <w:rsid w:val="00CF57CB"/>
    <w:rsid w:val="00CF5F10"/>
    <w:rsid w:val="00CF6815"/>
    <w:rsid w:val="00CF7BA0"/>
    <w:rsid w:val="00D00997"/>
    <w:rsid w:val="00D012B5"/>
    <w:rsid w:val="00D04912"/>
    <w:rsid w:val="00D04D3D"/>
    <w:rsid w:val="00D06F3A"/>
    <w:rsid w:val="00D11B02"/>
    <w:rsid w:val="00D11E23"/>
    <w:rsid w:val="00D1202C"/>
    <w:rsid w:val="00D12617"/>
    <w:rsid w:val="00D146E1"/>
    <w:rsid w:val="00D16DDF"/>
    <w:rsid w:val="00D16E24"/>
    <w:rsid w:val="00D20486"/>
    <w:rsid w:val="00D21B0A"/>
    <w:rsid w:val="00D228D8"/>
    <w:rsid w:val="00D23113"/>
    <w:rsid w:val="00D24376"/>
    <w:rsid w:val="00D25DFE"/>
    <w:rsid w:val="00D307B2"/>
    <w:rsid w:val="00D31439"/>
    <w:rsid w:val="00D32727"/>
    <w:rsid w:val="00D33677"/>
    <w:rsid w:val="00D338E7"/>
    <w:rsid w:val="00D34934"/>
    <w:rsid w:val="00D3514E"/>
    <w:rsid w:val="00D35B3D"/>
    <w:rsid w:val="00D373EC"/>
    <w:rsid w:val="00D37A18"/>
    <w:rsid w:val="00D37A8D"/>
    <w:rsid w:val="00D37BC7"/>
    <w:rsid w:val="00D40D17"/>
    <w:rsid w:val="00D4180D"/>
    <w:rsid w:val="00D42875"/>
    <w:rsid w:val="00D42B44"/>
    <w:rsid w:val="00D44A14"/>
    <w:rsid w:val="00D46CD0"/>
    <w:rsid w:val="00D47738"/>
    <w:rsid w:val="00D51A9B"/>
    <w:rsid w:val="00D51D95"/>
    <w:rsid w:val="00D5346F"/>
    <w:rsid w:val="00D53EC6"/>
    <w:rsid w:val="00D55378"/>
    <w:rsid w:val="00D55A00"/>
    <w:rsid w:val="00D56F77"/>
    <w:rsid w:val="00D61B96"/>
    <w:rsid w:val="00D61E9F"/>
    <w:rsid w:val="00D62002"/>
    <w:rsid w:val="00D62CC8"/>
    <w:rsid w:val="00D6402F"/>
    <w:rsid w:val="00D67EAD"/>
    <w:rsid w:val="00D7047A"/>
    <w:rsid w:val="00D719E9"/>
    <w:rsid w:val="00D71C6E"/>
    <w:rsid w:val="00D72225"/>
    <w:rsid w:val="00D73550"/>
    <w:rsid w:val="00D74AA5"/>
    <w:rsid w:val="00D75F95"/>
    <w:rsid w:val="00D838F7"/>
    <w:rsid w:val="00D8479E"/>
    <w:rsid w:val="00D84C4F"/>
    <w:rsid w:val="00D868F1"/>
    <w:rsid w:val="00D871AB"/>
    <w:rsid w:val="00D87EFF"/>
    <w:rsid w:val="00D903F0"/>
    <w:rsid w:val="00D904D3"/>
    <w:rsid w:val="00D914B0"/>
    <w:rsid w:val="00D91AE6"/>
    <w:rsid w:val="00D92694"/>
    <w:rsid w:val="00D92BFE"/>
    <w:rsid w:val="00D92F4C"/>
    <w:rsid w:val="00D941E0"/>
    <w:rsid w:val="00D94AC8"/>
    <w:rsid w:val="00D95840"/>
    <w:rsid w:val="00D967B1"/>
    <w:rsid w:val="00DA2825"/>
    <w:rsid w:val="00DA554C"/>
    <w:rsid w:val="00DA5C6F"/>
    <w:rsid w:val="00DA5D3B"/>
    <w:rsid w:val="00DA5DE8"/>
    <w:rsid w:val="00DA5F07"/>
    <w:rsid w:val="00DB29E2"/>
    <w:rsid w:val="00DB2F92"/>
    <w:rsid w:val="00DB42FB"/>
    <w:rsid w:val="00DB7AEE"/>
    <w:rsid w:val="00DB7B82"/>
    <w:rsid w:val="00DC0EC4"/>
    <w:rsid w:val="00DC0EE2"/>
    <w:rsid w:val="00DC1EC8"/>
    <w:rsid w:val="00DC3535"/>
    <w:rsid w:val="00DC39C4"/>
    <w:rsid w:val="00DC4019"/>
    <w:rsid w:val="00DC4568"/>
    <w:rsid w:val="00DC73D1"/>
    <w:rsid w:val="00DD0941"/>
    <w:rsid w:val="00DD15A0"/>
    <w:rsid w:val="00DD1C47"/>
    <w:rsid w:val="00DD6B5E"/>
    <w:rsid w:val="00DE21B1"/>
    <w:rsid w:val="00DE3023"/>
    <w:rsid w:val="00DE4BF6"/>
    <w:rsid w:val="00DE6133"/>
    <w:rsid w:val="00DE69D0"/>
    <w:rsid w:val="00DE7070"/>
    <w:rsid w:val="00DE77A3"/>
    <w:rsid w:val="00DF02F6"/>
    <w:rsid w:val="00DF1B92"/>
    <w:rsid w:val="00DF21B8"/>
    <w:rsid w:val="00DF31EE"/>
    <w:rsid w:val="00DF3395"/>
    <w:rsid w:val="00DF4E6F"/>
    <w:rsid w:val="00DF4FDC"/>
    <w:rsid w:val="00DF5D36"/>
    <w:rsid w:val="00DF7681"/>
    <w:rsid w:val="00E02150"/>
    <w:rsid w:val="00E02429"/>
    <w:rsid w:val="00E02D36"/>
    <w:rsid w:val="00E03431"/>
    <w:rsid w:val="00E042AD"/>
    <w:rsid w:val="00E04B76"/>
    <w:rsid w:val="00E04E43"/>
    <w:rsid w:val="00E04EC8"/>
    <w:rsid w:val="00E05E74"/>
    <w:rsid w:val="00E066CD"/>
    <w:rsid w:val="00E0756F"/>
    <w:rsid w:val="00E079A3"/>
    <w:rsid w:val="00E10650"/>
    <w:rsid w:val="00E12D94"/>
    <w:rsid w:val="00E149CE"/>
    <w:rsid w:val="00E16AC4"/>
    <w:rsid w:val="00E17251"/>
    <w:rsid w:val="00E17C58"/>
    <w:rsid w:val="00E2178D"/>
    <w:rsid w:val="00E22B44"/>
    <w:rsid w:val="00E23958"/>
    <w:rsid w:val="00E23AD4"/>
    <w:rsid w:val="00E23BEC"/>
    <w:rsid w:val="00E23EC3"/>
    <w:rsid w:val="00E24E4D"/>
    <w:rsid w:val="00E2618B"/>
    <w:rsid w:val="00E26725"/>
    <w:rsid w:val="00E267F1"/>
    <w:rsid w:val="00E321C0"/>
    <w:rsid w:val="00E33F27"/>
    <w:rsid w:val="00E34AE1"/>
    <w:rsid w:val="00E34E73"/>
    <w:rsid w:val="00E36319"/>
    <w:rsid w:val="00E375C8"/>
    <w:rsid w:val="00E37614"/>
    <w:rsid w:val="00E41842"/>
    <w:rsid w:val="00E4302B"/>
    <w:rsid w:val="00E50CAA"/>
    <w:rsid w:val="00E528AF"/>
    <w:rsid w:val="00E53131"/>
    <w:rsid w:val="00E5518E"/>
    <w:rsid w:val="00E56222"/>
    <w:rsid w:val="00E566D8"/>
    <w:rsid w:val="00E57743"/>
    <w:rsid w:val="00E577C9"/>
    <w:rsid w:val="00E57A97"/>
    <w:rsid w:val="00E60EB9"/>
    <w:rsid w:val="00E62C06"/>
    <w:rsid w:val="00E62DD3"/>
    <w:rsid w:val="00E65F9A"/>
    <w:rsid w:val="00E66D8F"/>
    <w:rsid w:val="00E6742D"/>
    <w:rsid w:val="00E71707"/>
    <w:rsid w:val="00E71EF1"/>
    <w:rsid w:val="00E7227D"/>
    <w:rsid w:val="00E72D12"/>
    <w:rsid w:val="00E731C6"/>
    <w:rsid w:val="00E740C4"/>
    <w:rsid w:val="00E74686"/>
    <w:rsid w:val="00E74750"/>
    <w:rsid w:val="00E76686"/>
    <w:rsid w:val="00E80520"/>
    <w:rsid w:val="00E80611"/>
    <w:rsid w:val="00E81BD0"/>
    <w:rsid w:val="00E83C98"/>
    <w:rsid w:val="00E840FE"/>
    <w:rsid w:val="00E841BE"/>
    <w:rsid w:val="00E84DBD"/>
    <w:rsid w:val="00E856AD"/>
    <w:rsid w:val="00E879C6"/>
    <w:rsid w:val="00E87CDB"/>
    <w:rsid w:val="00E9128A"/>
    <w:rsid w:val="00E91C15"/>
    <w:rsid w:val="00E943E8"/>
    <w:rsid w:val="00E945CE"/>
    <w:rsid w:val="00E94FAF"/>
    <w:rsid w:val="00E96142"/>
    <w:rsid w:val="00E9687D"/>
    <w:rsid w:val="00E9724F"/>
    <w:rsid w:val="00EA0528"/>
    <w:rsid w:val="00EA347E"/>
    <w:rsid w:val="00EA38B4"/>
    <w:rsid w:val="00EA4E02"/>
    <w:rsid w:val="00EA5165"/>
    <w:rsid w:val="00EA6276"/>
    <w:rsid w:val="00EB038E"/>
    <w:rsid w:val="00EB048C"/>
    <w:rsid w:val="00EB2C67"/>
    <w:rsid w:val="00EB2D3B"/>
    <w:rsid w:val="00EB367C"/>
    <w:rsid w:val="00EB43BA"/>
    <w:rsid w:val="00EB4429"/>
    <w:rsid w:val="00EB46D0"/>
    <w:rsid w:val="00EB4700"/>
    <w:rsid w:val="00EB78FC"/>
    <w:rsid w:val="00EB7F72"/>
    <w:rsid w:val="00EC1B9C"/>
    <w:rsid w:val="00EC1D0B"/>
    <w:rsid w:val="00EC4357"/>
    <w:rsid w:val="00EC45F7"/>
    <w:rsid w:val="00EC49A4"/>
    <w:rsid w:val="00EC4EF3"/>
    <w:rsid w:val="00ED102C"/>
    <w:rsid w:val="00ED20C9"/>
    <w:rsid w:val="00ED21EE"/>
    <w:rsid w:val="00ED2397"/>
    <w:rsid w:val="00ED272D"/>
    <w:rsid w:val="00ED37E1"/>
    <w:rsid w:val="00ED3B31"/>
    <w:rsid w:val="00ED4EC4"/>
    <w:rsid w:val="00ED6C04"/>
    <w:rsid w:val="00ED7728"/>
    <w:rsid w:val="00ED7D3D"/>
    <w:rsid w:val="00EE0F69"/>
    <w:rsid w:val="00EE2E4F"/>
    <w:rsid w:val="00EE4094"/>
    <w:rsid w:val="00EE47A2"/>
    <w:rsid w:val="00EE4C9D"/>
    <w:rsid w:val="00EE4D57"/>
    <w:rsid w:val="00EE52ED"/>
    <w:rsid w:val="00EE53FF"/>
    <w:rsid w:val="00EE5E83"/>
    <w:rsid w:val="00EE7092"/>
    <w:rsid w:val="00EF079C"/>
    <w:rsid w:val="00EF2F5C"/>
    <w:rsid w:val="00EF3A92"/>
    <w:rsid w:val="00EF5910"/>
    <w:rsid w:val="00EF7590"/>
    <w:rsid w:val="00F00363"/>
    <w:rsid w:val="00F01C13"/>
    <w:rsid w:val="00F024CA"/>
    <w:rsid w:val="00F0354F"/>
    <w:rsid w:val="00F044AB"/>
    <w:rsid w:val="00F0526A"/>
    <w:rsid w:val="00F05E83"/>
    <w:rsid w:val="00F1013F"/>
    <w:rsid w:val="00F10A99"/>
    <w:rsid w:val="00F12648"/>
    <w:rsid w:val="00F138A2"/>
    <w:rsid w:val="00F154EB"/>
    <w:rsid w:val="00F2046D"/>
    <w:rsid w:val="00F20632"/>
    <w:rsid w:val="00F20B35"/>
    <w:rsid w:val="00F212E0"/>
    <w:rsid w:val="00F22C68"/>
    <w:rsid w:val="00F23738"/>
    <w:rsid w:val="00F2392E"/>
    <w:rsid w:val="00F25647"/>
    <w:rsid w:val="00F264A5"/>
    <w:rsid w:val="00F300A5"/>
    <w:rsid w:val="00F30846"/>
    <w:rsid w:val="00F30878"/>
    <w:rsid w:val="00F30CAB"/>
    <w:rsid w:val="00F31A69"/>
    <w:rsid w:val="00F32192"/>
    <w:rsid w:val="00F32479"/>
    <w:rsid w:val="00F327DF"/>
    <w:rsid w:val="00F32826"/>
    <w:rsid w:val="00F33121"/>
    <w:rsid w:val="00F33769"/>
    <w:rsid w:val="00F36CAE"/>
    <w:rsid w:val="00F36DEB"/>
    <w:rsid w:val="00F379A3"/>
    <w:rsid w:val="00F406FD"/>
    <w:rsid w:val="00F414D0"/>
    <w:rsid w:val="00F434DF"/>
    <w:rsid w:val="00F4532C"/>
    <w:rsid w:val="00F47D9D"/>
    <w:rsid w:val="00F50558"/>
    <w:rsid w:val="00F50A8E"/>
    <w:rsid w:val="00F51CED"/>
    <w:rsid w:val="00F52372"/>
    <w:rsid w:val="00F52572"/>
    <w:rsid w:val="00F55847"/>
    <w:rsid w:val="00F57142"/>
    <w:rsid w:val="00F5756D"/>
    <w:rsid w:val="00F621AD"/>
    <w:rsid w:val="00F630A2"/>
    <w:rsid w:val="00F63E1C"/>
    <w:rsid w:val="00F652AB"/>
    <w:rsid w:val="00F6579B"/>
    <w:rsid w:val="00F65942"/>
    <w:rsid w:val="00F663CA"/>
    <w:rsid w:val="00F70DAF"/>
    <w:rsid w:val="00F72AA0"/>
    <w:rsid w:val="00F72B2C"/>
    <w:rsid w:val="00F76A40"/>
    <w:rsid w:val="00F80C07"/>
    <w:rsid w:val="00F818F5"/>
    <w:rsid w:val="00F87264"/>
    <w:rsid w:val="00F90278"/>
    <w:rsid w:val="00F908E9"/>
    <w:rsid w:val="00F94031"/>
    <w:rsid w:val="00F951AA"/>
    <w:rsid w:val="00F9529D"/>
    <w:rsid w:val="00F96C94"/>
    <w:rsid w:val="00FA0BF0"/>
    <w:rsid w:val="00FA2B8F"/>
    <w:rsid w:val="00FA2EF2"/>
    <w:rsid w:val="00FA47E6"/>
    <w:rsid w:val="00FA56D6"/>
    <w:rsid w:val="00FA595F"/>
    <w:rsid w:val="00FA62A2"/>
    <w:rsid w:val="00FA684E"/>
    <w:rsid w:val="00FA6C24"/>
    <w:rsid w:val="00FB12C0"/>
    <w:rsid w:val="00FB21DF"/>
    <w:rsid w:val="00FB2BAD"/>
    <w:rsid w:val="00FB43CF"/>
    <w:rsid w:val="00FB651A"/>
    <w:rsid w:val="00FB75D6"/>
    <w:rsid w:val="00FC0CB3"/>
    <w:rsid w:val="00FC2809"/>
    <w:rsid w:val="00FC2999"/>
    <w:rsid w:val="00FC4515"/>
    <w:rsid w:val="00FC745C"/>
    <w:rsid w:val="00FC765F"/>
    <w:rsid w:val="00FC781D"/>
    <w:rsid w:val="00FC7CE4"/>
    <w:rsid w:val="00FC7D3F"/>
    <w:rsid w:val="00FD1861"/>
    <w:rsid w:val="00FD2C88"/>
    <w:rsid w:val="00FD30A7"/>
    <w:rsid w:val="00FD5375"/>
    <w:rsid w:val="00FD61A3"/>
    <w:rsid w:val="00FD66C9"/>
    <w:rsid w:val="00FD79F6"/>
    <w:rsid w:val="00FE0371"/>
    <w:rsid w:val="00FE079D"/>
    <w:rsid w:val="00FE1258"/>
    <w:rsid w:val="00FE31D0"/>
    <w:rsid w:val="00FE3581"/>
    <w:rsid w:val="00FE3C5A"/>
    <w:rsid w:val="00FE7A3F"/>
    <w:rsid w:val="00FF0A6F"/>
    <w:rsid w:val="00FF14CE"/>
    <w:rsid w:val="00FF19E4"/>
    <w:rsid w:val="00FF34FF"/>
    <w:rsid w:val="00FF35E7"/>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B872D0"/>
    <w:pPr>
      <w:ind w:left="720"/>
      <w:contextualSpacing/>
    </w:pPr>
  </w:style>
  <w:style w:type="character" w:styleId="PlaceholderText">
    <w:name w:val="Placeholder Text"/>
    <w:basedOn w:val="DefaultParagraphFont"/>
    <w:uiPriority w:val="99"/>
    <w:semiHidden/>
    <w:rsid w:val="00AB491F"/>
    <w:rPr>
      <w:color w:val="808080"/>
    </w:rPr>
  </w:style>
  <w:style w:type="paragraph" w:customStyle="1" w:styleId="Footnote">
    <w:name w:val="Footnote"/>
    <w:basedOn w:val="FootnoteText"/>
    <w:qFormat/>
    <w:rsid w:val="00396E93"/>
    <w:pPr>
      <w:spacing w:after="120"/>
    </w:pPr>
    <w:rPr>
      <w:rFonts w:ascii="Franklin Gothic Book" w:hAnsi="Franklin Gothic Book"/>
      <w:sz w:val="18"/>
    </w:rPr>
  </w:style>
  <w:style w:type="paragraph" w:customStyle="1" w:styleId="LetterSalutation">
    <w:name w:val="Letter Salutation"/>
    <w:next w:val="Normal"/>
    <w:qFormat/>
    <w:rsid w:val="00396E93"/>
    <w:pPr>
      <w:spacing w:before="400" w:after="200"/>
    </w:pPr>
    <w:rPr>
      <w:rFonts w:ascii="Verdana" w:eastAsiaTheme="minorEastAsia" w:hAnsi="Verdana" w:cstheme="minorBidi"/>
      <w:sz w:val="18"/>
      <w:szCs w:val="22"/>
    </w:rPr>
  </w:style>
  <w:style w:type="paragraph" w:customStyle="1" w:styleId="Default">
    <w:name w:val="Default"/>
    <w:rsid w:val="00C42D59"/>
    <w:pPr>
      <w:autoSpaceDE w:val="0"/>
      <w:autoSpaceDN w:val="0"/>
      <w:adjustRightInd w:val="0"/>
    </w:pPr>
    <w:rPr>
      <w:rFonts w:ascii="Calibri" w:hAnsi="Calibri" w:cs="Calibri"/>
      <w:color w:val="000000"/>
      <w:sz w:val="24"/>
      <w:szCs w:val="24"/>
    </w:rPr>
  </w:style>
  <w:style w:type="paragraph" w:customStyle="1" w:styleId="BodyParagraph">
    <w:name w:val="Body Paragraph"/>
    <w:link w:val="BodyParagraphChar"/>
    <w:qFormat/>
    <w:rsid w:val="002914EA"/>
    <w:pPr>
      <w:spacing w:after="240" w:line="312" w:lineRule="auto"/>
    </w:pPr>
    <w:rPr>
      <w:rFonts w:ascii="Verdana" w:eastAsiaTheme="minorHAnsi" w:hAnsi="Verdana" w:cstheme="minorBidi"/>
      <w:sz w:val="18"/>
      <w:szCs w:val="22"/>
    </w:rPr>
  </w:style>
  <w:style w:type="character" w:customStyle="1" w:styleId="BodyParagraphChar">
    <w:name w:val="Body Paragraph Char"/>
    <w:basedOn w:val="DefaultParagraphFont"/>
    <w:link w:val="BodyParagraph"/>
    <w:rsid w:val="002914EA"/>
    <w:rPr>
      <w:rFonts w:ascii="Verdana" w:eastAsiaTheme="minorHAnsi" w:hAnsi="Verdana" w:cstheme="minorBidi"/>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B872D0"/>
    <w:pPr>
      <w:ind w:left="720"/>
      <w:contextualSpacing/>
    </w:pPr>
  </w:style>
  <w:style w:type="character" w:styleId="PlaceholderText">
    <w:name w:val="Placeholder Text"/>
    <w:basedOn w:val="DefaultParagraphFont"/>
    <w:uiPriority w:val="99"/>
    <w:semiHidden/>
    <w:rsid w:val="00AB491F"/>
    <w:rPr>
      <w:color w:val="808080"/>
    </w:rPr>
  </w:style>
  <w:style w:type="paragraph" w:customStyle="1" w:styleId="Footnote">
    <w:name w:val="Footnote"/>
    <w:basedOn w:val="FootnoteText"/>
    <w:qFormat/>
    <w:rsid w:val="00396E93"/>
    <w:pPr>
      <w:spacing w:after="120"/>
    </w:pPr>
    <w:rPr>
      <w:rFonts w:ascii="Franklin Gothic Book" w:hAnsi="Franklin Gothic Book"/>
      <w:sz w:val="18"/>
    </w:rPr>
  </w:style>
  <w:style w:type="paragraph" w:customStyle="1" w:styleId="LetterSalutation">
    <w:name w:val="Letter Salutation"/>
    <w:next w:val="Normal"/>
    <w:qFormat/>
    <w:rsid w:val="00396E93"/>
    <w:pPr>
      <w:spacing w:before="400" w:after="200"/>
    </w:pPr>
    <w:rPr>
      <w:rFonts w:ascii="Verdana" w:eastAsiaTheme="minorEastAsia" w:hAnsi="Verdana" w:cstheme="minorBidi"/>
      <w:sz w:val="18"/>
      <w:szCs w:val="22"/>
    </w:rPr>
  </w:style>
  <w:style w:type="paragraph" w:customStyle="1" w:styleId="Default">
    <w:name w:val="Default"/>
    <w:rsid w:val="00C42D59"/>
    <w:pPr>
      <w:autoSpaceDE w:val="0"/>
      <w:autoSpaceDN w:val="0"/>
      <w:adjustRightInd w:val="0"/>
    </w:pPr>
    <w:rPr>
      <w:rFonts w:ascii="Calibri" w:hAnsi="Calibri" w:cs="Calibri"/>
      <w:color w:val="000000"/>
      <w:sz w:val="24"/>
      <w:szCs w:val="24"/>
    </w:rPr>
  </w:style>
  <w:style w:type="paragraph" w:customStyle="1" w:styleId="BodyParagraph">
    <w:name w:val="Body Paragraph"/>
    <w:link w:val="BodyParagraphChar"/>
    <w:qFormat/>
    <w:rsid w:val="002914EA"/>
    <w:pPr>
      <w:spacing w:after="240" w:line="312" w:lineRule="auto"/>
    </w:pPr>
    <w:rPr>
      <w:rFonts w:ascii="Verdana" w:eastAsiaTheme="minorHAnsi" w:hAnsi="Verdana" w:cstheme="minorBidi"/>
      <w:sz w:val="18"/>
      <w:szCs w:val="22"/>
    </w:rPr>
  </w:style>
  <w:style w:type="character" w:customStyle="1" w:styleId="BodyParagraphChar">
    <w:name w:val="Body Paragraph Char"/>
    <w:basedOn w:val="DefaultParagraphFont"/>
    <w:link w:val="BodyParagraph"/>
    <w:rsid w:val="002914EA"/>
    <w:rPr>
      <w:rFonts w:ascii="Verdana" w:eastAsiaTheme="minorHAnsi" w:hAnsi="Verdana" w:cstheme="minorBidi"/>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25015965">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91682946">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22715145">
      <w:bodyDiv w:val="1"/>
      <w:marLeft w:val="0"/>
      <w:marRight w:val="0"/>
      <w:marTop w:val="0"/>
      <w:marBottom w:val="0"/>
      <w:divBdr>
        <w:top w:val="none" w:sz="0" w:space="0" w:color="auto"/>
        <w:left w:val="none" w:sz="0" w:space="0" w:color="auto"/>
        <w:bottom w:val="none" w:sz="0" w:space="0" w:color="auto"/>
        <w:right w:val="none" w:sz="0" w:space="0" w:color="auto"/>
      </w:divBdr>
    </w:div>
    <w:div w:id="531384463">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1797871">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875774824">
      <w:bodyDiv w:val="1"/>
      <w:marLeft w:val="0"/>
      <w:marRight w:val="0"/>
      <w:marTop w:val="0"/>
      <w:marBottom w:val="0"/>
      <w:divBdr>
        <w:top w:val="none" w:sz="0" w:space="0" w:color="auto"/>
        <w:left w:val="none" w:sz="0" w:space="0" w:color="auto"/>
        <w:bottom w:val="none" w:sz="0" w:space="0" w:color="auto"/>
        <w:right w:val="none" w:sz="0" w:space="0" w:color="auto"/>
      </w:divBdr>
    </w:div>
    <w:div w:id="935094635">
      <w:bodyDiv w:val="1"/>
      <w:marLeft w:val="0"/>
      <w:marRight w:val="0"/>
      <w:marTop w:val="0"/>
      <w:marBottom w:val="0"/>
      <w:divBdr>
        <w:top w:val="none" w:sz="0" w:space="0" w:color="auto"/>
        <w:left w:val="none" w:sz="0" w:space="0" w:color="auto"/>
        <w:bottom w:val="none" w:sz="0" w:space="0" w:color="auto"/>
        <w:right w:val="none" w:sz="0" w:space="0" w:color="auto"/>
      </w:divBdr>
    </w:div>
    <w:div w:id="1059085613">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19432339">
      <w:bodyDiv w:val="1"/>
      <w:marLeft w:val="0"/>
      <w:marRight w:val="0"/>
      <w:marTop w:val="0"/>
      <w:marBottom w:val="0"/>
      <w:divBdr>
        <w:top w:val="none" w:sz="0" w:space="0" w:color="auto"/>
        <w:left w:val="none" w:sz="0" w:space="0" w:color="auto"/>
        <w:bottom w:val="none" w:sz="0" w:space="0" w:color="auto"/>
        <w:right w:val="none" w:sz="0" w:space="0" w:color="auto"/>
      </w:divBdr>
    </w:div>
    <w:div w:id="1790510242">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68639123">
      <w:bodyDiv w:val="1"/>
      <w:marLeft w:val="0"/>
      <w:marRight w:val="0"/>
      <w:marTop w:val="0"/>
      <w:marBottom w:val="0"/>
      <w:divBdr>
        <w:top w:val="none" w:sz="0" w:space="0" w:color="auto"/>
        <w:left w:val="none" w:sz="0" w:space="0" w:color="auto"/>
        <w:bottom w:val="none" w:sz="0" w:space="0" w:color="auto"/>
        <w:right w:val="none" w:sz="0" w:space="0" w:color="auto"/>
      </w:divBdr>
    </w:div>
    <w:div w:id="188312955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package" Target="embeddings/Microsoft_Excel_Worksheet1.xlsx"/><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yperlink" Target="http://www.EPRI.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28"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hyperlink" Target="http://www.seeaction.gov"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http://www.seeaction.gov" TargetMode="External"/><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773C31-43EA-4C35-8A9E-8F99CDE256F1}"/>
</file>

<file path=customXml/itemProps2.xml><?xml version="1.0" encoding="utf-8"?>
<ds:datastoreItem xmlns:ds="http://schemas.openxmlformats.org/officeDocument/2006/customXml" ds:itemID="{0D280A6B-5D68-411B-8FF7-88DFD64A4E4A}"/>
</file>

<file path=customXml/itemProps3.xml><?xml version="1.0" encoding="utf-8"?>
<ds:datastoreItem xmlns:ds="http://schemas.openxmlformats.org/officeDocument/2006/customXml" ds:itemID="{90AC4E56-104E-4524-9907-9F647E8A4177}"/>
</file>

<file path=customXml/itemProps4.xml><?xml version="1.0" encoding="utf-8"?>
<ds:datastoreItem xmlns:ds="http://schemas.openxmlformats.org/officeDocument/2006/customXml" ds:itemID="{F402E195-C3BF-4A1D-9E43-B351B7F77945}"/>
</file>

<file path=docProps/app.xml><?xml version="1.0" encoding="utf-8"?>
<Properties xmlns="http://schemas.openxmlformats.org/officeDocument/2006/extended-properties" xmlns:vt="http://schemas.openxmlformats.org/officeDocument/2006/docPropsVTypes">
  <Template>SCE Work Paper Template - Final</Template>
  <TotalTime>51</TotalTime>
  <Pages>29</Pages>
  <Words>9671</Words>
  <Characters>55128</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64670</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Liu, Henry</cp:lastModifiedBy>
  <cp:revision>5</cp:revision>
  <cp:lastPrinted>2017-02-13T17:59:00Z</cp:lastPrinted>
  <dcterms:created xsi:type="dcterms:W3CDTF">2017-03-06T16:44:00Z</dcterms:created>
  <dcterms:modified xsi:type="dcterms:W3CDTF">2017-03-06T17:50:00Z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