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29A9F0F0" w:rsidR="00DD6B5E" w:rsidRPr="00404482" w:rsidRDefault="003129E8" w:rsidP="00DD6B5E">
      <w:pPr>
        <w:jc w:val="right"/>
        <w:rPr>
          <w:rFonts w:cs="Arial"/>
          <w:b/>
          <w:sz w:val="48"/>
          <w:szCs w:val="48"/>
        </w:rPr>
      </w:pPr>
      <w:bookmarkStart w:id="0" w:name="_Toc153189646"/>
      <w:r w:rsidRPr="00404482">
        <w:rPr>
          <w:rFonts w:cs="Arial"/>
          <w:b/>
          <w:sz w:val="48"/>
          <w:szCs w:val="48"/>
        </w:rPr>
        <w:t xml:space="preserve">Work Paper </w:t>
      </w:r>
      <w:bookmarkEnd w:id="0"/>
      <w:r w:rsidR="00AC6C3F" w:rsidRPr="00404482">
        <w:rPr>
          <w:rFonts w:cs="Arial"/>
          <w:b/>
          <w:sz w:val="48"/>
          <w:szCs w:val="48"/>
        </w:rPr>
        <w:t>PGE</w:t>
      </w:r>
      <w:r w:rsidR="003C67F3" w:rsidRPr="00404482">
        <w:rPr>
          <w:rFonts w:cs="Arial"/>
          <w:b/>
          <w:sz w:val="48"/>
          <w:szCs w:val="48"/>
        </w:rPr>
        <w:t>COALL106</w:t>
      </w:r>
    </w:p>
    <w:p w14:paraId="393A0868" w14:textId="2D22BB63" w:rsidR="00A167EC" w:rsidRPr="00404482" w:rsidRDefault="00234C0D" w:rsidP="00A167EC">
      <w:pPr>
        <w:jc w:val="right"/>
        <w:rPr>
          <w:rFonts w:cs="Arial"/>
          <w:b/>
          <w:sz w:val="48"/>
          <w:szCs w:val="48"/>
        </w:rPr>
      </w:pPr>
      <w:r w:rsidRPr="00404482">
        <w:rPr>
          <w:rFonts w:cs="Arial"/>
          <w:b/>
          <w:sz w:val="48"/>
          <w:szCs w:val="48"/>
        </w:rPr>
        <w:t>Home Energy Checkup</w:t>
      </w:r>
    </w:p>
    <w:p w14:paraId="393A0869" w14:textId="73D284BA" w:rsidR="003129E8" w:rsidRPr="00404482" w:rsidRDefault="003129E8" w:rsidP="002E0043">
      <w:pPr>
        <w:jc w:val="right"/>
        <w:rPr>
          <w:rFonts w:cs="Arial"/>
          <w:b/>
          <w:sz w:val="48"/>
          <w:szCs w:val="48"/>
        </w:rPr>
      </w:pPr>
      <w:bookmarkStart w:id="1" w:name="_Toc153189647"/>
      <w:r w:rsidRPr="00404482">
        <w:rPr>
          <w:rFonts w:cs="Arial"/>
          <w:b/>
          <w:sz w:val="48"/>
          <w:szCs w:val="48"/>
        </w:rPr>
        <w:t>Revision #</w:t>
      </w:r>
      <w:bookmarkEnd w:id="1"/>
      <w:r w:rsidR="00D7047A" w:rsidRPr="00404482">
        <w:rPr>
          <w:rFonts w:cs="Arial"/>
          <w:b/>
          <w:sz w:val="48"/>
          <w:szCs w:val="48"/>
        </w:rPr>
        <w:t xml:space="preserve"> </w:t>
      </w:r>
      <w:r w:rsidR="00571F2A" w:rsidRPr="00404482">
        <w:rPr>
          <w:rFonts w:cs="Arial"/>
          <w:b/>
          <w:sz w:val="48"/>
          <w:szCs w:val="48"/>
        </w:rPr>
        <w:t>0</w:t>
      </w:r>
    </w:p>
    <w:p w14:paraId="393A086A" w14:textId="77777777" w:rsidR="003129E8" w:rsidRPr="00404482" w:rsidRDefault="003129E8" w:rsidP="003129E8"/>
    <w:p w14:paraId="252A6AF9" w14:textId="77777777" w:rsidR="00F635A1" w:rsidRDefault="00F635A1" w:rsidP="00D7047A">
      <w:pPr>
        <w:pBdr>
          <w:bottom w:val="single" w:sz="4" w:space="1" w:color="auto"/>
        </w:pBdr>
        <w:rPr>
          <w:rFonts w:cs="Arial"/>
          <w:b/>
          <w:sz w:val="36"/>
          <w:szCs w:val="36"/>
        </w:rPr>
      </w:pPr>
    </w:p>
    <w:p w14:paraId="393A086B" w14:textId="77777777" w:rsidR="00D7047A" w:rsidRPr="00404482" w:rsidRDefault="00DD6B5E" w:rsidP="00D7047A">
      <w:pPr>
        <w:pBdr>
          <w:bottom w:val="single" w:sz="4" w:space="1" w:color="auto"/>
        </w:pBdr>
        <w:rPr>
          <w:rFonts w:cs="Arial"/>
          <w:b/>
          <w:sz w:val="36"/>
          <w:szCs w:val="36"/>
        </w:rPr>
      </w:pPr>
      <w:r w:rsidRPr="00404482">
        <w:rPr>
          <w:rFonts w:cs="Arial"/>
          <w:b/>
          <w:sz w:val="36"/>
          <w:szCs w:val="36"/>
        </w:rPr>
        <w:t>Pacific Gas &amp; Electric</w:t>
      </w:r>
      <w:r w:rsidR="00DF21B8" w:rsidRPr="00404482">
        <w:rPr>
          <w:rFonts w:cs="Arial"/>
          <w:b/>
          <w:sz w:val="36"/>
          <w:szCs w:val="36"/>
        </w:rPr>
        <w:t xml:space="preserve"> Company</w:t>
      </w:r>
    </w:p>
    <w:p w14:paraId="393A086C" w14:textId="77777777" w:rsidR="00D7047A" w:rsidRPr="00404482" w:rsidRDefault="00661864" w:rsidP="00D7047A">
      <w:pPr>
        <w:rPr>
          <w:rFonts w:cs="Arial"/>
          <w:b/>
          <w:sz w:val="32"/>
          <w:szCs w:val="32"/>
        </w:rPr>
      </w:pPr>
      <w:r w:rsidRPr="00404482">
        <w:rPr>
          <w:rFonts w:cs="Arial"/>
          <w:b/>
          <w:sz w:val="32"/>
          <w:szCs w:val="32"/>
        </w:rPr>
        <w:t xml:space="preserve">Customer Energy Solutions </w:t>
      </w:r>
    </w:p>
    <w:p w14:paraId="393A086D" w14:textId="77777777" w:rsidR="00E34E73" w:rsidRDefault="00E34E73" w:rsidP="00324D0F">
      <w:pPr>
        <w:rPr>
          <w:rFonts w:cs="Arial"/>
          <w:b/>
          <w:highlight w:val="cyan"/>
        </w:rPr>
      </w:pPr>
    </w:p>
    <w:p w14:paraId="6698E3DA" w14:textId="77777777" w:rsidR="00404482" w:rsidRPr="00404482" w:rsidRDefault="00404482" w:rsidP="00324D0F">
      <w:pPr>
        <w:rPr>
          <w:rFonts w:cs="Arial"/>
          <w:b/>
          <w:highlight w:val="cyan"/>
        </w:rPr>
      </w:pPr>
    </w:p>
    <w:p w14:paraId="393A086E" w14:textId="77777777" w:rsidR="00C274E0" w:rsidRPr="00404482" w:rsidRDefault="00C274E0" w:rsidP="00324D0F">
      <w:pPr>
        <w:rPr>
          <w:rFonts w:cs="Arial"/>
          <w:b/>
          <w:highlight w:val="cyan"/>
        </w:rPr>
      </w:pPr>
    </w:p>
    <w:p w14:paraId="67569524" w14:textId="77777777" w:rsidR="00F635A1" w:rsidRDefault="00F635A1" w:rsidP="00A167EC">
      <w:pPr>
        <w:ind w:right="-720"/>
        <w:rPr>
          <w:rFonts w:cs="Arial"/>
          <w:b/>
          <w:sz w:val="72"/>
          <w:szCs w:val="72"/>
        </w:rPr>
      </w:pPr>
    </w:p>
    <w:p w14:paraId="393A0874" w14:textId="55CA4D34" w:rsidR="00324D0F" w:rsidRPr="00404482" w:rsidRDefault="00234C0D" w:rsidP="00A167EC">
      <w:pPr>
        <w:ind w:right="-720"/>
        <w:rPr>
          <w:rFonts w:cs="Arial"/>
          <w:b/>
          <w:sz w:val="72"/>
          <w:szCs w:val="72"/>
        </w:rPr>
      </w:pPr>
      <w:bookmarkStart w:id="2" w:name="_GoBack"/>
      <w:bookmarkEnd w:id="2"/>
      <w:r w:rsidRPr="00404482">
        <w:rPr>
          <w:rFonts w:cs="Arial"/>
          <w:b/>
          <w:sz w:val="72"/>
          <w:szCs w:val="72"/>
        </w:rPr>
        <w:t>Home Energy Checkup</w:t>
      </w:r>
    </w:p>
    <w:p w14:paraId="393A0875" w14:textId="02A5EF4E" w:rsidR="00B421F2" w:rsidRPr="00404482" w:rsidRDefault="00B421F2" w:rsidP="002D4621">
      <w:pPr>
        <w:ind w:right="-720"/>
        <w:rPr>
          <w:rFonts w:cs="Arial"/>
          <w:b/>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96897853"/>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FE35CE" w:rsidRPr="00FE35CE" w14:paraId="5E079C0C" w14:textId="77777777" w:rsidTr="007146E5">
        <w:trPr>
          <w:trHeight w:val="465"/>
        </w:trPr>
        <w:tc>
          <w:tcPr>
            <w:tcW w:w="4161" w:type="dxa"/>
            <w:shd w:val="pct20" w:color="000000" w:fill="FFFFFF"/>
          </w:tcPr>
          <w:p w14:paraId="77DD8348" w14:textId="07507BB6" w:rsidR="00FE35CE" w:rsidRPr="00FE35CE" w:rsidRDefault="00404482" w:rsidP="00FE35CE">
            <w:pPr>
              <w:rPr>
                <w:rFonts w:ascii="Times New Roman" w:hAnsi="Times New Roman"/>
                <w:b/>
                <w:bCs/>
                <w:sz w:val="24"/>
              </w:rPr>
            </w:pPr>
            <w:r>
              <w:rPr>
                <w:rFonts w:ascii="Times New Roman" w:hAnsi="Times New Roman"/>
                <w:b/>
                <w:bCs/>
                <w:sz w:val="24"/>
              </w:rPr>
              <w:t>Measure Code</w:t>
            </w:r>
            <w:r w:rsidR="00FE35CE" w:rsidRPr="00FE35CE">
              <w:rPr>
                <w:rFonts w:ascii="Times New Roman" w:hAnsi="Times New Roman"/>
                <w:b/>
                <w:bCs/>
                <w:sz w:val="24"/>
              </w:rPr>
              <w:t>:</w:t>
            </w:r>
          </w:p>
        </w:tc>
        <w:tc>
          <w:tcPr>
            <w:tcW w:w="5487" w:type="dxa"/>
            <w:shd w:val="pct20" w:color="000000" w:fill="FFFFFF"/>
          </w:tcPr>
          <w:p w14:paraId="08025F1D" w14:textId="76D728FF" w:rsidR="00FE35CE" w:rsidRPr="004F5736" w:rsidRDefault="003E5A5D" w:rsidP="00FE35CE">
            <w:pPr>
              <w:rPr>
                <w:rFonts w:cs="Arial"/>
                <w:bCs/>
                <w:sz w:val="20"/>
                <w:szCs w:val="20"/>
              </w:rPr>
            </w:pPr>
            <w:r>
              <w:rPr>
                <w:rFonts w:cs="Arial"/>
                <w:bCs/>
                <w:sz w:val="20"/>
                <w:szCs w:val="20"/>
              </w:rPr>
              <w:t xml:space="preserve">Service Code </w:t>
            </w:r>
          </w:p>
        </w:tc>
      </w:tr>
      <w:tr w:rsidR="00FE35CE" w:rsidRPr="00FE35CE" w14:paraId="5564E1F0" w14:textId="77777777" w:rsidTr="007146E5">
        <w:trPr>
          <w:trHeight w:val="465"/>
        </w:trPr>
        <w:tc>
          <w:tcPr>
            <w:tcW w:w="4161" w:type="dxa"/>
            <w:shd w:val="pct5" w:color="000000" w:fill="FFFFFF"/>
          </w:tcPr>
          <w:p w14:paraId="64FA6142" w14:textId="77777777" w:rsidR="00FE35CE" w:rsidRPr="00FE35CE" w:rsidRDefault="00FE35CE" w:rsidP="00FE35CE">
            <w:pPr>
              <w:rPr>
                <w:rFonts w:ascii="Times New Roman" w:hAnsi="Times New Roman"/>
                <w:b/>
                <w:sz w:val="24"/>
              </w:rPr>
            </w:pPr>
            <w:r w:rsidRPr="00FE35CE">
              <w:rPr>
                <w:rFonts w:ascii="Times New Roman" w:hAnsi="Times New Roman"/>
                <w:b/>
                <w:sz w:val="24"/>
              </w:rPr>
              <w:t xml:space="preserve">Measure Description: </w:t>
            </w:r>
          </w:p>
        </w:tc>
        <w:tc>
          <w:tcPr>
            <w:tcW w:w="5487" w:type="dxa"/>
            <w:shd w:val="pct5" w:color="000000" w:fill="FFFFFF"/>
          </w:tcPr>
          <w:p w14:paraId="74720634" w14:textId="17C0ED40" w:rsidR="00FE35CE" w:rsidRPr="004F5736" w:rsidRDefault="00234C0D" w:rsidP="00247DCC">
            <w:pPr>
              <w:rPr>
                <w:rFonts w:cs="Arial"/>
                <w:sz w:val="20"/>
                <w:szCs w:val="20"/>
              </w:rPr>
            </w:pPr>
            <w:r>
              <w:rPr>
                <w:rFonts w:cs="Arial"/>
                <w:sz w:val="20"/>
                <w:szCs w:val="20"/>
              </w:rPr>
              <w:t>Home Energy Checkup</w:t>
            </w:r>
            <w:r w:rsidR="00FE35CE" w:rsidRPr="004F5736">
              <w:rPr>
                <w:rFonts w:cs="Arial"/>
                <w:sz w:val="20"/>
                <w:szCs w:val="20"/>
              </w:rPr>
              <w:t xml:space="preserve"> </w:t>
            </w:r>
            <w:r w:rsidR="00247DCC">
              <w:rPr>
                <w:rFonts w:cs="Arial"/>
                <w:sz w:val="20"/>
                <w:szCs w:val="20"/>
              </w:rPr>
              <w:t>–</w:t>
            </w:r>
            <w:r w:rsidR="00FE35CE" w:rsidRPr="004F5736">
              <w:rPr>
                <w:rFonts w:cs="Arial"/>
                <w:sz w:val="20"/>
                <w:szCs w:val="20"/>
              </w:rPr>
              <w:t xml:space="preserve"> </w:t>
            </w:r>
            <w:r w:rsidR="00247DCC">
              <w:rPr>
                <w:rFonts w:cs="Arial"/>
                <w:sz w:val="20"/>
                <w:szCs w:val="20"/>
              </w:rPr>
              <w:t>Energy Advisor</w:t>
            </w:r>
          </w:p>
        </w:tc>
      </w:tr>
      <w:tr w:rsidR="00FE35CE" w:rsidRPr="00FE35CE" w14:paraId="33F8DE32" w14:textId="77777777" w:rsidTr="007146E5">
        <w:trPr>
          <w:trHeight w:val="465"/>
        </w:trPr>
        <w:tc>
          <w:tcPr>
            <w:tcW w:w="4161" w:type="dxa"/>
            <w:shd w:val="pct20" w:color="000000" w:fill="FFFFFF"/>
          </w:tcPr>
          <w:p w14:paraId="1A3CA781" w14:textId="77777777" w:rsidR="00FE35CE" w:rsidRPr="00FE35CE" w:rsidRDefault="00FE35CE" w:rsidP="00FE35CE">
            <w:pPr>
              <w:rPr>
                <w:rFonts w:ascii="Times New Roman" w:hAnsi="Times New Roman"/>
                <w:b/>
                <w:sz w:val="24"/>
              </w:rPr>
            </w:pPr>
            <w:r w:rsidRPr="00FE35CE">
              <w:rPr>
                <w:rFonts w:ascii="Times New Roman" w:hAnsi="Times New Roman"/>
                <w:b/>
                <w:sz w:val="24"/>
              </w:rPr>
              <w:t xml:space="preserve">Energy Impact Common Units: </w:t>
            </w:r>
          </w:p>
        </w:tc>
        <w:tc>
          <w:tcPr>
            <w:tcW w:w="5487" w:type="dxa"/>
            <w:shd w:val="pct20" w:color="000000" w:fill="FFFFFF"/>
          </w:tcPr>
          <w:p w14:paraId="23F2C83F" w14:textId="2BA7B19D" w:rsidR="00FE35CE" w:rsidRPr="004F5736" w:rsidRDefault="00247DCC" w:rsidP="00FE35CE">
            <w:pPr>
              <w:rPr>
                <w:rFonts w:cs="Arial"/>
                <w:sz w:val="20"/>
                <w:szCs w:val="20"/>
              </w:rPr>
            </w:pPr>
            <w:r>
              <w:rPr>
                <w:rFonts w:cs="Arial"/>
                <w:sz w:val="20"/>
                <w:szCs w:val="20"/>
              </w:rPr>
              <w:t>Each</w:t>
            </w:r>
          </w:p>
        </w:tc>
      </w:tr>
      <w:tr w:rsidR="00FE35CE" w:rsidRPr="00FE35CE" w14:paraId="725410B9" w14:textId="77777777" w:rsidTr="007146E5">
        <w:trPr>
          <w:trHeight w:val="465"/>
        </w:trPr>
        <w:tc>
          <w:tcPr>
            <w:tcW w:w="4161" w:type="dxa"/>
            <w:shd w:val="pct5" w:color="000000" w:fill="FFFFFF"/>
          </w:tcPr>
          <w:p w14:paraId="6D70FEAD" w14:textId="77777777" w:rsidR="00FE35CE" w:rsidRPr="00FE35CE" w:rsidRDefault="00FE35CE" w:rsidP="00FE35CE">
            <w:pPr>
              <w:rPr>
                <w:rFonts w:ascii="Times New Roman" w:hAnsi="Times New Roman"/>
                <w:b/>
                <w:sz w:val="24"/>
              </w:rPr>
            </w:pPr>
            <w:r w:rsidRPr="00FE35CE">
              <w:rPr>
                <w:rFonts w:ascii="Times New Roman" w:hAnsi="Times New Roman"/>
                <w:b/>
                <w:sz w:val="24"/>
              </w:rPr>
              <w:t>Base Case Description:</w:t>
            </w:r>
          </w:p>
        </w:tc>
        <w:tc>
          <w:tcPr>
            <w:tcW w:w="5487" w:type="dxa"/>
            <w:shd w:val="pct5" w:color="000000" w:fill="FFFFFF"/>
          </w:tcPr>
          <w:p w14:paraId="4457AB51" w14:textId="4E69E736" w:rsidR="00FE35CE" w:rsidRPr="004F5736" w:rsidRDefault="00FE35CE" w:rsidP="00FE35CE">
            <w:pPr>
              <w:rPr>
                <w:rFonts w:cs="Arial"/>
                <w:sz w:val="20"/>
                <w:szCs w:val="20"/>
              </w:rPr>
            </w:pPr>
            <w:r w:rsidRPr="004F5736">
              <w:rPr>
                <w:rFonts w:cs="Arial"/>
                <w:sz w:val="20"/>
                <w:szCs w:val="20"/>
              </w:rPr>
              <w:t xml:space="preserve">Any residential customer that has not </w:t>
            </w:r>
            <w:r w:rsidR="00247DCC">
              <w:rPr>
                <w:rFonts w:cs="Arial"/>
                <w:sz w:val="20"/>
                <w:szCs w:val="20"/>
              </w:rPr>
              <w:t xml:space="preserve">performed a Home Energy Checkup. </w:t>
            </w:r>
          </w:p>
        </w:tc>
      </w:tr>
      <w:tr w:rsidR="00FE35CE" w:rsidRPr="00FE35CE" w14:paraId="480AA9B4" w14:textId="77777777" w:rsidTr="007146E5">
        <w:trPr>
          <w:trHeight w:val="465"/>
        </w:trPr>
        <w:tc>
          <w:tcPr>
            <w:tcW w:w="4161" w:type="dxa"/>
            <w:shd w:val="pct20" w:color="000000" w:fill="FFFFFF"/>
          </w:tcPr>
          <w:p w14:paraId="1E12824B" w14:textId="77777777" w:rsidR="00FE35CE" w:rsidRPr="00FE35CE" w:rsidRDefault="00FE35CE" w:rsidP="00FE35CE">
            <w:pPr>
              <w:rPr>
                <w:rFonts w:ascii="Times New Roman" w:hAnsi="Times New Roman"/>
                <w:b/>
                <w:sz w:val="24"/>
              </w:rPr>
            </w:pPr>
            <w:r w:rsidRPr="00FE35CE">
              <w:rPr>
                <w:rFonts w:ascii="Times New Roman" w:hAnsi="Times New Roman"/>
                <w:b/>
                <w:sz w:val="24"/>
              </w:rPr>
              <w:t xml:space="preserve">Base Case Energy Consumption: </w:t>
            </w:r>
          </w:p>
        </w:tc>
        <w:tc>
          <w:tcPr>
            <w:tcW w:w="5487" w:type="dxa"/>
            <w:shd w:val="pct20" w:color="000000" w:fill="FFFFFF"/>
          </w:tcPr>
          <w:p w14:paraId="471D3F1A" w14:textId="61780881" w:rsidR="00FE35CE" w:rsidRPr="004F5736" w:rsidRDefault="00FE35CE" w:rsidP="00FE35CE">
            <w:pPr>
              <w:rPr>
                <w:rFonts w:cs="Arial"/>
                <w:sz w:val="20"/>
                <w:szCs w:val="20"/>
              </w:rPr>
            </w:pPr>
            <w:r w:rsidRPr="004F5736">
              <w:rPr>
                <w:rFonts w:cs="Arial"/>
                <w:sz w:val="20"/>
                <w:szCs w:val="20"/>
              </w:rPr>
              <w:t>Consumption of entire residence, be</w:t>
            </w:r>
            <w:r w:rsidR="00247DCC">
              <w:rPr>
                <w:rFonts w:cs="Arial"/>
                <w:sz w:val="20"/>
                <w:szCs w:val="20"/>
              </w:rPr>
              <w:t xml:space="preserve">fore Home Energy Checkup. </w:t>
            </w:r>
          </w:p>
        </w:tc>
      </w:tr>
      <w:tr w:rsidR="00FE35CE" w:rsidRPr="00FE35CE" w14:paraId="01D9731B" w14:textId="77777777" w:rsidTr="007146E5">
        <w:trPr>
          <w:trHeight w:val="378"/>
        </w:trPr>
        <w:tc>
          <w:tcPr>
            <w:tcW w:w="4161" w:type="dxa"/>
            <w:shd w:val="pct5" w:color="000000" w:fill="FFFFFF"/>
          </w:tcPr>
          <w:p w14:paraId="5C1D2F63" w14:textId="77777777" w:rsidR="00FE35CE" w:rsidRPr="00FE35CE" w:rsidRDefault="00FE35CE" w:rsidP="00FE35CE">
            <w:pPr>
              <w:rPr>
                <w:rFonts w:ascii="Times New Roman" w:hAnsi="Times New Roman"/>
                <w:b/>
                <w:sz w:val="24"/>
              </w:rPr>
            </w:pPr>
            <w:r w:rsidRPr="00FE35CE">
              <w:rPr>
                <w:rFonts w:ascii="Times New Roman" w:hAnsi="Times New Roman"/>
                <w:b/>
                <w:sz w:val="24"/>
              </w:rPr>
              <w:t>Measure Energy Consumption:</w:t>
            </w:r>
          </w:p>
        </w:tc>
        <w:tc>
          <w:tcPr>
            <w:tcW w:w="5487" w:type="dxa"/>
            <w:shd w:val="pct5" w:color="000000" w:fill="FFFFFF"/>
          </w:tcPr>
          <w:p w14:paraId="66AFD05D" w14:textId="5CAFC815" w:rsidR="00FE35CE" w:rsidRPr="004F5736" w:rsidRDefault="00FE35CE" w:rsidP="00247DCC">
            <w:pPr>
              <w:rPr>
                <w:rFonts w:cs="Arial"/>
                <w:sz w:val="20"/>
                <w:szCs w:val="20"/>
              </w:rPr>
            </w:pPr>
            <w:r w:rsidRPr="004F5736">
              <w:rPr>
                <w:rFonts w:cs="Arial"/>
                <w:sz w:val="20"/>
                <w:szCs w:val="20"/>
              </w:rPr>
              <w:t xml:space="preserve">Consumption of entire residence, after </w:t>
            </w:r>
            <w:r w:rsidR="00247DCC">
              <w:rPr>
                <w:rFonts w:cs="Arial"/>
                <w:sz w:val="20"/>
                <w:szCs w:val="20"/>
              </w:rPr>
              <w:t>Home Energy Checkup</w:t>
            </w:r>
            <w:r w:rsidRPr="004F5736">
              <w:rPr>
                <w:rFonts w:cs="Arial"/>
                <w:sz w:val="20"/>
                <w:szCs w:val="20"/>
              </w:rPr>
              <w:t xml:space="preserve"> and customer’s resulting actions.</w:t>
            </w:r>
          </w:p>
        </w:tc>
      </w:tr>
      <w:tr w:rsidR="00FE35CE" w:rsidRPr="00FE35CE" w14:paraId="226746E8" w14:textId="77777777" w:rsidTr="00247DCC">
        <w:trPr>
          <w:trHeight w:val="465"/>
        </w:trPr>
        <w:tc>
          <w:tcPr>
            <w:tcW w:w="4161" w:type="dxa"/>
            <w:shd w:val="pct20" w:color="000000" w:fill="FFFFFF"/>
          </w:tcPr>
          <w:p w14:paraId="0E2174D4" w14:textId="77777777" w:rsidR="00FE35CE" w:rsidRPr="00FE35CE" w:rsidRDefault="00FE35CE" w:rsidP="00FE35CE">
            <w:pPr>
              <w:rPr>
                <w:rFonts w:ascii="Times New Roman" w:hAnsi="Times New Roman"/>
                <w:b/>
                <w:sz w:val="24"/>
              </w:rPr>
            </w:pPr>
            <w:r w:rsidRPr="00FE35CE">
              <w:rPr>
                <w:rFonts w:ascii="Times New Roman" w:hAnsi="Times New Roman"/>
                <w:b/>
                <w:sz w:val="24"/>
              </w:rPr>
              <w:t>Energy Savings (Base Case – Measure)</w:t>
            </w:r>
          </w:p>
        </w:tc>
        <w:tc>
          <w:tcPr>
            <w:tcW w:w="5487" w:type="dxa"/>
            <w:shd w:val="pct20" w:color="000000" w:fill="FFFFFF"/>
          </w:tcPr>
          <w:p w14:paraId="6AE65C13" w14:textId="37612D32" w:rsidR="00FE35CE" w:rsidRPr="004F5736" w:rsidRDefault="00FE35CE" w:rsidP="00247DCC">
            <w:pPr>
              <w:rPr>
                <w:rFonts w:cs="Arial"/>
                <w:sz w:val="20"/>
                <w:szCs w:val="20"/>
              </w:rPr>
            </w:pPr>
            <w:r w:rsidRPr="004F5736">
              <w:rPr>
                <w:rFonts w:cs="Arial"/>
                <w:sz w:val="20"/>
                <w:szCs w:val="20"/>
              </w:rPr>
              <w:t xml:space="preserve">Source:  </w:t>
            </w:r>
          </w:p>
        </w:tc>
      </w:tr>
      <w:tr w:rsidR="00FE35CE" w:rsidRPr="00FE35CE" w14:paraId="26DD9C09" w14:textId="77777777" w:rsidTr="007146E5">
        <w:trPr>
          <w:trHeight w:val="465"/>
        </w:trPr>
        <w:tc>
          <w:tcPr>
            <w:tcW w:w="4161" w:type="dxa"/>
            <w:shd w:val="pct5" w:color="000000" w:fill="FFFFFF"/>
          </w:tcPr>
          <w:p w14:paraId="6F17EB73" w14:textId="77777777" w:rsidR="00FE35CE" w:rsidRPr="00FE35CE" w:rsidRDefault="00FE35CE" w:rsidP="00FE35CE">
            <w:pPr>
              <w:rPr>
                <w:rFonts w:ascii="Times New Roman" w:hAnsi="Times New Roman"/>
                <w:b/>
                <w:sz w:val="24"/>
              </w:rPr>
            </w:pPr>
            <w:r w:rsidRPr="00FE35CE">
              <w:rPr>
                <w:rFonts w:ascii="Times New Roman" w:hAnsi="Times New Roman"/>
                <w:b/>
                <w:sz w:val="24"/>
              </w:rPr>
              <w:t xml:space="preserve">Costs Common Units: </w:t>
            </w:r>
          </w:p>
        </w:tc>
        <w:tc>
          <w:tcPr>
            <w:tcW w:w="5487" w:type="dxa"/>
            <w:shd w:val="pct5" w:color="000000" w:fill="FFFFFF"/>
          </w:tcPr>
          <w:p w14:paraId="03B08B53" w14:textId="17E130D3" w:rsidR="00FE35CE" w:rsidRPr="004F5736" w:rsidRDefault="00247DCC" w:rsidP="00FE35CE">
            <w:pPr>
              <w:rPr>
                <w:rFonts w:cs="Arial"/>
                <w:sz w:val="20"/>
                <w:szCs w:val="20"/>
              </w:rPr>
            </w:pPr>
            <w:r>
              <w:rPr>
                <w:rFonts w:cs="Arial"/>
                <w:sz w:val="20"/>
                <w:szCs w:val="20"/>
              </w:rPr>
              <w:t>Each</w:t>
            </w:r>
          </w:p>
        </w:tc>
      </w:tr>
      <w:tr w:rsidR="00FE35CE" w:rsidRPr="00FE35CE" w14:paraId="7D0AD2AA" w14:textId="77777777" w:rsidTr="007146E5">
        <w:trPr>
          <w:trHeight w:val="465"/>
        </w:trPr>
        <w:tc>
          <w:tcPr>
            <w:tcW w:w="4161" w:type="dxa"/>
            <w:shd w:val="pct20" w:color="000000" w:fill="FFFFFF"/>
          </w:tcPr>
          <w:p w14:paraId="1EB7D78B" w14:textId="77777777" w:rsidR="00FE35CE" w:rsidRPr="00FE35CE" w:rsidRDefault="00FE35CE" w:rsidP="00FE35CE">
            <w:pPr>
              <w:rPr>
                <w:rFonts w:ascii="Times New Roman" w:hAnsi="Times New Roman"/>
                <w:b/>
                <w:sz w:val="24"/>
              </w:rPr>
            </w:pPr>
            <w:r w:rsidRPr="00FE35CE">
              <w:rPr>
                <w:rFonts w:ascii="Times New Roman" w:hAnsi="Times New Roman"/>
                <w:b/>
                <w:sz w:val="24"/>
              </w:rPr>
              <w:t>Base Case Equipment Cost ($/unit):</w:t>
            </w:r>
          </w:p>
        </w:tc>
        <w:tc>
          <w:tcPr>
            <w:tcW w:w="5487" w:type="dxa"/>
            <w:shd w:val="pct20" w:color="000000" w:fill="FFFFFF"/>
          </w:tcPr>
          <w:p w14:paraId="0DD4B3E9" w14:textId="77777777" w:rsidR="00FE35CE" w:rsidRPr="004F5736" w:rsidRDefault="00FE35CE" w:rsidP="00FE35CE">
            <w:pPr>
              <w:rPr>
                <w:rFonts w:cs="Arial"/>
                <w:sz w:val="20"/>
                <w:szCs w:val="20"/>
              </w:rPr>
            </w:pPr>
            <w:r w:rsidRPr="004F5736">
              <w:rPr>
                <w:rFonts w:cs="Arial"/>
                <w:sz w:val="20"/>
                <w:szCs w:val="20"/>
              </w:rPr>
              <w:t xml:space="preserve">Source:  PG&amp;E Calculations </w:t>
            </w:r>
          </w:p>
          <w:p w14:paraId="34069EE7" w14:textId="77777777" w:rsidR="00FE35CE" w:rsidRPr="004F5736" w:rsidRDefault="00FE35CE" w:rsidP="00FE35CE">
            <w:pPr>
              <w:rPr>
                <w:rFonts w:cs="Arial"/>
                <w:sz w:val="20"/>
                <w:szCs w:val="20"/>
              </w:rPr>
            </w:pPr>
            <w:r w:rsidRPr="004F5736">
              <w:rPr>
                <w:rFonts w:cs="Arial"/>
                <w:sz w:val="20"/>
                <w:szCs w:val="20"/>
              </w:rPr>
              <w:t>The base case is no audit performed and no measures implemented by the customer.  Therefore, the base case cost is $0.</w:t>
            </w:r>
          </w:p>
        </w:tc>
      </w:tr>
      <w:tr w:rsidR="00FE35CE" w:rsidRPr="00FE35CE" w14:paraId="663CB940" w14:textId="77777777" w:rsidTr="007146E5">
        <w:trPr>
          <w:trHeight w:val="465"/>
        </w:trPr>
        <w:tc>
          <w:tcPr>
            <w:tcW w:w="4161" w:type="dxa"/>
            <w:shd w:val="pct5" w:color="000000" w:fill="FFFFFF"/>
          </w:tcPr>
          <w:p w14:paraId="2340C04A" w14:textId="77777777" w:rsidR="00FE35CE" w:rsidRPr="00FE35CE" w:rsidRDefault="00FE35CE" w:rsidP="00FE35CE">
            <w:pPr>
              <w:rPr>
                <w:rFonts w:ascii="Times New Roman" w:hAnsi="Times New Roman"/>
                <w:b/>
                <w:sz w:val="24"/>
              </w:rPr>
            </w:pPr>
            <w:r w:rsidRPr="00FE35CE">
              <w:rPr>
                <w:rFonts w:ascii="Times New Roman" w:hAnsi="Times New Roman"/>
                <w:b/>
                <w:sz w:val="24"/>
              </w:rPr>
              <w:t xml:space="preserve">Measure Equipment Cost ($/unit): </w:t>
            </w:r>
          </w:p>
        </w:tc>
        <w:tc>
          <w:tcPr>
            <w:tcW w:w="5487" w:type="dxa"/>
            <w:shd w:val="pct5" w:color="000000" w:fill="FFFFFF"/>
          </w:tcPr>
          <w:p w14:paraId="061DAC88" w14:textId="77777777" w:rsidR="00FE35CE" w:rsidRPr="004F5736" w:rsidRDefault="00FE35CE" w:rsidP="00FE35CE">
            <w:pPr>
              <w:rPr>
                <w:rFonts w:cs="Arial"/>
                <w:sz w:val="20"/>
                <w:szCs w:val="20"/>
              </w:rPr>
            </w:pPr>
            <w:r w:rsidRPr="004F5736">
              <w:rPr>
                <w:rFonts w:cs="Arial"/>
                <w:sz w:val="20"/>
                <w:szCs w:val="20"/>
              </w:rPr>
              <w:t>Source:  PG&amp;E Calculations</w:t>
            </w:r>
          </w:p>
          <w:p w14:paraId="3B70821F" w14:textId="180629DF" w:rsidR="00FE35CE" w:rsidRPr="004F5736" w:rsidRDefault="007D676D" w:rsidP="00FE35CE">
            <w:pPr>
              <w:rPr>
                <w:rFonts w:cs="Arial"/>
                <w:sz w:val="20"/>
                <w:szCs w:val="20"/>
              </w:rPr>
            </w:pPr>
            <w:r>
              <w:rPr>
                <w:rFonts w:cs="Arial"/>
                <w:sz w:val="20"/>
                <w:szCs w:val="20"/>
              </w:rPr>
              <w:t>Measure costs are based on the likely types of simple actions participants would take on their own. In this case, the Gross Measure Cost and the Incremental Measure Cost are the same. The Measure Cost is $40.83.</w:t>
            </w:r>
          </w:p>
        </w:tc>
      </w:tr>
      <w:tr w:rsidR="00FE35CE" w:rsidRPr="00FE35CE" w14:paraId="33E291AA" w14:textId="77777777" w:rsidTr="007146E5">
        <w:trPr>
          <w:trHeight w:val="465"/>
        </w:trPr>
        <w:tc>
          <w:tcPr>
            <w:tcW w:w="4161" w:type="dxa"/>
            <w:shd w:val="pct20" w:color="000000" w:fill="FFFFFF"/>
          </w:tcPr>
          <w:p w14:paraId="429BABDC" w14:textId="77777777" w:rsidR="00FE35CE" w:rsidRPr="00FE35CE" w:rsidRDefault="00FE35CE" w:rsidP="00FE35CE">
            <w:pPr>
              <w:rPr>
                <w:rFonts w:ascii="Times New Roman" w:hAnsi="Times New Roman"/>
                <w:b/>
                <w:sz w:val="24"/>
              </w:rPr>
            </w:pPr>
            <w:bookmarkStart w:id="7" w:name="OLE_LINK1"/>
            <w:r w:rsidRPr="00FE35CE">
              <w:rPr>
                <w:rFonts w:ascii="Times New Roman" w:hAnsi="Times New Roman"/>
                <w:b/>
                <w:sz w:val="24"/>
              </w:rPr>
              <w:t xml:space="preserve">Measure Incremental Cost ($/unit): </w:t>
            </w:r>
            <w:bookmarkEnd w:id="7"/>
          </w:p>
        </w:tc>
        <w:tc>
          <w:tcPr>
            <w:tcW w:w="5487" w:type="dxa"/>
            <w:shd w:val="pct20" w:color="000000" w:fill="FFFFFF"/>
          </w:tcPr>
          <w:p w14:paraId="691CE811" w14:textId="77777777" w:rsidR="00FE35CE" w:rsidRPr="004F5736" w:rsidRDefault="00FE35CE" w:rsidP="00FE35CE">
            <w:pPr>
              <w:rPr>
                <w:rFonts w:cs="Arial"/>
                <w:sz w:val="20"/>
                <w:szCs w:val="20"/>
              </w:rPr>
            </w:pPr>
            <w:r w:rsidRPr="004F5736">
              <w:rPr>
                <w:rFonts w:cs="Arial"/>
                <w:sz w:val="20"/>
                <w:szCs w:val="20"/>
              </w:rPr>
              <w:t>Source:  PG&amp;E Calculations</w:t>
            </w:r>
          </w:p>
          <w:p w14:paraId="14FFC984" w14:textId="75157E75" w:rsidR="00FE35CE" w:rsidRPr="004F5736" w:rsidRDefault="007D676D" w:rsidP="00FE35CE">
            <w:pPr>
              <w:rPr>
                <w:rFonts w:cs="Arial"/>
                <w:sz w:val="20"/>
                <w:szCs w:val="20"/>
              </w:rPr>
            </w:pPr>
            <w:r>
              <w:rPr>
                <w:rFonts w:cs="Arial"/>
                <w:sz w:val="20"/>
                <w:szCs w:val="20"/>
              </w:rPr>
              <w:t>In this case, the Gross Measure Cost and the Incremental Measure Cost are the same: $40.83.</w:t>
            </w:r>
          </w:p>
        </w:tc>
      </w:tr>
      <w:tr w:rsidR="00FE35CE" w:rsidRPr="00FE35CE" w14:paraId="3B159683" w14:textId="77777777" w:rsidTr="007146E5">
        <w:trPr>
          <w:trHeight w:val="465"/>
        </w:trPr>
        <w:tc>
          <w:tcPr>
            <w:tcW w:w="4161" w:type="dxa"/>
            <w:shd w:val="pct5" w:color="000000" w:fill="FFFFFF"/>
          </w:tcPr>
          <w:p w14:paraId="15FAEFE4" w14:textId="77777777" w:rsidR="00FE35CE" w:rsidRPr="00FE35CE" w:rsidRDefault="00FE35CE" w:rsidP="00FE35CE">
            <w:pPr>
              <w:rPr>
                <w:rFonts w:ascii="Times New Roman" w:hAnsi="Times New Roman"/>
                <w:b/>
                <w:sz w:val="24"/>
              </w:rPr>
            </w:pPr>
            <w:r w:rsidRPr="00FE35CE">
              <w:rPr>
                <w:rFonts w:ascii="Times New Roman" w:hAnsi="Times New Roman"/>
                <w:b/>
                <w:sz w:val="24"/>
              </w:rPr>
              <w:t xml:space="preserve">Effective Useful Life (years): </w:t>
            </w:r>
          </w:p>
        </w:tc>
        <w:tc>
          <w:tcPr>
            <w:tcW w:w="5487" w:type="dxa"/>
            <w:shd w:val="pct5" w:color="000000" w:fill="FFFFFF"/>
          </w:tcPr>
          <w:p w14:paraId="56D1BC18" w14:textId="77777777" w:rsidR="00FE35CE" w:rsidRPr="00234C0D" w:rsidRDefault="00FE35CE" w:rsidP="00FE35CE">
            <w:pPr>
              <w:rPr>
                <w:rFonts w:cs="Arial"/>
                <w:sz w:val="20"/>
                <w:szCs w:val="20"/>
              </w:rPr>
            </w:pPr>
            <w:r w:rsidRPr="00234C0D">
              <w:rPr>
                <w:rFonts w:cs="Arial"/>
                <w:sz w:val="20"/>
                <w:szCs w:val="20"/>
              </w:rPr>
              <w:t>3.0 years</w:t>
            </w:r>
          </w:p>
          <w:p w14:paraId="4729BC62" w14:textId="77777777" w:rsidR="00FE35CE" w:rsidRPr="00234C0D" w:rsidRDefault="00FE35CE" w:rsidP="00FE35CE">
            <w:pPr>
              <w:rPr>
                <w:rFonts w:cs="Arial"/>
                <w:sz w:val="20"/>
                <w:szCs w:val="20"/>
              </w:rPr>
            </w:pPr>
          </w:p>
          <w:p w14:paraId="272CE960" w14:textId="77777777" w:rsidR="00FE35CE" w:rsidRPr="00234C0D" w:rsidRDefault="00FE35CE" w:rsidP="00FE35CE">
            <w:pPr>
              <w:rPr>
                <w:rFonts w:cs="Arial"/>
                <w:sz w:val="20"/>
                <w:szCs w:val="20"/>
              </w:rPr>
            </w:pPr>
            <w:r w:rsidRPr="00234C0D">
              <w:rPr>
                <w:rFonts w:cs="Arial"/>
                <w:sz w:val="20"/>
                <w:szCs w:val="20"/>
              </w:rPr>
              <w:t>Source:  Energy Efficiency Policy Manual v.2. CPUC, Aug 2003.</w:t>
            </w:r>
          </w:p>
          <w:p w14:paraId="0101BF53" w14:textId="77777777" w:rsidR="00FE35CE" w:rsidRPr="004F5736" w:rsidRDefault="00FE35CE" w:rsidP="00FE35CE">
            <w:pPr>
              <w:rPr>
                <w:rFonts w:cs="Arial"/>
                <w:sz w:val="20"/>
                <w:szCs w:val="20"/>
              </w:rPr>
            </w:pPr>
            <w:r w:rsidRPr="00234C0D">
              <w:rPr>
                <w:rFonts w:cs="Arial"/>
                <w:sz w:val="20"/>
                <w:szCs w:val="20"/>
              </w:rPr>
              <w:t>(Audits not included in DEER 2008 EUL update)</w:t>
            </w:r>
          </w:p>
        </w:tc>
      </w:tr>
      <w:tr w:rsidR="00FE35CE" w:rsidRPr="00FE35CE" w14:paraId="0E63DBF3" w14:textId="77777777" w:rsidTr="007146E5">
        <w:trPr>
          <w:trHeight w:val="465"/>
        </w:trPr>
        <w:tc>
          <w:tcPr>
            <w:tcW w:w="4161" w:type="dxa"/>
            <w:shd w:val="pct20" w:color="000000" w:fill="FFFFFF"/>
          </w:tcPr>
          <w:p w14:paraId="463C04BF" w14:textId="77777777" w:rsidR="00FE35CE" w:rsidRPr="00FE35CE" w:rsidRDefault="00FE35CE" w:rsidP="00FE35CE">
            <w:pPr>
              <w:rPr>
                <w:rFonts w:ascii="Times New Roman" w:hAnsi="Times New Roman"/>
                <w:b/>
                <w:sz w:val="24"/>
              </w:rPr>
            </w:pPr>
            <w:r w:rsidRPr="00FE35CE">
              <w:rPr>
                <w:rFonts w:ascii="Times New Roman" w:hAnsi="Times New Roman"/>
                <w:b/>
                <w:sz w:val="24"/>
              </w:rPr>
              <w:t>Program Type:</w:t>
            </w:r>
          </w:p>
        </w:tc>
        <w:tc>
          <w:tcPr>
            <w:tcW w:w="5487" w:type="dxa"/>
            <w:shd w:val="pct20" w:color="000000" w:fill="FFFFFF"/>
          </w:tcPr>
          <w:p w14:paraId="078EDA93" w14:textId="5FE0CEC9" w:rsidR="00FE35CE" w:rsidRPr="004F5736" w:rsidRDefault="00247DCC" w:rsidP="00FE35CE">
            <w:pPr>
              <w:rPr>
                <w:rFonts w:cs="Arial"/>
                <w:sz w:val="20"/>
                <w:szCs w:val="20"/>
              </w:rPr>
            </w:pPr>
            <w:r>
              <w:rPr>
                <w:rFonts w:cs="Arial"/>
                <w:sz w:val="20"/>
                <w:szCs w:val="20"/>
              </w:rPr>
              <w:t>Energy Advisor</w:t>
            </w:r>
          </w:p>
        </w:tc>
      </w:tr>
      <w:tr w:rsidR="00FE35CE" w:rsidRPr="00A60A0A" w14:paraId="5ED917FF" w14:textId="77777777" w:rsidTr="007146E5">
        <w:trPr>
          <w:trHeight w:val="465"/>
        </w:trPr>
        <w:tc>
          <w:tcPr>
            <w:tcW w:w="4161" w:type="dxa"/>
            <w:shd w:val="pct5" w:color="000000" w:fill="FFFFFF"/>
          </w:tcPr>
          <w:p w14:paraId="27F9A2A4" w14:textId="77777777" w:rsidR="00FE35CE" w:rsidRPr="00FE35CE" w:rsidRDefault="00FE35CE" w:rsidP="00FE35CE">
            <w:pPr>
              <w:rPr>
                <w:rFonts w:ascii="Times New Roman" w:hAnsi="Times New Roman"/>
                <w:b/>
                <w:sz w:val="24"/>
              </w:rPr>
            </w:pPr>
            <w:r w:rsidRPr="00FE35CE">
              <w:rPr>
                <w:rFonts w:ascii="Times New Roman" w:hAnsi="Times New Roman"/>
                <w:b/>
                <w:sz w:val="24"/>
              </w:rPr>
              <w:t xml:space="preserve">Net-to-Gross Ratios: </w:t>
            </w:r>
          </w:p>
        </w:tc>
        <w:tc>
          <w:tcPr>
            <w:tcW w:w="5487" w:type="dxa"/>
            <w:shd w:val="pct5" w:color="000000" w:fill="FFFFFF"/>
          </w:tcPr>
          <w:p w14:paraId="2EE12B3F" w14:textId="7EB4E42E" w:rsidR="00FE35CE" w:rsidRPr="00234C0D" w:rsidRDefault="00234C0D" w:rsidP="00FE35CE">
            <w:pPr>
              <w:rPr>
                <w:rFonts w:cs="Arial"/>
                <w:sz w:val="20"/>
                <w:szCs w:val="20"/>
              </w:rPr>
            </w:pPr>
            <w:r w:rsidRPr="00234C0D">
              <w:rPr>
                <w:rFonts w:cs="Arial"/>
                <w:sz w:val="20"/>
                <w:szCs w:val="20"/>
              </w:rPr>
              <w:t>0.55</w:t>
            </w:r>
          </w:p>
          <w:p w14:paraId="0F44D62C" w14:textId="5B3D024F" w:rsidR="00FE35CE" w:rsidRPr="00234C0D" w:rsidRDefault="00234C0D" w:rsidP="00FE35CE">
            <w:pPr>
              <w:rPr>
                <w:rFonts w:cs="Arial"/>
                <w:sz w:val="20"/>
                <w:szCs w:val="20"/>
                <w:highlight w:val="yellow"/>
              </w:rPr>
            </w:pPr>
            <w:r w:rsidRPr="00234C0D">
              <w:rPr>
                <w:rFonts w:cs="Arial"/>
                <w:sz w:val="20"/>
                <w:szCs w:val="20"/>
              </w:rPr>
              <w:t>Source: 2014</w:t>
            </w:r>
            <w:r w:rsidR="00FE35CE" w:rsidRPr="00234C0D">
              <w:rPr>
                <w:rFonts w:cs="Arial"/>
                <w:sz w:val="20"/>
                <w:szCs w:val="20"/>
              </w:rPr>
              <w:t xml:space="preserve"> DEER</w:t>
            </w:r>
            <w:r w:rsidRPr="00234C0D">
              <w:rPr>
                <w:rFonts w:cs="Arial"/>
                <w:sz w:val="20"/>
                <w:szCs w:val="20"/>
              </w:rPr>
              <w:t xml:space="preserve"> NTG Values - </w:t>
            </w:r>
            <w:r>
              <w:rPr>
                <w:rFonts w:cs="Arial"/>
                <w:sz w:val="20"/>
                <w:szCs w:val="20"/>
              </w:rPr>
              <w:t xml:space="preserve"> </w:t>
            </w:r>
            <w:r w:rsidRPr="007D676D">
              <w:rPr>
                <w:rFonts w:cs="Arial"/>
                <w:sz w:val="20"/>
                <w:szCs w:val="20"/>
              </w:rPr>
              <w:t>Res-Default&gt;2</w:t>
            </w:r>
          </w:p>
        </w:tc>
      </w:tr>
      <w:tr w:rsidR="00FE35CE" w:rsidRPr="00FE35CE" w14:paraId="13E5623F" w14:textId="77777777" w:rsidTr="007146E5">
        <w:trPr>
          <w:trHeight w:val="465"/>
        </w:trPr>
        <w:tc>
          <w:tcPr>
            <w:tcW w:w="4161" w:type="dxa"/>
            <w:shd w:val="pct20" w:color="000000" w:fill="FFFFFF"/>
          </w:tcPr>
          <w:p w14:paraId="497A6C73" w14:textId="77777777" w:rsidR="00FE35CE" w:rsidRPr="00FE35CE" w:rsidRDefault="00FE35CE" w:rsidP="00FE35CE">
            <w:pPr>
              <w:rPr>
                <w:rFonts w:ascii="Times New Roman" w:hAnsi="Times New Roman"/>
                <w:b/>
                <w:sz w:val="24"/>
              </w:rPr>
            </w:pPr>
            <w:r w:rsidRPr="00FE35CE">
              <w:rPr>
                <w:rFonts w:ascii="Times New Roman" w:hAnsi="Times New Roman"/>
                <w:b/>
                <w:sz w:val="24"/>
              </w:rPr>
              <w:t>Important Comments:</w:t>
            </w:r>
          </w:p>
        </w:tc>
        <w:tc>
          <w:tcPr>
            <w:tcW w:w="5487" w:type="dxa"/>
            <w:shd w:val="pct20" w:color="000000" w:fill="FFFFFF"/>
          </w:tcPr>
          <w:p w14:paraId="789F574F" w14:textId="77777777" w:rsidR="00FE35CE" w:rsidRPr="00FE35CE" w:rsidRDefault="00FE35CE" w:rsidP="00FE35CE">
            <w:pPr>
              <w:rPr>
                <w:rFonts w:ascii="Times New Roman" w:hAnsi="Times New Roman"/>
                <w:sz w:val="20"/>
                <w:szCs w:val="20"/>
              </w:rPr>
            </w:pPr>
          </w:p>
        </w:tc>
      </w:tr>
    </w:tbl>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8" w:name="_Toc342311739"/>
      <w:bookmarkStart w:id="9" w:name="_Toc396897854"/>
      <w:r>
        <w:lastRenderedPageBreak/>
        <w:t>Work Paper Approvals</w:t>
      </w:r>
      <w:bookmarkEnd w:id="8"/>
      <w:bookmarkEnd w:id="9"/>
    </w:p>
    <w:p w14:paraId="0C45EB21" w14:textId="65C6BE18" w:rsidR="00AB723D" w:rsidRDefault="00AB723D" w:rsidP="00AB723D">
      <w:pPr>
        <w:rPr>
          <w:rFonts w:eastAsiaTheme="minorHAnsi"/>
        </w:rPr>
      </w:pPr>
      <w:r>
        <w:t>The following Manager(s) approved this work</w:t>
      </w:r>
      <w:r w:rsidR="00922273">
        <w:t xml:space="preserve"> </w:t>
      </w:r>
      <w:r>
        <w:t>paper through the PG&amp;E Electronic Data Routing System under Routing Requisition #</w:t>
      </w:r>
      <w:r w:rsidR="003A5C26">
        <w:t>2014-61256</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4455D672" w:rsidR="00AB723D" w:rsidRDefault="00AB723D" w:rsidP="00B255B7">
            <w:pPr>
              <w:rPr>
                <w:rFonts w:eastAsiaTheme="minorHAnsi" w:cs="Arial"/>
                <w:szCs w:val="22"/>
              </w:rPr>
            </w:pPr>
            <w:r>
              <w:t xml:space="preserve">Manager, </w:t>
            </w:r>
            <w:r w:rsidR="00B255B7">
              <w:t>Engineering Services</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54FB79D4" w:rsidR="00AB723D" w:rsidRPr="00B255B7" w:rsidRDefault="00B255B7">
            <w:pPr>
              <w:rPr>
                <w:b/>
                <w:bCs/>
              </w:rPr>
            </w:pPr>
            <w:r w:rsidRPr="00B255B7">
              <w:rPr>
                <w:b/>
                <w:bCs/>
              </w:rPr>
              <w:t>Daniel Ohlendorf</w:t>
            </w:r>
          </w:p>
          <w:p w14:paraId="6FFCDF13" w14:textId="19D6BE43" w:rsidR="00AB723D" w:rsidRDefault="00AB723D">
            <w:r w:rsidRPr="00B255B7">
              <w:t xml:space="preserve">Manager, </w:t>
            </w:r>
            <w:r w:rsidR="00A60A0A">
              <w:t>Information</w:t>
            </w:r>
            <w:r w:rsidRPr="00B255B7">
              <w:t xml:space="preserve"> Products</w:t>
            </w:r>
            <w:r>
              <w:t xml:space="preserve">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0" w:name="_Toc304800196"/>
      <w:bookmarkStart w:id="11" w:name="_Toc324318333"/>
      <w:bookmarkStart w:id="12" w:name="_Toc324340477"/>
      <w:bookmarkStart w:id="13" w:name="_Toc396897855"/>
      <w:r w:rsidR="00E71EF1">
        <w:lastRenderedPageBreak/>
        <w:t>Document Revision History</w:t>
      </w:r>
      <w:bookmarkEnd w:id="10"/>
      <w:bookmarkEnd w:id="11"/>
      <w:bookmarkEnd w:id="12"/>
      <w:bookmarkEnd w:id="13"/>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14:paraId="393A0A5F" w14:textId="77777777" w:rsidTr="000374A5">
        <w:trPr>
          <w:trHeight w:val="464"/>
        </w:trPr>
        <w:tc>
          <w:tcPr>
            <w:tcW w:w="870"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92"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E91C15" w:rsidRPr="00783DAC" w14:paraId="393A0A64" w14:textId="77777777" w:rsidTr="00BB166C">
        <w:trPr>
          <w:trHeight w:val="464"/>
        </w:trPr>
        <w:tc>
          <w:tcPr>
            <w:tcW w:w="870" w:type="pct"/>
            <w:tcBorders>
              <w:top w:val="single" w:sz="18" w:space="0" w:color="FFFFFF"/>
              <w:bottom w:val="single" w:sz="18" w:space="0" w:color="FFFFFF"/>
            </w:tcBorders>
            <w:shd w:val="pct20" w:color="000000" w:fill="FFFFFF"/>
          </w:tcPr>
          <w:p w14:paraId="393A0A60" w14:textId="77777777" w:rsidR="00E91C15" w:rsidRPr="00783DAC" w:rsidRDefault="00E91C15" w:rsidP="008948E0">
            <w:pPr>
              <w:rPr>
                <w:b/>
                <w:bCs/>
              </w:rPr>
            </w:pPr>
            <w:r w:rsidRPr="00783DAC">
              <w:rPr>
                <w:b/>
                <w:bCs/>
              </w:rPr>
              <w:t>Revision 0</w:t>
            </w:r>
          </w:p>
        </w:tc>
        <w:tc>
          <w:tcPr>
            <w:tcW w:w="746" w:type="pct"/>
            <w:tcBorders>
              <w:top w:val="single" w:sz="18" w:space="0" w:color="FFFFFF"/>
              <w:bottom w:val="single" w:sz="18" w:space="0" w:color="FFFFFF"/>
            </w:tcBorders>
            <w:shd w:val="pct20" w:color="000000" w:fill="FFFFFF"/>
          </w:tcPr>
          <w:p w14:paraId="393A0A61" w14:textId="7D5FC122" w:rsidR="00E91C15" w:rsidRPr="00247DCC" w:rsidRDefault="004F5736" w:rsidP="008948E0">
            <w:pPr>
              <w:rPr>
                <w:b/>
                <w:bCs/>
                <w:sz w:val="20"/>
                <w:szCs w:val="20"/>
              </w:rPr>
            </w:pPr>
            <w:r w:rsidRPr="00247DCC">
              <w:rPr>
                <w:b/>
                <w:bCs/>
                <w:sz w:val="20"/>
                <w:szCs w:val="20"/>
              </w:rPr>
              <w:t>7/1</w:t>
            </w:r>
            <w:r w:rsidR="005F5D83">
              <w:rPr>
                <w:b/>
                <w:bCs/>
                <w:sz w:val="20"/>
                <w:szCs w:val="20"/>
              </w:rPr>
              <w:t>1</w:t>
            </w:r>
            <w:r w:rsidRPr="00247DCC">
              <w:rPr>
                <w:b/>
                <w:bCs/>
                <w:sz w:val="20"/>
                <w:szCs w:val="20"/>
              </w:rPr>
              <w:t>/14</w:t>
            </w:r>
          </w:p>
        </w:tc>
        <w:tc>
          <w:tcPr>
            <w:tcW w:w="1692" w:type="pct"/>
            <w:tcBorders>
              <w:top w:val="single" w:sz="18" w:space="0" w:color="FFFFFF"/>
              <w:bottom w:val="single" w:sz="18" w:space="0" w:color="FFFFFF"/>
            </w:tcBorders>
            <w:shd w:val="pct20" w:color="000000" w:fill="FFFFFF"/>
          </w:tcPr>
          <w:p w14:paraId="393A0A62" w14:textId="4107EF8A" w:rsidR="00E91C15" w:rsidRPr="00783DAC" w:rsidRDefault="004F5736" w:rsidP="004F5736">
            <w:pPr>
              <w:rPr>
                <w:b/>
                <w:bCs/>
                <w:sz w:val="20"/>
                <w:szCs w:val="20"/>
              </w:rPr>
            </w:pPr>
            <w:r>
              <w:rPr>
                <w:b/>
                <w:bCs/>
                <w:sz w:val="20"/>
                <w:szCs w:val="20"/>
              </w:rPr>
              <w:t xml:space="preserve">Original PGEDOALL106 Rev0 </w:t>
            </w:r>
          </w:p>
        </w:tc>
        <w:tc>
          <w:tcPr>
            <w:tcW w:w="1692" w:type="pct"/>
            <w:tcBorders>
              <w:top w:val="single" w:sz="18" w:space="0" w:color="FFFFFF"/>
              <w:bottom w:val="single" w:sz="18" w:space="0" w:color="FFFFFF"/>
            </w:tcBorders>
            <w:shd w:val="pct20" w:color="000000" w:fill="FFFFFF"/>
          </w:tcPr>
          <w:p w14:paraId="086B52CA" w14:textId="32DA47E5" w:rsidR="00E91C15" w:rsidRDefault="004F5736" w:rsidP="00BB166C">
            <w:pPr>
              <w:jc w:val="center"/>
              <w:rPr>
                <w:b/>
                <w:bCs/>
                <w:sz w:val="20"/>
                <w:szCs w:val="20"/>
              </w:rPr>
            </w:pPr>
            <w:r w:rsidRPr="00247DCC">
              <w:rPr>
                <w:b/>
                <w:bCs/>
                <w:sz w:val="20"/>
                <w:szCs w:val="20"/>
              </w:rPr>
              <w:t>Steve Blanc (</w:t>
            </w:r>
            <w:r w:rsidR="00E91C15" w:rsidRPr="00247DCC">
              <w:rPr>
                <w:b/>
                <w:bCs/>
                <w:sz w:val="20"/>
                <w:szCs w:val="20"/>
              </w:rPr>
              <w:t>PG&amp;E)</w:t>
            </w:r>
          </w:p>
          <w:p w14:paraId="1853B91F" w14:textId="77777777" w:rsidR="00BB166C" w:rsidRDefault="00BB166C" w:rsidP="00BB166C">
            <w:pPr>
              <w:jc w:val="center"/>
              <w:rPr>
                <w:b/>
                <w:bCs/>
                <w:sz w:val="20"/>
                <w:szCs w:val="20"/>
              </w:rPr>
            </w:pPr>
            <w:r>
              <w:rPr>
                <w:b/>
                <w:bCs/>
                <w:sz w:val="20"/>
                <w:szCs w:val="20"/>
              </w:rPr>
              <w:t>Jim Wyatt (PG&amp;E)</w:t>
            </w:r>
          </w:p>
          <w:p w14:paraId="393A0A63" w14:textId="74D731D2" w:rsidR="00BB166C" w:rsidRPr="00783DAC" w:rsidRDefault="00BB166C" w:rsidP="00BB166C">
            <w:pPr>
              <w:jc w:val="center"/>
              <w:rPr>
                <w:b/>
                <w:bCs/>
                <w:sz w:val="20"/>
                <w:szCs w:val="20"/>
              </w:rPr>
            </w:pPr>
            <w:r>
              <w:rPr>
                <w:b/>
                <w:bCs/>
                <w:sz w:val="20"/>
                <w:szCs w:val="20"/>
              </w:rPr>
              <w:t>Grant Geer (PG&amp;E)</w:t>
            </w:r>
          </w:p>
        </w:tc>
      </w:tr>
    </w:tbl>
    <w:p w14:paraId="393A0A6A" w14:textId="5EF19468" w:rsidR="00E71EF1" w:rsidRDefault="00E71EF1" w:rsidP="00F55847">
      <w:pPr>
        <w:pStyle w:val="Heading1"/>
      </w:pPr>
      <w:bookmarkStart w:id="14" w:name="_Toc186621650"/>
      <w:bookmarkStart w:id="15" w:name="_Toc304800197"/>
      <w:bookmarkStart w:id="16" w:name="_Toc324318334"/>
      <w:r w:rsidRPr="006832A4">
        <w:br w:type="page"/>
      </w:r>
      <w:bookmarkStart w:id="17" w:name="_Toc304800198"/>
      <w:bookmarkStart w:id="18" w:name="_Toc324340478"/>
      <w:bookmarkStart w:id="19" w:name="_Toc396897856"/>
      <w:r w:rsidR="001248A3">
        <w:lastRenderedPageBreak/>
        <w:t>Table</w:t>
      </w:r>
      <w:r w:rsidR="006559C8">
        <w:t xml:space="preserve"> of Contents</w:t>
      </w:r>
      <w:bookmarkEnd w:id="14"/>
      <w:bookmarkEnd w:id="15"/>
      <w:bookmarkEnd w:id="16"/>
      <w:bookmarkEnd w:id="17"/>
      <w:bookmarkEnd w:id="18"/>
      <w:bookmarkEnd w:id="19"/>
    </w:p>
    <w:p w14:paraId="72422BCD" w14:textId="77777777" w:rsidR="00F635A1"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96897853" w:history="1">
        <w:r w:rsidR="00F635A1" w:rsidRPr="00802D8D">
          <w:rPr>
            <w:rStyle w:val="Hyperlink"/>
            <w:noProof/>
          </w:rPr>
          <w:t>At-a-Glance Summary</w:t>
        </w:r>
        <w:r w:rsidR="00F635A1">
          <w:rPr>
            <w:noProof/>
            <w:webHidden/>
          </w:rPr>
          <w:tab/>
        </w:r>
        <w:r w:rsidR="00F635A1">
          <w:rPr>
            <w:noProof/>
            <w:webHidden/>
          </w:rPr>
          <w:fldChar w:fldCharType="begin"/>
        </w:r>
        <w:r w:rsidR="00F635A1">
          <w:rPr>
            <w:noProof/>
            <w:webHidden/>
          </w:rPr>
          <w:instrText xml:space="preserve"> PAGEREF _Toc396897853 \h </w:instrText>
        </w:r>
        <w:r w:rsidR="00F635A1">
          <w:rPr>
            <w:noProof/>
            <w:webHidden/>
          </w:rPr>
        </w:r>
        <w:r w:rsidR="00F635A1">
          <w:rPr>
            <w:noProof/>
            <w:webHidden/>
          </w:rPr>
          <w:fldChar w:fldCharType="separate"/>
        </w:r>
        <w:r w:rsidR="00F635A1">
          <w:rPr>
            <w:noProof/>
            <w:webHidden/>
          </w:rPr>
          <w:t>ii</w:t>
        </w:r>
        <w:r w:rsidR="00F635A1">
          <w:rPr>
            <w:noProof/>
            <w:webHidden/>
          </w:rPr>
          <w:fldChar w:fldCharType="end"/>
        </w:r>
      </w:hyperlink>
    </w:p>
    <w:p w14:paraId="6F974A1C"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54" w:history="1">
        <w:r w:rsidRPr="00802D8D">
          <w:rPr>
            <w:rStyle w:val="Hyperlink"/>
            <w:noProof/>
          </w:rPr>
          <w:t>Work Paper Approvals</w:t>
        </w:r>
        <w:r>
          <w:rPr>
            <w:noProof/>
            <w:webHidden/>
          </w:rPr>
          <w:tab/>
        </w:r>
        <w:r>
          <w:rPr>
            <w:noProof/>
            <w:webHidden/>
          </w:rPr>
          <w:fldChar w:fldCharType="begin"/>
        </w:r>
        <w:r>
          <w:rPr>
            <w:noProof/>
            <w:webHidden/>
          </w:rPr>
          <w:instrText xml:space="preserve"> PAGEREF _Toc396897854 \h </w:instrText>
        </w:r>
        <w:r>
          <w:rPr>
            <w:noProof/>
            <w:webHidden/>
          </w:rPr>
        </w:r>
        <w:r>
          <w:rPr>
            <w:noProof/>
            <w:webHidden/>
          </w:rPr>
          <w:fldChar w:fldCharType="separate"/>
        </w:r>
        <w:r>
          <w:rPr>
            <w:noProof/>
            <w:webHidden/>
          </w:rPr>
          <w:t>iii</w:t>
        </w:r>
        <w:r>
          <w:rPr>
            <w:noProof/>
            <w:webHidden/>
          </w:rPr>
          <w:fldChar w:fldCharType="end"/>
        </w:r>
      </w:hyperlink>
    </w:p>
    <w:p w14:paraId="1A0310EE"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55" w:history="1">
        <w:r w:rsidRPr="00802D8D">
          <w:rPr>
            <w:rStyle w:val="Hyperlink"/>
            <w:noProof/>
          </w:rPr>
          <w:t>Document Revision History</w:t>
        </w:r>
        <w:r>
          <w:rPr>
            <w:noProof/>
            <w:webHidden/>
          </w:rPr>
          <w:tab/>
        </w:r>
        <w:r>
          <w:rPr>
            <w:noProof/>
            <w:webHidden/>
          </w:rPr>
          <w:fldChar w:fldCharType="begin"/>
        </w:r>
        <w:r>
          <w:rPr>
            <w:noProof/>
            <w:webHidden/>
          </w:rPr>
          <w:instrText xml:space="preserve"> PAGEREF _Toc396897855 \h </w:instrText>
        </w:r>
        <w:r>
          <w:rPr>
            <w:noProof/>
            <w:webHidden/>
          </w:rPr>
        </w:r>
        <w:r>
          <w:rPr>
            <w:noProof/>
            <w:webHidden/>
          </w:rPr>
          <w:fldChar w:fldCharType="separate"/>
        </w:r>
        <w:r>
          <w:rPr>
            <w:noProof/>
            <w:webHidden/>
          </w:rPr>
          <w:t>iv</w:t>
        </w:r>
        <w:r>
          <w:rPr>
            <w:noProof/>
            <w:webHidden/>
          </w:rPr>
          <w:fldChar w:fldCharType="end"/>
        </w:r>
      </w:hyperlink>
    </w:p>
    <w:p w14:paraId="02AD3E93"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56" w:history="1">
        <w:r w:rsidRPr="00802D8D">
          <w:rPr>
            <w:rStyle w:val="Hyperlink"/>
            <w:noProof/>
          </w:rPr>
          <w:t>Table of Contents</w:t>
        </w:r>
        <w:r>
          <w:rPr>
            <w:noProof/>
            <w:webHidden/>
          </w:rPr>
          <w:tab/>
        </w:r>
        <w:r>
          <w:rPr>
            <w:noProof/>
            <w:webHidden/>
          </w:rPr>
          <w:fldChar w:fldCharType="begin"/>
        </w:r>
        <w:r>
          <w:rPr>
            <w:noProof/>
            <w:webHidden/>
          </w:rPr>
          <w:instrText xml:space="preserve"> PAGEREF _Toc396897856 \h </w:instrText>
        </w:r>
        <w:r>
          <w:rPr>
            <w:noProof/>
            <w:webHidden/>
          </w:rPr>
        </w:r>
        <w:r>
          <w:rPr>
            <w:noProof/>
            <w:webHidden/>
          </w:rPr>
          <w:fldChar w:fldCharType="separate"/>
        </w:r>
        <w:r>
          <w:rPr>
            <w:noProof/>
            <w:webHidden/>
          </w:rPr>
          <w:t>v</w:t>
        </w:r>
        <w:r>
          <w:rPr>
            <w:noProof/>
            <w:webHidden/>
          </w:rPr>
          <w:fldChar w:fldCharType="end"/>
        </w:r>
      </w:hyperlink>
    </w:p>
    <w:p w14:paraId="4B464526"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57" w:history="1">
        <w:r w:rsidRPr="00802D8D">
          <w:rPr>
            <w:rStyle w:val="Hyperlink"/>
            <w:noProof/>
          </w:rPr>
          <w:t>List of Tables</w:t>
        </w:r>
        <w:r>
          <w:rPr>
            <w:noProof/>
            <w:webHidden/>
          </w:rPr>
          <w:tab/>
        </w:r>
        <w:r>
          <w:rPr>
            <w:noProof/>
            <w:webHidden/>
          </w:rPr>
          <w:fldChar w:fldCharType="begin"/>
        </w:r>
        <w:r>
          <w:rPr>
            <w:noProof/>
            <w:webHidden/>
          </w:rPr>
          <w:instrText xml:space="preserve"> PAGEREF _Toc396897857 \h </w:instrText>
        </w:r>
        <w:r>
          <w:rPr>
            <w:noProof/>
            <w:webHidden/>
          </w:rPr>
        </w:r>
        <w:r>
          <w:rPr>
            <w:noProof/>
            <w:webHidden/>
          </w:rPr>
          <w:fldChar w:fldCharType="separate"/>
        </w:r>
        <w:r>
          <w:rPr>
            <w:noProof/>
            <w:webHidden/>
          </w:rPr>
          <w:t>vi</w:t>
        </w:r>
        <w:r>
          <w:rPr>
            <w:noProof/>
            <w:webHidden/>
          </w:rPr>
          <w:fldChar w:fldCharType="end"/>
        </w:r>
      </w:hyperlink>
    </w:p>
    <w:p w14:paraId="61D7A20A"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58" w:history="1">
        <w:r w:rsidRPr="00802D8D">
          <w:rPr>
            <w:rStyle w:val="Hyperlink"/>
            <w:noProof/>
          </w:rPr>
          <w:t>Section 1. General Measure &amp; Baseline Data</w:t>
        </w:r>
        <w:r>
          <w:rPr>
            <w:noProof/>
            <w:webHidden/>
          </w:rPr>
          <w:tab/>
        </w:r>
        <w:r>
          <w:rPr>
            <w:noProof/>
            <w:webHidden/>
          </w:rPr>
          <w:fldChar w:fldCharType="begin"/>
        </w:r>
        <w:r>
          <w:rPr>
            <w:noProof/>
            <w:webHidden/>
          </w:rPr>
          <w:instrText xml:space="preserve"> PAGEREF _Toc396897858 \h </w:instrText>
        </w:r>
        <w:r>
          <w:rPr>
            <w:noProof/>
            <w:webHidden/>
          </w:rPr>
        </w:r>
        <w:r>
          <w:rPr>
            <w:noProof/>
            <w:webHidden/>
          </w:rPr>
          <w:fldChar w:fldCharType="separate"/>
        </w:r>
        <w:r>
          <w:rPr>
            <w:noProof/>
            <w:webHidden/>
          </w:rPr>
          <w:t>1</w:t>
        </w:r>
        <w:r>
          <w:rPr>
            <w:noProof/>
            <w:webHidden/>
          </w:rPr>
          <w:fldChar w:fldCharType="end"/>
        </w:r>
      </w:hyperlink>
    </w:p>
    <w:p w14:paraId="2870454E"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59" w:history="1">
        <w:r w:rsidRPr="00802D8D">
          <w:rPr>
            <w:rStyle w:val="Hyperlink"/>
            <w:noProof/>
          </w:rPr>
          <w:t>1.1 Product Measure Description &amp; Background</w:t>
        </w:r>
        <w:r>
          <w:rPr>
            <w:noProof/>
            <w:webHidden/>
          </w:rPr>
          <w:tab/>
        </w:r>
        <w:r>
          <w:rPr>
            <w:noProof/>
            <w:webHidden/>
          </w:rPr>
          <w:fldChar w:fldCharType="begin"/>
        </w:r>
        <w:r>
          <w:rPr>
            <w:noProof/>
            <w:webHidden/>
          </w:rPr>
          <w:instrText xml:space="preserve"> PAGEREF _Toc396897859 \h </w:instrText>
        </w:r>
        <w:r>
          <w:rPr>
            <w:noProof/>
            <w:webHidden/>
          </w:rPr>
        </w:r>
        <w:r>
          <w:rPr>
            <w:noProof/>
            <w:webHidden/>
          </w:rPr>
          <w:fldChar w:fldCharType="separate"/>
        </w:r>
        <w:r>
          <w:rPr>
            <w:noProof/>
            <w:webHidden/>
          </w:rPr>
          <w:t>1</w:t>
        </w:r>
        <w:r>
          <w:rPr>
            <w:noProof/>
            <w:webHidden/>
          </w:rPr>
          <w:fldChar w:fldCharType="end"/>
        </w:r>
      </w:hyperlink>
    </w:p>
    <w:p w14:paraId="761F9BD9"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0" w:history="1">
        <w:r w:rsidRPr="00802D8D">
          <w:rPr>
            <w:rStyle w:val="Hyperlink"/>
            <w:noProof/>
          </w:rPr>
          <w:t>1.2 Product Technical Description</w:t>
        </w:r>
        <w:r>
          <w:rPr>
            <w:noProof/>
            <w:webHidden/>
          </w:rPr>
          <w:tab/>
        </w:r>
        <w:r>
          <w:rPr>
            <w:noProof/>
            <w:webHidden/>
          </w:rPr>
          <w:fldChar w:fldCharType="begin"/>
        </w:r>
        <w:r>
          <w:rPr>
            <w:noProof/>
            <w:webHidden/>
          </w:rPr>
          <w:instrText xml:space="preserve"> PAGEREF _Toc396897860 \h </w:instrText>
        </w:r>
        <w:r>
          <w:rPr>
            <w:noProof/>
            <w:webHidden/>
          </w:rPr>
        </w:r>
        <w:r>
          <w:rPr>
            <w:noProof/>
            <w:webHidden/>
          </w:rPr>
          <w:fldChar w:fldCharType="separate"/>
        </w:r>
        <w:r>
          <w:rPr>
            <w:noProof/>
            <w:webHidden/>
          </w:rPr>
          <w:t>2</w:t>
        </w:r>
        <w:r>
          <w:rPr>
            <w:noProof/>
            <w:webHidden/>
          </w:rPr>
          <w:fldChar w:fldCharType="end"/>
        </w:r>
      </w:hyperlink>
    </w:p>
    <w:p w14:paraId="35AABDDB"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1" w:history="1">
        <w:r w:rsidRPr="00802D8D">
          <w:rPr>
            <w:rStyle w:val="Hyperlink"/>
            <w:noProof/>
          </w:rPr>
          <w:t>1.3 Measure Application Type</w:t>
        </w:r>
        <w:r>
          <w:rPr>
            <w:noProof/>
            <w:webHidden/>
          </w:rPr>
          <w:tab/>
        </w:r>
        <w:r>
          <w:rPr>
            <w:noProof/>
            <w:webHidden/>
          </w:rPr>
          <w:fldChar w:fldCharType="begin"/>
        </w:r>
        <w:r>
          <w:rPr>
            <w:noProof/>
            <w:webHidden/>
          </w:rPr>
          <w:instrText xml:space="preserve"> PAGEREF _Toc396897861 \h </w:instrText>
        </w:r>
        <w:r>
          <w:rPr>
            <w:noProof/>
            <w:webHidden/>
          </w:rPr>
        </w:r>
        <w:r>
          <w:rPr>
            <w:noProof/>
            <w:webHidden/>
          </w:rPr>
          <w:fldChar w:fldCharType="separate"/>
        </w:r>
        <w:r>
          <w:rPr>
            <w:noProof/>
            <w:webHidden/>
          </w:rPr>
          <w:t>2</w:t>
        </w:r>
        <w:r>
          <w:rPr>
            <w:noProof/>
            <w:webHidden/>
          </w:rPr>
          <w:fldChar w:fldCharType="end"/>
        </w:r>
      </w:hyperlink>
    </w:p>
    <w:p w14:paraId="7242554B"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2" w:history="1">
        <w:r w:rsidRPr="00802D8D">
          <w:rPr>
            <w:rStyle w:val="Hyperlink"/>
            <w:noProof/>
          </w:rPr>
          <w:t>1.4 Product Base Case and Measure Case Data</w:t>
        </w:r>
        <w:r>
          <w:rPr>
            <w:noProof/>
            <w:webHidden/>
          </w:rPr>
          <w:tab/>
        </w:r>
        <w:r>
          <w:rPr>
            <w:noProof/>
            <w:webHidden/>
          </w:rPr>
          <w:fldChar w:fldCharType="begin"/>
        </w:r>
        <w:r>
          <w:rPr>
            <w:noProof/>
            <w:webHidden/>
          </w:rPr>
          <w:instrText xml:space="preserve"> PAGEREF _Toc396897862 \h </w:instrText>
        </w:r>
        <w:r>
          <w:rPr>
            <w:noProof/>
            <w:webHidden/>
          </w:rPr>
        </w:r>
        <w:r>
          <w:rPr>
            <w:noProof/>
            <w:webHidden/>
          </w:rPr>
          <w:fldChar w:fldCharType="separate"/>
        </w:r>
        <w:r>
          <w:rPr>
            <w:noProof/>
            <w:webHidden/>
          </w:rPr>
          <w:t>2</w:t>
        </w:r>
        <w:r>
          <w:rPr>
            <w:noProof/>
            <w:webHidden/>
          </w:rPr>
          <w:fldChar w:fldCharType="end"/>
        </w:r>
      </w:hyperlink>
    </w:p>
    <w:p w14:paraId="75CF1D2C"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3" w:history="1">
        <w:r w:rsidRPr="00802D8D">
          <w:rPr>
            <w:rStyle w:val="Hyperlink"/>
            <w:noProof/>
          </w:rPr>
          <w:t>1.4.1 DEER Base Case and Measure Case Information</w:t>
        </w:r>
        <w:r>
          <w:rPr>
            <w:noProof/>
            <w:webHidden/>
          </w:rPr>
          <w:tab/>
        </w:r>
        <w:r>
          <w:rPr>
            <w:noProof/>
            <w:webHidden/>
          </w:rPr>
          <w:fldChar w:fldCharType="begin"/>
        </w:r>
        <w:r>
          <w:rPr>
            <w:noProof/>
            <w:webHidden/>
          </w:rPr>
          <w:instrText xml:space="preserve"> PAGEREF _Toc396897863 \h </w:instrText>
        </w:r>
        <w:r>
          <w:rPr>
            <w:noProof/>
            <w:webHidden/>
          </w:rPr>
        </w:r>
        <w:r>
          <w:rPr>
            <w:noProof/>
            <w:webHidden/>
          </w:rPr>
          <w:fldChar w:fldCharType="separate"/>
        </w:r>
        <w:r>
          <w:rPr>
            <w:noProof/>
            <w:webHidden/>
          </w:rPr>
          <w:t>2</w:t>
        </w:r>
        <w:r>
          <w:rPr>
            <w:noProof/>
            <w:webHidden/>
          </w:rPr>
          <w:fldChar w:fldCharType="end"/>
        </w:r>
      </w:hyperlink>
    </w:p>
    <w:p w14:paraId="259F15A6"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4" w:history="1">
        <w:r w:rsidRPr="00802D8D">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_Toc396897864 \h </w:instrText>
        </w:r>
        <w:r>
          <w:rPr>
            <w:noProof/>
            <w:webHidden/>
          </w:rPr>
        </w:r>
        <w:r>
          <w:rPr>
            <w:noProof/>
            <w:webHidden/>
          </w:rPr>
          <w:fldChar w:fldCharType="separate"/>
        </w:r>
        <w:r>
          <w:rPr>
            <w:noProof/>
            <w:webHidden/>
          </w:rPr>
          <w:t>3</w:t>
        </w:r>
        <w:r>
          <w:rPr>
            <w:noProof/>
            <w:webHidden/>
          </w:rPr>
          <w:fldChar w:fldCharType="end"/>
        </w:r>
      </w:hyperlink>
    </w:p>
    <w:p w14:paraId="630E5419"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5" w:history="1">
        <w:r w:rsidRPr="00802D8D">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_Toc396897865 \h </w:instrText>
        </w:r>
        <w:r>
          <w:rPr>
            <w:noProof/>
            <w:webHidden/>
          </w:rPr>
        </w:r>
        <w:r>
          <w:rPr>
            <w:noProof/>
            <w:webHidden/>
          </w:rPr>
          <w:fldChar w:fldCharType="separate"/>
        </w:r>
        <w:r>
          <w:rPr>
            <w:noProof/>
            <w:webHidden/>
          </w:rPr>
          <w:t>3</w:t>
        </w:r>
        <w:r>
          <w:rPr>
            <w:noProof/>
            <w:webHidden/>
          </w:rPr>
          <w:fldChar w:fldCharType="end"/>
        </w:r>
      </w:hyperlink>
    </w:p>
    <w:p w14:paraId="37BD3845"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6" w:history="1">
        <w:r w:rsidRPr="00802D8D">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_Toc396897866 \h </w:instrText>
        </w:r>
        <w:r>
          <w:rPr>
            <w:noProof/>
            <w:webHidden/>
          </w:rPr>
        </w:r>
        <w:r>
          <w:rPr>
            <w:noProof/>
            <w:webHidden/>
          </w:rPr>
          <w:fldChar w:fldCharType="separate"/>
        </w:r>
        <w:r>
          <w:rPr>
            <w:noProof/>
            <w:webHidden/>
          </w:rPr>
          <w:t>5</w:t>
        </w:r>
        <w:r>
          <w:rPr>
            <w:noProof/>
            <w:webHidden/>
          </w:rPr>
          <w:fldChar w:fldCharType="end"/>
        </w:r>
      </w:hyperlink>
    </w:p>
    <w:p w14:paraId="71248C33"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67" w:history="1">
        <w:r w:rsidRPr="00802D8D">
          <w:rPr>
            <w:rStyle w:val="Hyperlink"/>
            <w:noProof/>
          </w:rPr>
          <w:t>Section 2. Calculation Methods</w:t>
        </w:r>
        <w:r>
          <w:rPr>
            <w:noProof/>
            <w:webHidden/>
          </w:rPr>
          <w:tab/>
        </w:r>
        <w:r>
          <w:rPr>
            <w:noProof/>
            <w:webHidden/>
          </w:rPr>
          <w:fldChar w:fldCharType="begin"/>
        </w:r>
        <w:r>
          <w:rPr>
            <w:noProof/>
            <w:webHidden/>
          </w:rPr>
          <w:instrText xml:space="preserve"> PAGEREF _Toc396897867 \h </w:instrText>
        </w:r>
        <w:r>
          <w:rPr>
            <w:noProof/>
            <w:webHidden/>
          </w:rPr>
        </w:r>
        <w:r>
          <w:rPr>
            <w:noProof/>
            <w:webHidden/>
          </w:rPr>
          <w:fldChar w:fldCharType="separate"/>
        </w:r>
        <w:r>
          <w:rPr>
            <w:noProof/>
            <w:webHidden/>
          </w:rPr>
          <w:t>6</w:t>
        </w:r>
        <w:r>
          <w:rPr>
            <w:noProof/>
            <w:webHidden/>
          </w:rPr>
          <w:fldChar w:fldCharType="end"/>
        </w:r>
      </w:hyperlink>
    </w:p>
    <w:p w14:paraId="22237844"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68" w:history="1">
        <w:r w:rsidRPr="00802D8D">
          <w:rPr>
            <w:rStyle w:val="Hyperlink"/>
            <w:noProof/>
          </w:rPr>
          <w:t>2.1 Electric Energy Savings Estimation Methodologies</w:t>
        </w:r>
        <w:r>
          <w:rPr>
            <w:noProof/>
            <w:webHidden/>
          </w:rPr>
          <w:tab/>
        </w:r>
        <w:r>
          <w:rPr>
            <w:noProof/>
            <w:webHidden/>
          </w:rPr>
          <w:fldChar w:fldCharType="begin"/>
        </w:r>
        <w:r>
          <w:rPr>
            <w:noProof/>
            <w:webHidden/>
          </w:rPr>
          <w:instrText xml:space="preserve"> PAGEREF _Toc396897868 \h </w:instrText>
        </w:r>
        <w:r>
          <w:rPr>
            <w:noProof/>
            <w:webHidden/>
          </w:rPr>
        </w:r>
        <w:r>
          <w:rPr>
            <w:noProof/>
            <w:webHidden/>
          </w:rPr>
          <w:fldChar w:fldCharType="separate"/>
        </w:r>
        <w:r>
          <w:rPr>
            <w:noProof/>
            <w:webHidden/>
          </w:rPr>
          <w:t>6</w:t>
        </w:r>
        <w:r>
          <w:rPr>
            <w:noProof/>
            <w:webHidden/>
          </w:rPr>
          <w:fldChar w:fldCharType="end"/>
        </w:r>
      </w:hyperlink>
    </w:p>
    <w:p w14:paraId="45C98638" w14:textId="77777777" w:rsidR="00F635A1" w:rsidRDefault="00F635A1">
      <w:pPr>
        <w:pStyle w:val="TOC3"/>
        <w:tabs>
          <w:tab w:val="right" w:leader="dot" w:pos="9350"/>
        </w:tabs>
        <w:rPr>
          <w:rFonts w:asciiTheme="minorHAnsi" w:eastAsiaTheme="minorEastAsia" w:hAnsiTheme="minorHAnsi" w:cstheme="minorBidi"/>
          <w:noProof/>
          <w:szCs w:val="22"/>
        </w:rPr>
      </w:pPr>
      <w:hyperlink w:anchor="_Toc396897869" w:history="1">
        <w:r w:rsidRPr="00802D8D">
          <w:rPr>
            <w:rStyle w:val="Hyperlink"/>
            <w:noProof/>
          </w:rPr>
          <w:t>Unit Energy Savings Calculations</w:t>
        </w:r>
        <w:r>
          <w:rPr>
            <w:noProof/>
            <w:webHidden/>
          </w:rPr>
          <w:tab/>
        </w:r>
        <w:r>
          <w:rPr>
            <w:noProof/>
            <w:webHidden/>
          </w:rPr>
          <w:fldChar w:fldCharType="begin"/>
        </w:r>
        <w:r>
          <w:rPr>
            <w:noProof/>
            <w:webHidden/>
          </w:rPr>
          <w:instrText xml:space="preserve"> PAGEREF _Toc396897869 \h </w:instrText>
        </w:r>
        <w:r>
          <w:rPr>
            <w:noProof/>
            <w:webHidden/>
          </w:rPr>
        </w:r>
        <w:r>
          <w:rPr>
            <w:noProof/>
            <w:webHidden/>
          </w:rPr>
          <w:fldChar w:fldCharType="separate"/>
        </w:r>
        <w:r>
          <w:rPr>
            <w:noProof/>
            <w:webHidden/>
          </w:rPr>
          <w:t>6</w:t>
        </w:r>
        <w:r>
          <w:rPr>
            <w:noProof/>
            <w:webHidden/>
          </w:rPr>
          <w:fldChar w:fldCharType="end"/>
        </w:r>
      </w:hyperlink>
    </w:p>
    <w:p w14:paraId="5F2EF10D"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70" w:history="1">
        <w:r w:rsidRPr="00802D8D">
          <w:rPr>
            <w:rStyle w:val="Hyperlink"/>
            <w:noProof/>
          </w:rPr>
          <w:t>2.2. Demand Reduction Estimation Methodologies</w:t>
        </w:r>
        <w:r>
          <w:rPr>
            <w:noProof/>
            <w:webHidden/>
          </w:rPr>
          <w:tab/>
        </w:r>
        <w:r>
          <w:rPr>
            <w:noProof/>
            <w:webHidden/>
          </w:rPr>
          <w:fldChar w:fldCharType="begin"/>
        </w:r>
        <w:r>
          <w:rPr>
            <w:noProof/>
            <w:webHidden/>
          </w:rPr>
          <w:instrText xml:space="preserve"> PAGEREF _Toc396897870 \h </w:instrText>
        </w:r>
        <w:r>
          <w:rPr>
            <w:noProof/>
            <w:webHidden/>
          </w:rPr>
        </w:r>
        <w:r>
          <w:rPr>
            <w:noProof/>
            <w:webHidden/>
          </w:rPr>
          <w:fldChar w:fldCharType="separate"/>
        </w:r>
        <w:r>
          <w:rPr>
            <w:noProof/>
            <w:webHidden/>
          </w:rPr>
          <w:t>6</w:t>
        </w:r>
        <w:r>
          <w:rPr>
            <w:noProof/>
            <w:webHidden/>
          </w:rPr>
          <w:fldChar w:fldCharType="end"/>
        </w:r>
      </w:hyperlink>
    </w:p>
    <w:p w14:paraId="26E27057"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71" w:history="1">
        <w:r w:rsidRPr="00802D8D">
          <w:rPr>
            <w:rStyle w:val="Hyperlink"/>
            <w:noProof/>
          </w:rPr>
          <w:t>2.3. Gas Energy Savings Estimation Methodologies</w:t>
        </w:r>
        <w:r>
          <w:rPr>
            <w:noProof/>
            <w:webHidden/>
          </w:rPr>
          <w:tab/>
        </w:r>
        <w:r>
          <w:rPr>
            <w:noProof/>
            <w:webHidden/>
          </w:rPr>
          <w:fldChar w:fldCharType="begin"/>
        </w:r>
        <w:r>
          <w:rPr>
            <w:noProof/>
            <w:webHidden/>
          </w:rPr>
          <w:instrText xml:space="preserve"> PAGEREF _Toc396897871 \h </w:instrText>
        </w:r>
        <w:r>
          <w:rPr>
            <w:noProof/>
            <w:webHidden/>
          </w:rPr>
        </w:r>
        <w:r>
          <w:rPr>
            <w:noProof/>
            <w:webHidden/>
          </w:rPr>
          <w:fldChar w:fldCharType="separate"/>
        </w:r>
        <w:r>
          <w:rPr>
            <w:noProof/>
            <w:webHidden/>
          </w:rPr>
          <w:t>6</w:t>
        </w:r>
        <w:r>
          <w:rPr>
            <w:noProof/>
            <w:webHidden/>
          </w:rPr>
          <w:fldChar w:fldCharType="end"/>
        </w:r>
      </w:hyperlink>
    </w:p>
    <w:p w14:paraId="57FC93AB"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72" w:history="1">
        <w:r w:rsidRPr="00802D8D">
          <w:rPr>
            <w:rStyle w:val="Hyperlink"/>
            <w:i/>
            <w:noProof/>
          </w:rPr>
          <w:t>Section 3. Load Shapes</w:t>
        </w:r>
        <w:r>
          <w:rPr>
            <w:noProof/>
            <w:webHidden/>
          </w:rPr>
          <w:tab/>
        </w:r>
        <w:r>
          <w:rPr>
            <w:noProof/>
            <w:webHidden/>
          </w:rPr>
          <w:fldChar w:fldCharType="begin"/>
        </w:r>
        <w:r>
          <w:rPr>
            <w:noProof/>
            <w:webHidden/>
          </w:rPr>
          <w:instrText xml:space="preserve"> PAGEREF _Toc396897872 \h </w:instrText>
        </w:r>
        <w:r>
          <w:rPr>
            <w:noProof/>
            <w:webHidden/>
          </w:rPr>
        </w:r>
        <w:r>
          <w:rPr>
            <w:noProof/>
            <w:webHidden/>
          </w:rPr>
          <w:fldChar w:fldCharType="separate"/>
        </w:r>
        <w:r>
          <w:rPr>
            <w:noProof/>
            <w:webHidden/>
          </w:rPr>
          <w:t>7</w:t>
        </w:r>
        <w:r>
          <w:rPr>
            <w:noProof/>
            <w:webHidden/>
          </w:rPr>
          <w:fldChar w:fldCharType="end"/>
        </w:r>
      </w:hyperlink>
    </w:p>
    <w:p w14:paraId="0FB9EDB4"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73" w:history="1">
        <w:r w:rsidRPr="00802D8D">
          <w:rPr>
            <w:rStyle w:val="Hyperlink"/>
            <w:noProof/>
          </w:rPr>
          <w:t>3.1 Base Case Load Shapes</w:t>
        </w:r>
        <w:r>
          <w:rPr>
            <w:noProof/>
            <w:webHidden/>
          </w:rPr>
          <w:tab/>
        </w:r>
        <w:r>
          <w:rPr>
            <w:noProof/>
            <w:webHidden/>
          </w:rPr>
          <w:fldChar w:fldCharType="begin"/>
        </w:r>
        <w:r>
          <w:rPr>
            <w:noProof/>
            <w:webHidden/>
          </w:rPr>
          <w:instrText xml:space="preserve"> PAGEREF _Toc396897873 \h </w:instrText>
        </w:r>
        <w:r>
          <w:rPr>
            <w:noProof/>
            <w:webHidden/>
          </w:rPr>
        </w:r>
        <w:r>
          <w:rPr>
            <w:noProof/>
            <w:webHidden/>
          </w:rPr>
          <w:fldChar w:fldCharType="separate"/>
        </w:r>
        <w:r>
          <w:rPr>
            <w:noProof/>
            <w:webHidden/>
          </w:rPr>
          <w:t>7</w:t>
        </w:r>
        <w:r>
          <w:rPr>
            <w:noProof/>
            <w:webHidden/>
          </w:rPr>
          <w:fldChar w:fldCharType="end"/>
        </w:r>
      </w:hyperlink>
    </w:p>
    <w:p w14:paraId="6AE0B90D"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74" w:history="1">
        <w:r w:rsidRPr="00802D8D">
          <w:rPr>
            <w:rStyle w:val="Hyperlink"/>
            <w:noProof/>
          </w:rPr>
          <w:t>3.2 Measure Load Shapes</w:t>
        </w:r>
        <w:r>
          <w:rPr>
            <w:noProof/>
            <w:webHidden/>
          </w:rPr>
          <w:tab/>
        </w:r>
        <w:r>
          <w:rPr>
            <w:noProof/>
            <w:webHidden/>
          </w:rPr>
          <w:fldChar w:fldCharType="begin"/>
        </w:r>
        <w:r>
          <w:rPr>
            <w:noProof/>
            <w:webHidden/>
          </w:rPr>
          <w:instrText xml:space="preserve"> PAGEREF _Toc396897874 \h </w:instrText>
        </w:r>
        <w:r>
          <w:rPr>
            <w:noProof/>
            <w:webHidden/>
          </w:rPr>
        </w:r>
        <w:r>
          <w:rPr>
            <w:noProof/>
            <w:webHidden/>
          </w:rPr>
          <w:fldChar w:fldCharType="separate"/>
        </w:r>
        <w:r>
          <w:rPr>
            <w:noProof/>
            <w:webHidden/>
          </w:rPr>
          <w:t>7</w:t>
        </w:r>
        <w:r>
          <w:rPr>
            <w:noProof/>
            <w:webHidden/>
          </w:rPr>
          <w:fldChar w:fldCharType="end"/>
        </w:r>
      </w:hyperlink>
    </w:p>
    <w:p w14:paraId="4A281D6F"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75" w:history="1">
        <w:r w:rsidRPr="00802D8D">
          <w:rPr>
            <w:rStyle w:val="Hyperlink"/>
            <w:noProof/>
          </w:rPr>
          <w:t>Section 4. Base Case &amp; Measure Costs</w:t>
        </w:r>
        <w:r>
          <w:rPr>
            <w:noProof/>
            <w:webHidden/>
          </w:rPr>
          <w:tab/>
        </w:r>
        <w:r>
          <w:rPr>
            <w:noProof/>
            <w:webHidden/>
          </w:rPr>
          <w:fldChar w:fldCharType="begin"/>
        </w:r>
        <w:r>
          <w:rPr>
            <w:noProof/>
            <w:webHidden/>
          </w:rPr>
          <w:instrText xml:space="preserve"> PAGEREF _Toc396897875 \h </w:instrText>
        </w:r>
        <w:r>
          <w:rPr>
            <w:noProof/>
            <w:webHidden/>
          </w:rPr>
        </w:r>
        <w:r>
          <w:rPr>
            <w:noProof/>
            <w:webHidden/>
          </w:rPr>
          <w:fldChar w:fldCharType="separate"/>
        </w:r>
        <w:r>
          <w:rPr>
            <w:noProof/>
            <w:webHidden/>
          </w:rPr>
          <w:t>8</w:t>
        </w:r>
        <w:r>
          <w:rPr>
            <w:noProof/>
            <w:webHidden/>
          </w:rPr>
          <w:fldChar w:fldCharType="end"/>
        </w:r>
      </w:hyperlink>
    </w:p>
    <w:p w14:paraId="7FFE12F2"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76" w:history="1">
        <w:r w:rsidRPr="00802D8D">
          <w:rPr>
            <w:rStyle w:val="Hyperlink"/>
            <w:noProof/>
          </w:rPr>
          <w:t>4.1 Base Case(s) Costs</w:t>
        </w:r>
        <w:r>
          <w:rPr>
            <w:noProof/>
            <w:webHidden/>
          </w:rPr>
          <w:tab/>
        </w:r>
        <w:r>
          <w:rPr>
            <w:noProof/>
            <w:webHidden/>
          </w:rPr>
          <w:fldChar w:fldCharType="begin"/>
        </w:r>
        <w:r>
          <w:rPr>
            <w:noProof/>
            <w:webHidden/>
          </w:rPr>
          <w:instrText xml:space="preserve"> PAGEREF _Toc396897876 \h </w:instrText>
        </w:r>
        <w:r>
          <w:rPr>
            <w:noProof/>
            <w:webHidden/>
          </w:rPr>
        </w:r>
        <w:r>
          <w:rPr>
            <w:noProof/>
            <w:webHidden/>
          </w:rPr>
          <w:fldChar w:fldCharType="separate"/>
        </w:r>
        <w:r>
          <w:rPr>
            <w:noProof/>
            <w:webHidden/>
          </w:rPr>
          <w:t>8</w:t>
        </w:r>
        <w:r>
          <w:rPr>
            <w:noProof/>
            <w:webHidden/>
          </w:rPr>
          <w:fldChar w:fldCharType="end"/>
        </w:r>
      </w:hyperlink>
    </w:p>
    <w:p w14:paraId="5129D622"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77" w:history="1">
        <w:r w:rsidRPr="00802D8D">
          <w:rPr>
            <w:rStyle w:val="Hyperlink"/>
            <w:noProof/>
          </w:rPr>
          <w:t>4.2 Measure Case Costs</w:t>
        </w:r>
        <w:r>
          <w:rPr>
            <w:noProof/>
            <w:webHidden/>
          </w:rPr>
          <w:tab/>
        </w:r>
        <w:r>
          <w:rPr>
            <w:noProof/>
            <w:webHidden/>
          </w:rPr>
          <w:fldChar w:fldCharType="begin"/>
        </w:r>
        <w:r>
          <w:rPr>
            <w:noProof/>
            <w:webHidden/>
          </w:rPr>
          <w:instrText xml:space="preserve"> PAGEREF _Toc396897877 \h </w:instrText>
        </w:r>
        <w:r>
          <w:rPr>
            <w:noProof/>
            <w:webHidden/>
          </w:rPr>
        </w:r>
        <w:r>
          <w:rPr>
            <w:noProof/>
            <w:webHidden/>
          </w:rPr>
          <w:fldChar w:fldCharType="separate"/>
        </w:r>
        <w:r>
          <w:rPr>
            <w:noProof/>
            <w:webHidden/>
          </w:rPr>
          <w:t>8</w:t>
        </w:r>
        <w:r>
          <w:rPr>
            <w:noProof/>
            <w:webHidden/>
          </w:rPr>
          <w:fldChar w:fldCharType="end"/>
        </w:r>
      </w:hyperlink>
    </w:p>
    <w:p w14:paraId="4D08B8BB" w14:textId="77777777" w:rsidR="00F635A1" w:rsidRDefault="00F635A1">
      <w:pPr>
        <w:pStyle w:val="TOC2"/>
        <w:tabs>
          <w:tab w:val="right" w:leader="dot" w:pos="9350"/>
        </w:tabs>
        <w:rPr>
          <w:rFonts w:asciiTheme="minorHAnsi" w:eastAsiaTheme="minorEastAsia" w:hAnsiTheme="minorHAnsi" w:cstheme="minorBidi"/>
          <w:noProof/>
          <w:szCs w:val="22"/>
        </w:rPr>
      </w:pPr>
      <w:hyperlink w:anchor="_Toc396897878" w:history="1">
        <w:r w:rsidRPr="00802D8D">
          <w:rPr>
            <w:rStyle w:val="Hyperlink"/>
            <w:noProof/>
          </w:rPr>
          <w:t>4.3 Incremental &amp; Full Measure Costs</w:t>
        </w:r>
        <w:r>
          <w:rPr>
            <w:noProof/>
            <w:webHidden/>
          </w:rPr>
          <w:tab/>
        </w:r>
        <w:r>
          <w:rPr>
            <w:noProof/>
            <w:webHidden/>
          </w:rPr>
          <w:fldChar w:fldCharType="begin"/>
        </w:r>
        <w:r>
          <w:rPr>
            <w:noProof/>
            <w:webHidden/>
          </w:rPr>
          <w:instrText xml:space="preserve"> PAGEREF _Toc396897878 \h </w:instrText>
        </w:r>
        <w:r>
          <w:rPr>
            <w:noProof/>
            <w:webHidden/>
          </w:rPr>
        </w:r>
        <w:r>
          <w:rPr>
            <w:noProof/>
            <w:webHidden/>
          </w:rPr>
          <w:fldChar w:fldCharType="separate"/>
        </w:r>
        <w:r>
          <w:rPr>
            <w:noProof/>
            <w:webHidden/>
          </w:rPr>
          <w:t>8</w:t>
        </w:r>
        <w:r>
          <w:rPr>
            <w:noProof/>
            <w:webHidden/>
          </w:rPr>
          <w:fldChar w:fldCharType="end"/>
        </w:r>
      </w:hyperlink>
    </w:p>
    <w:p w14:paraId="62A3CABA"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79" w:history="1">
        <w:r w:rsidRPr="00802D8D">
          <w:rPr>
            <w:rStyle w:val="Hyperlink"/>
            <w:i/>
            <w:noProof/>
          </w:rPr>
          <w:t>4.3.1 Full Measure Cost</w:t>
        </w:r>
        <w:r>
          <w:rPr>
            <w:noProof/>
            <w:webHidden/>
          </w:rPr>
          <w:tab/>
        </w:r>
        <w:r>
          <w:rPr>
            <w:noProof/>
            <w:webHidden/>
          </w:rPr>
          <w:fldChar w:fldCharType="begin"/>
        </w:r>
        <w:r>
          <w:rPr>
            <w:noProof/>
            <w:webHidden/>
          </w:rPr>
          <w:instrText xml:space="preserve"> PAGEREF _Toc396897879 \h </w:instrText>
        </w:r>
        <w:r>
          <w:rPr>
            <w:noProof/>
            <w:webHidden/>
          </w:rPr>
        </w:r>
        <w:r>
          <w:rPr>
            <w:noProof/>
            <w:webHidden/>
          </w:rPr>
          <w:fldChar w:fldCharType="separate"/>
        </w:r>
        <w:r>
          <w:rPr>
            <w:noProof/>
            <w:webHidden/>
          </w:rPr>
          <w:t>8</w:t>
        </w:r>
        <w:r>
          <w:rPr>
            <w:noProof/>
            <w:webHidden/>
          </w:rPr>
          <w:fldChar w:fldCharType="end"/>
        </w:r>
      </w:hyperlink>
    </w:p>
    <w:p w14:paraId="40A537E2"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80" w:history="1">
        <w:r w:rsidRPr="00802D8D">
          <w:rPr>
            <w:rStyle w:val="Hyperlink"/>
            <w:i/>
            <w:noProof/>
          </w:rPr>
          <w:t>4.3.2 Incremental Measure Costs</w:t>
        </w:r>
        <w:r>
          <w:rPr>
            <w:noProof/>
            <w:webHidden/>
          </w:rPr>
          <w:tab/>
        </w:r>
        <w:r>
          <w:rPr>
            <w:noProof/>
            <w:webHidden/>
          </w:rPr>
          <w:fldChar w:fldCharType="begin"/>
        </w:r>
        <w:r>
          <w:rPr>
            <w:noProof/>
            <w:webHidden/>
          </w:rPr>
          <w:instrText xml:space="preserve"> PAGEREF _Toc396897880 \h </w:instrText>
        </w:r>
        <w:r>
          <w:rPr>
            <w:noProof/>
            <w:webHidden/>
          </w:rPr>
        </w:r>
        <w:r>
          <w:rPr>
            <w:noProof/>
            <w:webHidden/>
          </w:rPr>
          <w:fldChar w:fldCharType="separate"/>
        </w:r>
        <w:r>
          <w:rPr>
            <w:noProof/>
            <w:webHidden/>
          </w:rPr>
          <w:t>8</w:t>
        </w:r>
        <w:r>
          <w:rPr>
            <w:noProof/>
            <w:webHidden/>
          </w:rPr>
          <w:fldChar w:fldCharType="end"/>
        </w:r>
      </w:hyperlink>
    </w:p>
    <w:p w14:paraId="1D5DABAD" w14:textId="77777777" w:rsidR="00F635A1" w:rsidRDefault="00F635A1">
      <w:pPr>
        <w:pStyle w:val="TOC1"/>
        <w:tabs>
          <w:tab w:val="right" w:leader="dot" w:pos="9350"/>
        </w:tabs>
        <w:rPr>
          <w:rFonts w:asciiTheme="minorHAnsi" w:eastAsiaTheme="minorEastAsia" w:hAnsiTheme="minorHAnsi" w:cstheme="minorBidi"/>
          <w:noProof/>
          <w:szCs w:val="22"/>
        </w:rPr>
      </w:pPr>
      <w:hyperlink w:anchor="_Toc396897881" w:history="1">
        <w:r w:rsidRPr="00802D8D">
          <w:rPr>
            <w:rStyle w:val="Hyperlink"/>
            <w:noProof/>
          </w:rPr>
          <w:t>References</w:t>
        </w:r>
        <w:r>
          <w:rPr>
            <w:noProof/>
            <w:webHidden/>
          </w:rPr>
          <w:tab/>
        </w:r>
        <w:r>
          <w:rPr>
            <w:noProof/>
            <w:webHidden/>
          </w:rPr>
          <w:fldChar w:fldCharType="begin"/>
        </w:r>
        <w:r>
          <w:rPr>
            <w:noProof/>
            <w:webHidden/>
          </w:rPr>
          <w:instrText xml:space="preserve"> PAGEREF _Toc396897881 \h </w:instrText>
        </w:r>
        <w:r>
          <w:rPr>
            <w:noProof/>
            <w:webHidden/>
          </w:rPr>
        </w:r>
        <w:r>
          <w:rPr>
            <w:noProof/>
            <w:webHidden/>
          </w:rPr>
          <w:fldChar w:fldCharType="separate"/>
        </w:r>
        <w:r>
          <w:rPr>
            <w:noProof/>
            <w:webHidden/>
          </w:rPr>
          <w:t>10</w:t>
        </w:r>
        <w:r>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20" w:name="_Toc172205729"/>
      <w:bookmarkStart w:id="21" w:name="_Toc304800199"/>
      <w:bookmarkStart w:id="22" w:name="_Toc324318335"/>
      <w:bookmarkStart w:id="23" w:name="_Toc324340479"/>
      <w:bookmarkStart w:id="24" w:name="_Toc396897857"/>
      <w:r w:rsidR="00ED21EE">
        <w:lastRenderedPageBreak/>
        <w:t>List of Tables</w:t>
      </w:r>
      <w:bookmarkEnd w:id="20"/>
      <w:bookmarkEnd w:id="21"/>
      <w:bookmarkEnd w:id="22"/>
      <w:bookmarkEnd w:id="23"/>
      <w:bookmarkEnd w:id="24"/>
    </w:p>
    <w:p w14:paraId="4CD5B7BA" w14:textId="77777777" w:rsidR="000F2364"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92687362" w:history="1">
        <w:r w:rsidR="000F2364" w:rsidRPr="002B7734">
          <w:rPr>
            <w:rStyle w:val="Hyperlink"/>
            <w:noProof/>
          </w:rPr>
          <w:t>Table 1</w:t>
        </w:r>
        <w:r w:rsidR="000F2364" w:rsidRPr="002B7734">
          <w:rPr>
            <w:rStyle w:val="Hyperlink"/>
            <w:rFonts w:ascii="Calibri" w:hAnsi="Calibri" w:cs="Calibri"/>
            <w:noProof/>
          </w:rPr>
          <w:t xml:space="preserve"> </w:t>
        </w:r>
        <w:r w:rsidR="000F2364" w:rsidRPr="002B7734">
          <w:rPr>
            <w:rStyle w:val="Hyperlink"/>
            <w:rFonts w:cs="Arial"/>
            <w:noProof/>
          </w:rPr>
          <w:t>Measure Application Type</w:t>
        </w:r>
        <w:r w:rsidR="000F2364">
          <w:rPr>
            <w:noProof/>
            <w:webHidden/>
          </w:rPr>
          <w:tab/>
        </w:r>
        <w:r w:rsidR="000F2364">
          <w:rPr>
            <w:noProof/>
            <w:webHidden/>
          </w:rPr>
          <w:fldChar w:fldCharType="begin"/>
        </w:r>
        <w:r w:rsidR="000F2364">
          <w:rPr>
            <w:noProof/>
            <w:webHidden/>
          </w:rPr>
          <w:instrText xml:space="preserve"> PAGEREF _Toc392687362 \h </w:instrText>
        </w:r>
        <w:r w:rsidR="000F2364">
          <w:rPr>
            <w:noProof/>
            <w:webHidden/>
          </w:rPr>
        </w:r>
        <w:r w:rsidR="000F2364">
          <w:rPr>
            <w:noProof/>
            <w:webHidden/>
          </w:rPr>
          <w:fldChar w:fldCharType="separate"/>
        </w:r>
        <w:r w:rsidR="00F635A1">
          <w:rPr>
            <w:noProof/>
            <w:webHidden/>
          </w:rPr>
          <w:t>2</w:t>
        </w:r>
        <w:r w:rsidR="000F2364">
          <w:rPr>
            <w:noProof/>
            <w:webHidden/>
          </w:rPr>
          <w:fldChar w:fldCharType="end"/>
        </w:r>
      </w:hyperlink>
    </w:p>
    <w:p w14:paraId="3DF6317D" w14:textId="77777777" w:rsidR="000F2364" w:rsidRDefault="00F635A1">
      <w:pPr>
        <w:pStyle w:val="TableofFigures"/>
        <w:tabs>
          <w:tab w:val="right" w:leader="dot" w:pos="9350"/>
        </w:tabs>
        <w:rPr>
          <w:rFonts w:asciiTheme="minorHAnsi" w:eastAsiaTheme="minorEastAsia" w:hAnsiTheme="minorHAnsi" w:cstheme="minorBidi"/>
          <w:noProof/>
          <w:szCs w:val="22"/>
        </w:rPr>
      </w:pPr>
      <w:hyperlink w:anchor="_Toc392687363" w:history="1">
        <w:r w:rsidR="000F2364" w:rsidRPr="002B7734">
          <w:rPr>
            <w:rStyle w:val="Hyperlink"/>
            <w:rFonts w:cs="Arial"/>
            <w:noProof/>
          </w:rPr>
          <w:t>Table 2 DEER Net-to-Gross Ratios</w:t>
        </w:r>
        <w:r w:rsidR="000F2364">
          <w:rPr>
            <w:noProof/>
            <w:webHidden/>
          </w:rPr>
          <w:tab/>
        </w:r>
        <w:r w:rsidR="000F2364">
          <w:rPr>
            <w:noProof/>
            <w:webHidden/>
          </w:rPr>
          <w:fldChar w:fldCharType="begin"/>
        </w:r>
        <w:r w:rsidR="000F2364">
          <w:rPr>
            <w:noProof/>
            <w:webHidden/>
          </w:rPr>
          <w:instrText xml:space="preserve"> PAGEREF _Toc392687363 \h </w:instrText>
        </w:r>
        <w:r w:rsidR="000F2364">
          <w:rPr>
            <w:noProof/>
            <w:webHidden/>
          </w:rPr>
        </w:r>
        <w:r w:rsidR="000F2364">
          <w:rPr>
            <w:noProof/>
            <w:webHidden/>
          </w:rPr>
          <w:fldChar w:fldCharType="separate"/>
        </w:r>
        <w:r>
          <w:rPr>
            <w:noProof/>
            <w:webHidden/>
          </w:rPr>
          <w:t>3</w:t>
        </w:r>
        <w:r w:rsidR="000F2364">
          <w:rPr>
            <w:noProof/>
            <w:webHidden/>
          </w:rPr>
          <w:fldChar w:fldCharType="end"/>
        </w:r>
      </w:hyperlink>
    </w:p>
    <w:p w14:paraId="28D556DD" w14:textId="77777777" w:rsidR="000F2364" w:rsidRDefault="00F635A1">
      <w:pPr>
        <w:pStyle w:val="TableofFigures"/>
        <w:tabs>
          <w:tab w:val="right" w:leader="dot" w:pos="9350"/>
        </w:tabs>
        <w:rPr>
          <w:rFonts w:asciiTheme="minorHAnsi" w:eastAsiaTheme="minorEastAsia" w:hAnsiTheme="minorHAnsi" w:cstheme="minorBidi"/>
          <w:noProof/>
          <w:szCs w:val="22"/>
        </w:rPr>
      </w:pPr>
      <w:hyperlink w:anchor="_Toc392687364" w:history="1">
        <w:r w:rsidR="000F2364" w:rsidRPr="002B7734">
          <w:rPr>
            <w:rStyle w:val="Hyperlink"/>
            <w:rFonts w:cs="Arial"/>
            <w:noProof/>
          </w:rPr>
          <w:t>Table 3 Base Case Building Types and Load Shapes</w:t>
        </w:r>
        <w:r w:rsidR="000F2364">
          <w:rPr>
            <w:noProof/>
            <w:webHidden/>
          </w:rPr>
          <w:tab/>
        </w:r>
        <w:r w:rsidR="000F2364">
          <w:rPr>
            <w:noProof/>
            <w:webHidden/>
          </w:rPr>
          <w:fldChar w:fldCharType="begin"/>
        </w:r>
        <w:r w:rsidR="000F2364">
          <w:rPr>
            <w:noProof/>
            <w:webHidden/>
          </w:rPr>
          <w:instrText xml:space="preserve"> PAGEREF _Toc392687364 \h </w:instrText>
        </w:r>
        <w:r w:rsidR="000F2364">
          <w:rPr>
            <w:noProof/>
            <w:webHidden/>
          </w:rPr>
        </w:r>
        <w:r w:rsidR="000F2364">
          <w:rPr>
            <w:noProof/>
            <w:webHidden/>
          </w:rPr>
          <w:fldChar w:fldCharType="separate"/>
        </w:r>
        <w:r>
          <w:rPr>
            <w:noProof/>
            <w:webHidden/>
          </w:rPr>
          <w:t>7</w:t>
        </w:r>
        <w:r w:rsidR="000F2364">
          <w:rPr>
            <w:noProof/>
            <w:webHidden/>
          </w:rPr>
          <w:fldChar w:fldCharType="end"/>
        </w:r>
      </w:hyperlink>
    </w:p>
    <w:p w14:paraId="393A0A9D" w14:textId="77777777" w:rsidR="005A1F9D" w:rsidRDefault="00ED21EE" w:rsidP="005A1F9D">
      <w:r>
        <w:fldChar w:fldCharType="end"/>
      </w:r>
      <w:r w:rsidR="005A1F9D" w:rsidRPr="005A1F9D">
        <w:t xml:space="preserve"> </w:t>
      </w:r>
    </w:p>
    <w:p w14:paraId="393A0AA0" w14:textId="77777777" w:rsidR="00056348" w:rsidRDefault="00056348" w:rsidP="00ED21EE">
      <w:pPr>
        <w:pStyle w:val="Heading1"/>
        <w:sectPr w:rsidR="00056348" w:rsidSect="00481F63">
          <w:footerReference w:type="default" r:id="rId23"/>
          <w:endnotePr>
            <w:numFmt w:val="decimal"/>
          </w:endnotePr>
          <w:pgSz w:w="12240" w:h="15840"/>
          <w:pgMar w:top="1440" w:right="1440" w:bottom="1440" w:left="1440" w:header="720" w:footer="720" w:gutter="0"/>
          <w:pgNumType w:fmt="lowerRoman"/>
          <w:cols w:space="720"/>
          <w:docGrid w:linePitch="360"/>
        </w:sectPr>
      </w:pPr>
      <w:bookmarkStart w:id="25" w:name="_Toc304800201"/>
      <w:bookmarkStart w:id="26" w:name="_Toc324318337"/>
      <w:bookmarkStart w:id="27" w:name="_Toc324340481"/>
      <w:bookmarkStart w:id="28" w:name="_Toc172205732"/>
    </w:p>
    <w:p w14:paraId="393A0AA1" w14:textId="77777777" w:rsidR="00ED21EE" w:rsidRDefault="00ED21EE" w:rsidP="00ED21EE">
      <w:pPr>
        <w:pStyle w:val="Heading1"/>
      </w:pPr>
      <w:bookmarkStart w:id="29" w:name="_Toc396897858"/>
      <w:proofErr w:type="gramStart"/>
      <w:r>
        <w:lastRenderedPageBreak/>
        <w:t>Section 1.</w:t>
      </w:r>
      <w:proofErr w:type="gramEnd"/>
      <w:r>
        <w:t xml:space="preserve"> General Measure &amp; Baseline Data</w:t>
      </w:r>
      <w:bookmarkEnd w:id="25"/>
      <w:bookmarkEnd w:id="26"/>
      <w:bookmarkEnd w:id="27"/>
      <w:bookmarkEnd w:id="29"/>
    </w:p>
    <w:p w14:paraId="393A0AA2" w14:textId="77777777" w:rsidR="00E71EF1" w:rsidRDefault="001248A3" w:rsidP="001248A3">
      <w:pPr>
        <w:pStyle w:val="Heading2"/>
      </w:pPr>
      <w:bookmarkStart w:id="30" w:name="_Toc304800202"/>
      <w:bookmarkStart w:id="31" w:name="_Toc324318338"/>
      <w:bookmarkStart w:id="32" w:name="_Toc324340482"/>
      <w:bookmarkStart w:id="33" w:name="_Toc396897859"/>
      <w:bookmarkEnd w:id="28"/>
      <w:r>
        <w:t xml:space="preserve">1.1 </w:t>
      </w:r>
      <w:r w:rsidR="008C6AD1">
        <w:t xml:space="preserve">Product </w:t>
      </w:r>
      <w:r w:rsidR="00E71EF1" w:rsidRPr="001248A3">
        <w:t>Measure Description &amp; Background</w:t>
      </w:r>
      <w:bookmarkEnd w:id="30"/>
      <w:bookmarkEnd w:id="31"/>
      <w:bookmarkEnd w:id="32"/>
      <w:bookmarkEnd w:id="33"/>
    </w:p>
    <w:p w14:paraId="7E4C3EBA" w14:textId="77777777" w:rsidR="007D4D83" w:rsidRPr="007D4D83" w:rsidRDefault="00521920" w:rsidP="007D4D83">
      <w:pPr>
        <w:rPr>
          <w:rFonts w:ascii="Times New Roman" w:hAnsi="Times New Roman"/>
          <w:b/>
          <w:sz w:val="24"/>
        </w:rPr>
      </w:pPr>
      <w:r w:rsidRPr="00521920">
        <w:rPr>
          <w:rFonts w:cs="Arial"/>
          <w:b/>
          <w:i/>
        </w:rPr>
        <w:t>Catalog Description</w:t>
      </w:r>
      <w:r w:rsidR="00E840FE">
        <w:rPr>
          <w:rFonts w:cs="Arial"/>
          <w:b/>
          <w:i/>
        </w:rPr>
        <w:t xml:space="preserve"> – </w:t>
      </w:r>
      <w:r w:rsidR="007D4D83" w:rsidRPr="007D4D83">
        <w:rPr>
          <w:rFonts w:cs="Arial"/>
          <w:b/>
          <w:i/>
          <w:sz w:val="24"/>
        </w:rPr>
        <w:t>Description</w:t>
      </w:r>
    </w:p>
    <w:p w14:paraId="1E54FD9B" w14:textId="77777777" w:rsidR="00DC638E" w:rsidRDefault="00DC638E" w:rsidP="00DC638E">
      <w:pPr>
        <w:rPr>
          <w:b/>
          <w:bCs/>
          <w:i/>
          <w:iCs/>
        </w:rPr>
      </w:pPr>
      <w:r>
        <w:rPr>
          <w:b/>
          <w:bCs/>
          <w:i/>
          <w:iCs/>
        </w:rPr>
        <w:t>Description</w:t>
      </w:r>
    </w:p>
    <w:p w14:paraId="3D91E7CB" w14:textId="44366C75" w:rsidR="00DC638E" w:rsidRPr="00E66633" w:rsidRDefault="00DC638E" w:rsidP="00DC638E">
      <w:pPr>
        <w:pStyle w:val="Default"/>
        <w:rPr>
          <w:color w:val="auto"/>
          <w:sz w:val="22"/>
          <w:szCs w:val="22"/>
        </w:rPr>
      </w:pPr>
      <w:r w:rsidRPr="00E66633">
        <w:rPr>
          <w:color w:val="auto"/>
          <w:sz w:val="22"/>
          <w:szCs w:val="22"/>
        </w:rPr>
        <w:t xml:space="preserve">Energy </w:t>
      </w:r>
      <w:r w:rsidR="00A5587B" w:rsidRPr="00E66633">
        <w:rPr>
          <w:color w:val="auto"/>
          <w:sz w:val="22"/>
          <w:szCs w:val="22"/>
        </w:rPr>
        <w:t>Advisor is</w:t>
      </w:r>
      <w:r w:rsidRPr="00E66633">
        <w:rPr>
          <w:color w:val="auto"/>
          <w:sz w:val="22"/>
          <w:szCs w:val="22"/>
        </w:rPr>
        <w:t xml:space="preserve"> a subprogram within the residential </w:t>
      </w:r>
      <w:r w:rsidR="00C66E80">
        <w:rPr>
          <w:color w:val="auto"/>
          <w:sz w:val="22"/>
          <w:szCs w:val="22"/>
        </w:rPr>
        <w:t>s</w:t>
      </w:r>
      <w:r w:rsidR="005C2FC1">
        <w:rPr>
          <w:color w:val="auto"/>
          <w:sz w:val="22"/>
          <w:szCs w:val="22"/>
        </w:rPr>
        <w:t xml:space="preserve">tatewide </w:t>
      </w:r>
      <w:r w:rsidR="00C66E80">
        <w:rPr>
          <w:color w:val="auto"/>
          <w:sz w:val="22"/>
          <w:szCs w:val="22"/>
        </w:rPr>
        <w:t>E</w:t>
      </w:r>
      <w:r w:rsidR="00C66E80" w:rsidRPr="00E66633">
        <w:rPr>
          <w:color w:val="auto"/>
          <w:sz w:val="22"/>
          <w:szCs w:val="22"/>
        </w:rPr>
        <w:t xml:space="preserve">nergy </w:t>
      </w:r>
      <w:r w:rsidR="00C66E80">
        <w:rPr>
          <w:color w:val="auto"/>
          <w:sz w:val="22"/>
          <w:szCs w:val="22"/>
        </w:rPr>
        <w:t>E</w:t>
      </w:r>
      <w:r w:rsidR="00C66E80" w:rsidRPr="00E66633">
        <w:rPr>
          <w:color w:val="auto"/>
          <w:sz w:val="22"/>
          <w:szCs w:val="22"/>
        </w:rPr>
        <w:t xml:space="preserve">fficiency </w:t>
      </w:r>
      <w:r w:rsidR="00C66E80">
        <w:rPr>
          <w:color w:val="auto"/>
          <w:sz w:val="22"/>
          <w:szCs w:val="22"/>
        </w:rPr>
        <w:t>P</w:t>
      </w:r>
      <w:r w:rsidR="00C66E80" w:rsidRPr="00E66633">
        <w:rPr>
          <w:color w:val="auto"/>
          <w:sz w:val="22"/>
          <w:szCs w:val="22"/>
        </w:rPr>
        <w:t xml:space="preserve">ortfolio </w:t>
      </w:r>
      <w:r w:rsidR="0008713C" w:rsidRPr="00A5587B">
        <w:rPr>
          <w:color w:val="auto"/>
          <w:sz w:val="22"/>
          <w:szCs w:val="22"/>
        </w:rPr>
        <w:t xml:space="preserve">that provides customers with unique ways to engage with the concept of energy management through a variety of interactive and behavioral techniques that will allow them to better understand their energy use and to take integrated demand side management (IDSM) actions to save energy and </w:t>
      </w:r>
      <w:r w:rsidR="00A5587B" w:rsidRPr="00A5587B">
        <w:rPr>
          <w:color w:val="auto"/>
          <w:sz w:val="22"/>
          <w:szCs w:val="22"/>
        </w:rPr>
        <w:t>money.</w:t>
      </w:r>
      <w:r w:rsidRPr="00E66633">
        <w:rPr>
          <w:color w:val="auto"/>
          <w:sz w:val="22"/>
          <w:szCs w:val="22"/>
        </w:rPr>
        <w:t xml:space="preserve"> </w:t>
      </w:r>
    </w:p>
    <w:p w14:paraId="21763156" w14:textId="77777777" w:rsidR="00DC638E" w:rsidRPr="00E66633" w:rsidRDefault="00DC638E" w:rsidP="00DC638E">
      <w:pPr>
        <w:rPr>
          <w:rFonts w:cs="Arial"/>
          <w:szCs w:val="22"/>
        </w:rPr>
      </w:pPr>
    </w:p>
    <w:p w14:paraId="4E4F7ADF" w14:textId="3D61A22D" w:rsidR="00DC638E" w:rsidRPr="00E66633" w:rsidRDefault="00DC638E" w:rsidP="00DC638E">
      <w:pPr>
        <w:rPr>
          <w:rFonts w:cs="Arial"/>
          <w:szCs w:val="22"/>
        </w:rPr>
      </w:pPr>
      <w:r w:rsidRPr="00E66633">
        <w:rPr>
          <w:rFonts w:cs="Arial"/>
          <w:szCs w:val="22"/>
        </w:rPr>
        <w:t>Home Energy Checkup</w:t>
      </w:r>
      <w:r w:rsidR="005C2FC1">
        <w:rPr>
          <w:rFonts w:cs="Arial"/>
          <w:szCs w:val="22"/>
        </w:rPr>
        <w:t xml:space="preserve"> </w:t>
      </w:r>
      <w:r w:rsidR="005C2FC1" w:rsidRPr="00A5587B">
        <w:rPr>
          <w:rFonts w:cs="Arial"/>
          <w:szCs w:val="22"/>
        </w:rPr>
        <w:t>(formerly known as the Home Energy Efficiency Survey – HEES program)</w:t>
      </w:r>
      <w:r w:rsidRPr="00E66633">
        <w:rPr>
          <w:rFonts w:cs="Arial"/>
          <w:szCs w:val="22"/>
        </w:rPr>
        <w:t xml:space="preserve"> is an online energy audit tool part of the Energy Advisor subprogram.  The Home Energy </w:t>
      </w:r>
      <w:r w:rsidR="00A5587B" w:rsidRPr="00E66633">
        <w:rPr>
          <w:rFonts w:cs="Arial"/>
          <w:szCs w:val="22"/>
        </w:rPr>
        <w:t>Checkup provides</w:t>
      </w:r>
      <w:r w:rsidR="00D22752">
        <w:rPr>
          <w:rFonts w:cs="Arial"/>
          <w:szCs w:val="22"/>
        </w:rPr>
        <w:t xml:space="preserve"> an </w:t>
      </w:r>
      <w:r w:rsidR="00D22752" w:rsidRPr="00D22752">
        <w:rPr>
          <w:rFonts w:cs="Arial"/>
          <w:szCs w:val="22"/>
        </w:rPr>
        <w:t>interactive continuous</w:t>
      </w:r>
      <w:r w:rsidR="00B71083">
        <w:rPr>
          <w:rFonts w:cs="Arial"/>
          <w:szCs w:val="22"/>
        </w:rPr>
        <w:t xml:space="preserve"> engagement</w:t>
      </w:r>
      <w:r w:rsidR="00D22752" w:rsidRPr="00D22752">
        <w:rPr>
          <w:rFonts w:cs="Arial"/>
          <w:szCs w:val="22"/>
        </w:rPr>
        <w:t xml:space="preserve"> </w:t>
      </w:r>
      <w:r w:rsidR="00D22752">
        <w:rPr>
          <w:rFonts w:cs="Arial"/>
          <w:szCs w:val="22"/>
        </w:rPr>
        <w:t xml:space="preserve">experience. Customers </w:t>
      </w:r>
      <w:r w:rsidR="00D22752" w:rsidRPr="00D22752">
        <w:rPr>
          <w:rFonts w:cs="Arial"/>
          <w:szCs w:val="22"/>
        </w:rPr>
        <w:t>quickly create their own energy plan and find personalized suggestions to be energy-efficient and save money. Customers learn what areas of their home use the most energy and how their energy usage breaks down into key end-use components such as heating, cooling</w:t>
      </w:r>
      <w:r w:rsidR="00A82C87">
        <w:rPr>
          <w:rFonts w:cs="Arial"/>
          <w:szCs w:val="22"/>
        </w:rPr>
        <w:t>, appliances</w:t>
      </w:r>
      <w:r w:rsidR="00D22752" w:rsidRPr="00D22752">
        <w:rPr>
          <w:rFonts w:cs="Arial"/>
          <w:szCs w:val="22"/>
        </w:rPr>
        <w:t xml:space="preserve"> and lighting. Customers answer questions about their home and usage patterns </w:t>
      </w:r>
      <w:r w:rsidR="00B71083">
        <w:rPr>
          <w:rFonts w:cs="Arial"/>
          <w:szCs w:val="22"/>
        </w:rPr>
        <w:t xml:space="preserve">to further refine tips and </w:t>
      </w:r>
      <w:r w:rsidR="00A5587B">
        <w:rPr>
          <w:rFonts w:cs="Arial"/>
          <w:szCs w:val="22"/>
        </w:rPr>
        <w:t>advic</w:t>
      </w:r>
      <w:r w:rsidR="00A5587B" w:rsidRPr="00D22752">
        <w:rPr>
          <w:rFonts w:cs="Arial"/>
          <w:szCs w:val="22"/>
        </w:rPr>
        <w:t>e</w:t>
      </w:r>
      <w:r w:rsidR="00D22752" w:rsidRPr="00D22752">
        <w:rPr>
          <w:rFonts w:cs="Arial"/>
          <w:szCs w:val="22"/>
        </w:rPr>
        <w:t>. Based on the customer’s profile and usage, tailored tips and recommendations promote and prioritize energy efficient appliances,</w:t>
      </w:r>
      <w:r w:rsidR="005534D2">
        <w:rPr>
          <w:rFonts w:cs="Arial"/>
          <w:szCs w:val="22"/>
        </w:rPr>
        <w:t xml:space="preserve"> rebates,</w:t>
      </w:r>
      <w:r w:rsidR="00D22752" w:rsidRPr="00D22752">
        <w:rPr>
          <w:rFonts w:cs="Arial"/>
          <w:szCs w:val="22"/>
        </w:rPr>
        <w:t xml:space="preserve"> </w:t>
      </w:r>
      <w:r w:rsidR="00BD0937">
        <w:rPr>
          <w:rFonts w:cs="Arial"/>
          <w:szCs w:val="22"/>
        </w:rPr>
        <w:t xml:space="preserve">services, products and programs </w:t>
      </w:r>
      <w:r w:rsidR="00B71083">
        <w:rPr>
          <w:rFonts w:cs="Arial"/>
          <w:szCs w:val="22"/>
        </w:rPr>
        <w:t>including</w:t>
      </w:r>
      <w:r w:rsidR="00D22752" w:rsidRPr="00D22752">
        <w:rPr>
          <w:rFonts w:cs="Arial"/>
          <w:szCs w:val="22"/>
        </w:rPr>
        <w:t xml:space="preserve"> Energy </w:t>
      </w:r>
      <w:proofErr w:type="spellStart"/>
      <w:r w:rsidR="00D22752" w:rsidRPr="00D22752">
        <w:rPr>
          <w:rFonts w:cs="Arial"/>
          <w:szCs w:val="22"/>
        </w:rPr>
        <w:t>Upgrade</w:t>
      </w:r>
      <w:r w:rsidR="00D22752" w:rsidRPr="00A5587B">
        <w:rPr>
          <w:rFonts w:cs="Arial"/>
          <w:szCs w:val="22"/>
          <w:vertAlign w:val="superscript"/>
        </w:rPr>
        <w:t>TM</w:t>
      </w:r>
      <w:proofErr w:type="spellEnd"/>
      <w:r w:rsidR="00D22752" w:rsidRPr="00A5587B">
        <w:rPr>
          <w:rFonts w:cs="Arial"/>
          <w:szCs w:val="22"/>
          <w:vertAlign w:val="superscript"/>
        </w:rPr>
        <w:t xml:space="preserve"> </w:t>
      </w:r>
      <w:r w:rsidR="00D22752" w:rsidRPr="00D22752">
        <w:rPr>
          <w:rFonts w:cs="Arial"/>
          <w:szCs w:val="22"/>
        </w:rPr>
        <w:t>California.</w:t>
      </w:r>
      <w:r w:rsidRPr="00E66633">
        <w:rPr>
          <w:rFonts w:cs="Arial"/>
          <w:szCs w:val="22"/>
        </w:rPr>
        <w:t>  Overall, the Home Energy Checkup aims to increase customer awareness of energy efficiency measures, induce behavioral changes and energy efficient purchases and retrofits, and prompt participation in other energy efficiency programs.</w:t>
      </w:r>
    </w:p>
    <w:p w14:paraId="5A29938D" w14:textId="77777777" w:rsidR="00DC638E" w:rsidRPr="00E66633" w:rsidRDefault="00DC638E" w:rsidP="00DC638E">
      <w:pPr>
        <w:rPr>
          <w:rFonts w:cs="Arial"/>
          <w:szCs w:val="22"/>
        </w:rPr>
      </w:pPr>
    </w:p>
    <w:p w14:paraId="080E8090" w14:textId="503E0BE3" w:rsidR="00DC638E" w:rsidRPr="0006073E" w:rsidRDefault="00DC638E" w:rsidP="00DC638E">
      <w:pPr>
        <w:rPr>
          <w:rFonts w:cs="Arial"/>
          <w:szCs w:val="22"/>
        </w:rPr>
      </w:pPr>
      <w:r w:rsidRPr="00E66633">
        <w:rPr>
          <w:rFonts w:cs="Arial"/>
          <w:szCs w:val="22"/>
        </w:rPr>
        <w:t>To use the Home Energy Checkup, customers must log into their online PG&amp;E account called My Energy. Within My Energy customers can learn about their rate options (including Smart Rates), analyze their historical usage and compare usage to similar and energy efficient homes and calculate solar benefits. Customers can see a comprehensive list of ideas and advise to reduce the unnecessary use of energy. Answering questions within the Home Energy Checkup will further refine the recommendations. Customers see how many other people already took action for each suggestion, and add recommendations to create their own</w:t>
      </w:r>
      <w:r w:rsidR="001610CB">
        <w:rPr>
          <w:rFonts w:cs="Arial"/>
          <w:szCs w:val="22"/>
        </w:rPr>
        <w:t xml:space="preserve"> short-term and long-term</w:t>
      </w:r>
      <w:r w:rsidRPr="00E66633">
        <w:rPr>
          <w:rFonts w:cs="Arial"/>
          <w:szCs w:val="22"/>
        </w:rPr>
        <w:t xml:space="preserve"> plan of action.</w:t>
      </w:r>
      <w:r w:rsidR="00BD0937" w:rsidRPr="00A5587B">
        <w:rPr>
          <w:rFonts w:cs="Arial"/>
          <w:szCs w:val="22"/>
        </w:rPr>
        <w:t xml:space="preserve"> Behavior change techniques like feedback and social norms are incorporated throughout the Home Energy Checkup.</w:t>
      </w:r>
    </w:p>
    <w:p w14:paraId="513D34F1" w14:textId="77777777" w:rsidR="00DC638E" w:rsidRPr="00A5587B" w:rsidRDefault="00DC638E" w:rsidP="00DC638E">
      <w:pPr>
        <w:rPr>
          <w:rFonts w:cs="Arial"/>
          <w:szCs w:val="22"/>
        </w:rPr>
      </w:pPr>
    </w:p>
    <w:p w14:paraId="3424DCBD" w14:textId="77777777" w:rsidR="00DC638E" w:rsidRDefault="00DC638E" w:rsidP="00DC638E">
      <w:pPr>
        <w:rPr>
          <w:b/>
          <w:bCs/>
          <w:i/>
          <w:iCs/>
        </w:rPr>
      </w:pPr>
      <w:r>
        <w:rPr>
          <w:b/>
          <w:bCs/>
          <w:i/>
          <w:iCs/>
        </w:rPr>
        <w:t>Program Restrictions and Guidelines</w:t>
      </w:r>
    </w:p>
    <w:p w14:paraId="05351AAD" w14:textId="31389707" w:rsidR="00DC638E" w:rsidRDefault="00DC638E" w:rsidP="00DC638E">
      <w:r>
        <w:t xml:space="preserve">Customers using Home Energy Checkup must have either PG&amp;E gas or electric accounts under residential rates. Customers can access the Home Energy Checkup and related tools through their PGE.com website account.  </w:t>
      </w:r>
    </w:p>
    <w:p w14:paraId="614D146B" w14:textId="77777777" w:rsidR="00DC638E" w:rsidRDefault="00DC638E" w:rsidP="00DC638E">
      <w:pPr>
        <w:rPr>
          <w:b/>
          <w:bCs/>
          <w:i/>
          <w:iCs/>
        </w:rPr>
      </w:pPr>
    </w:p>
    <w:p w14:paraId="65154833" w14:textId="49153178" w:rsidR="00DC638E" w:rsidRDefault="00DC638E" w:rsidP="00DC638E">
      <w:pPr>
        <w:rPr>
          <w:b/>
          <w:bCs/>
          <w:i/>
          <w:iCs/>
        </w:rPr>
      </w:pPr>
      <w:r w:rsidRPr="00E66633">
        <w:rPr>
          <w:rFonts w:eastAsiaTheme="minorHAnsi" w:cs="Arial"/>
          <w:b/>
          <w:bCs/>
          <w:szCs w:val="22"/>
        </w:rPr>
        <w:t>Terms and Conditions:</w:t>
      </w:r>
    </w:p>
    <w:p w14:paraId="7C7FCBFA" w14:textId="77777777" w:rsidR="00DC638E" w:rsidRDefault="00DC638E" w:rsidP="00DC638E">
      <w:r>
        <w:t xml:space="preserve">Customers must be Gas and / or Electric customers of PG&amp;E </w:t>
      </w:r>
    </w:p>
    <w:p w14:paraId="4DC134E6" w14:textId="77777777" w:rsidR="00DC638E" w:rsidRDefault="00DC638E" w:rsidP="00DC638E">
      <w:pPr>
        <w:rPr>
          <w:b/>
          <w:bCs/>
          <w:i/>
          <w:iCs/>
        </w:rPr>
      </w:pPr>
    </w:p>
    <w:p w14:paraId="081737CC" w14:textId="77777777" w:rsidR="00DC638E" w:rsidRDefault="00DC638E" w:rsidP="00DC638E">
      <w:pPr>
        <w:rPr>
          <w:b/>
          <w:bCs/>
          <w:i/>
          <w:iCs/>
        </w:rPr>
      </w:pPr>
      <w:r>
        <w:rPr>
          <w:b/>
          <w:bCs/>
          <w:i/>
          <w:iCs/>
        </w:rPr>
        <w:t xml:space="preserve">Market Applicability: </w:t>
      </w:r>
    </w:p>
    <w:p w14:paraId="7DC43139" w14:textId="6D8154C7" w:rsidR="00DC638E" w:rsidRDefault="00DC638E" w:rsidP="00DC638E">
      <w:r>
        <w:t>This program can be u</w:t>
      </w:r>
      <w:r w:rsidR="00BD5187">
        <w:t xml:space="preserve">tilized by all residential </w:t>
      </w:r>
      <w:proofErr w:type="gramStart"/>
      <w:r w:rsidR="00BD5187">
        <w:t>home</w:t>
      </w:r>
      <w:proofErr w:type="gramEnd"/>
      <w:r>
        <w:t xml:space="preserve"> and multifamily dwelling customers of PG&amp;E. Customers using Home Energy Checkup must have either PG&amp;E gas or electric accounts under residential rates. Customers can access the Home Energy Checkup and related tools through their PGE.com website account.  </w:t>
      </w:r>
    </w:p>
    <w:p w14:paraId="393A0AA9" w14:textId="07E630B1" w:rsidR="004D6B9E" w:rsidRPr="00197A23" w:rsidRDefault="00590929" w:rsidP="004D6B9E">
      <w:pPr>
        <w:ind w:left="360"/>
        <w:rPr>
          <w:rFonts w:cs="Arial"/>
          <w:b/>
          <w:i/>
          <w:sz w:val="20"/>
          <w:szCs w:val="20"/>
        </w:rPr>
      </w:pPr>
      <w:r>
        <w:rPr>
          <w:rFonts w:cs="Arial"/>
          <w:szCs w:val="22"/>
        </w:rPr>
        <w:t xml:space="preserve"> </w:t>
      </w:r>
    </w:p>
    <w:p w14:paraId="3BD39DF7" w14:textId="77777777" w:rsidR="00171F0F" w:rsidRDefault="00171F0F" w:rsidP="00A32AE2">
      <w:pPr>
        <w:ind w:left="360"/>
        <w:rPr>
          <w:rFonts w:cs="Arial"/>
          <w:b/>
          <w:i/>
          <w:sz w:val="20"/>
          <w:szCs w:val="20"/>
        </w:rPr>
      </w:pPr>
    </w:p>
    <w:p w14:paraId="33497175" w14:textId="405FE572" w:rsidR="00503A6A" w:rsidRPr="00A043DF" w:rsidRDefault="00503A6A" w:rsidP="00171F0F">
      <w:pPr>
        <w:pStyle w:val="ListParagraph"/>
        <w:spacing w:after="200" w:line="276" w:lineRule="auto"/>
        <w:ind w:left="1080"/>
        <w:rPr>
          <w:rFonts w:eastAsiaTheme="minorHAnsi" w:cs="Arial"/>
          <w:szCs w:val="22"/>
        </w:rPr>
      </w:pPr>
    </w:p>
    <w:p w14:paraId="357E9E5F" w14:textId="77777777" w:rsidR="00503A6A" w:rsidRPr="00881CAA" w:rsidRDefault="00503A6A" w:rsidP="00881CAA">
      <w:pPr>
        <w:tabs>
          <w:tab w:val="left" w:pos="0"/>
        </w:tabs>
        <w:rPr>
          <w:rFonts w:cs="Arial"/>
          <w:sz w:val="20"/>
          <w:szCs w:val="20"/>
          <w:highlight w:val="cyan"/>
        </w:rPr>
      </w:pPr>
    </w:p>
    <w:p w14:paraId="393A0AAC" w14:textId="77777777" w:rsidR="00521920" w:rsidRPr="00806070" w:rsidRDefault="00806070" w:rsidP="004B3924">
      <w:pPr>
        <w:pStyle w:val="Heading2"/>
      </w:pPr>
      <w:bookmarkStart w:id="34" w:name="_Toc396897860"/>
      <w:r>
        <w:t xml:space="preserve">1.2 Product </w:t>
      </w:r>
      <w:r w:rsidR="00521920" w:rsidRPr="00806070">
        <w:t>Technical Description</w:t>
      </w:r>
      <w:bookmarkEnd w:id="34"/>
    </w:p>
    <w:p w14:paraId="0FF86BE6" w14:textId="6755BA39" w:rsidR="00094E29" w:rsidRDefault="005109F4" w:rsidP="00872913">
      <w:pPr>
        <w:rPr>
          <w:rFonts w:cs="Arial"/>
          <w:szCs w:val="22"/>
        </w:rPr>
      </w:pPr>
      <w:r w:rsidRPr="00871E30">
        <w:rPr>
          <w:rFonts w:cs="Arial"/>
          <w:szCs w:val="22"/>
        </w:rPr>
        <w:t>The PG&amp;E Home Energy Check</w:t>
      </w:r>
      <w:r w:rsidR="00094E29" w:rsidRPr="00871E30">
        <w:rPr>
          <w:rFonts w:cs="Arial"/>
          <w:szCs w:val="22"/>
        </w:rPr>
        <w:t>u</w:t>
      </w:r>
      <w:r w:rsidRPr="00871E30">
        <w:rPr>
          <w:rFonts w:cs="Arial"/>
          <w:szCs w:val="22"/>
        </w:rPr>
        <w:t xml:space="preserve">p is an online </w:t>
      </w:r>
      <w:r w:rsidR="00D64B7B">
        <w:rPr>
          <w:rFonts w:cs="Arial"/>
          <w:szCs w:val="22"/>
        </w:rPr>
        <w:t xml:space="preserve">web application </w:t>
      </w:r>
      <w:r w:rsidRPr="00871E30">
        <w:rPr>
          <w:rFonts w:cs="Arial"/>
          <w:szCs w:val="22"/>
        </w:rPr>
        <w:t>prov</w:t>
      </w:r>
      <w:r w:rsidR="00C21237" w:rsidRPr="00871E30">
        <w:rPr>
          <w:rFonts w:cs="Arial"/>
          <w:szCs w:val="22"/>
        </w:rPr>
        <w:t>i</w:t>
      </w:r>
      <w:r w:rsidRPr="00871E30">
        <w:rPr>
          <w:rFonts w:cs="Arial"/>
          <w:szCs w:val="22"/>
        </w:rPr>
        <w:t xml:space="preserve">ded by </w:t>
      </w:r>
      <w:proofErr w:type="spellStart"/>
      <w:r w:rsidR="00B04384" w:rsidRPr="00871E30">
        <w:rPr>
          <w:rFonts w:cs="Arial"/>
          <w:szCs w:val="22"/>
        </w:rPr>
        <w:t>O</w:t>
      </w:r>
      <w:r w:rsidR="00B04384">
        <w:rPr>
          <w:rFonts w:cs="Arial"/>
          <w:szCs w:val="22"/>
        </w:rPr>
        <w:t>p</w:t>
      </w:r>
      <w:r w:rsidR="00B04384" w:rsidRPr="00871E30">
        <w:rPr>
          <w:rFonts w:cs="Arial"/>
          <w:szCs w:val="22"/>
        </w:rPr>
        <w:t>ower</w:t>
      </w:r>
      <w:proofErr w:type="spellEnd"/>
      <w:r w:rsidR="00B04384" w:rsidRPr="00871E30">
        <w:rPr>
          <w:rFonts w:cs="Arial"/>
          <w:szCs w:val="22"/>
        </w:rPr>
        <w:t xml:space="preserve"> </w:t>
      </w:r>
      <w:r w:rsidRPr="00871E30">
        <w:rPr>
          <w:rFonts w:cs="Arial"/>
          <w:szCs w:val="22"/>
        </w:rPr>
        <w:t xml:space="preserve">under contract </w:t>
      </w:r>
      <w:r w:rsidR="00C21237" w:rsidRPr="00871E30">
        <w:rPr>
          <w:rFonts w:cs="Arial"/>
          <w:szCs w:val="22"/>
        </w:rPr>
        <w:t xml:space="preserve">to PG&amp;E </w:t>
      </w:r>
      <w:r w:rsidRPr="00871E30">
        <w:rPr>
          <w:rFonts w:cs="Arial"/>
          <w:szCs w:val="22"/>
        </w:rPr>
        <w:t>and</w:t>
      </w:r>
      <w:r w:rsidR="00D64B7B">
        <w:rPr>
          <w:rFonts w:cs="Arial"/>
          <w:szCs w:val="22"/>
        </w:rPr>
        <w:t xml:space="preserve"> available</w:t>
      </w:r>
      <w:r w:rsidRPr="00871E30">
        <w:rPr>
          <w:rFonts w:cs="Arial"/>
          <w:szCs w:val="22"/>
        </w:rPr>
        <w:t xml:space="preserve"> through the PGE website</w:t>
      </w:r>
      <w:r w:rsidR="00B04384">
        <w:rPr>
          <w:rFonts w:cs="Arial"/>
          <w:szCs w:val="22"/>
        </w:rPr>
        <w:t xml:space="preserve"> at www.pge.com</w:t>
      </w:r>
      <w:r w:rsidRPr="00871E30">
        <w:rPr>
          <w:rFonts w:cs="Arial"/>
          <w:szCs w:val="22"/>
        </w:rPr>
        <w:t xml:space="preserve">.  The </w:t>
      </w:r>
      <w:r w:rsidR="00D64B7B">
        <w:rPr>
          <w:rFonts w:cs="Arial"/>
          <w:szCs w:val="22"/>
        </w:rPr>
        <w:t>tool</w:t>
      </w:r>
      <w:r w:rsidR="00B04384">
        <w:rPr>
          <w:rFonts w:cs="Arial"/>
          <w:szCs w:val="22"/>
        </w:rPr>
        <w:t xml:space="preserve"> </w:t>
      </w:r>
      <w:r w:rsidRPr="00871E30">
        <w:rPr>
          <w:rFonts w:cs="Arial"/>
          <w:szCs w:val="22"/>
        </w:rPr>
        <w:t>accesses available information about the customer’s residence such as</w:t>
      </w:r>
      <w:r w:rsidR="001C3C00" w:rsidRPr="00871E30">
        <w:rPr>
          <w:rFonts w:cs="Arial"/>
          <w:szCs w:val="22"/>
        </w:rPr>
        <w:t xml:space="preserve"> geographic</w:t>
      </w:r>
      <w:r w:rsidRPr="00871E30">
        <w:rPr>
          <w:rFonts w:cs="Arial"/>
          <w:szCs w:val="22"/>
        </w:rPr>
        <w:t xml:space="preserve"> location, size and billing for electric and or gas services provided to the site.  The application runs through a series of choices and questions to determine</w:t>
      </w:r>
      <w:r w:rsidR="00094E29" w:rsidRPr="00871E30">
        <w:rPr>
          <w:rFonts w:cs="Arial"/>
          <w:szCs w:val="22"/>
        </w:rPr>
        <w:t>:</w:t>
      </w:r>
    </w:p>
    <w:p w14:paraId="34F7F33D" w14:textId="77777777" w:rsidR="0019390A" w:rsidRDefault="0019390A" w:rsidP="00872913">
      <w:pPr>
        <w:rPr>
          <w:rFonts w:cs="Arial"/>
          <w:szCs w:val="22"/>
        </w:rPr>
      </w:pPr>
    </w:p>
    <w:p w14:paraId="40E78FFF" w14:textId="77777777" w:rsidR="0019390A" w:rsidRDefault="0019390A" w:rsidP="00872913">
      <w:pPr>
        <w:rPr>
          <w:rFonts w:cs="Arial"/>
          <w:szCs w:val="22"/>
        </w:rPr>
        <w:sectPr w:rsidR="0019390A" w:rsidSect="006F4AD0">
          <w:footerReference w:type="default" r:id="rId24"/>
          <w:endnotePr>
            <w:numFmt w:val="decimal"/>
          </w:endnotePr>
          <w:pgSz w:w="12240" w:h="15840"/>
          <w:pgMar w:top="1440" w:right="1440" w:bottom="1440" w:left="1440" w:header="720" w:footer="720" w:gutter="0"/>
          <w:pgNumType w:start="1"/>
          <w:cols w:space="720"/>
          <w:docGrid w:linePitch="360"/>
        </w:sectPr>
      </w:pPr>
    </w:p>
    <w:p w14:paraId="6ADDD02A" w14:textId="4352BC1F" w:rsidR="0019390A" w:rsidRPr="0019390A" w:rsidRDefault="00094E29" w:rsidP="00873964">
      <w:pPr>
        <w:pStyle w:val="ListParagraph"/>
        <w:numPr>
          <w:ilvl w:val="0"/>
          <w:numId w:val="21"/>
        </w:numPr>
        <w:rPr>
          <w:rFonts w:cs="Arial"/>
          <w:szCs w:val="22"/>
          <w:u w:val="single"/>
        </w:rPr>
      </w:pPr>
      <w:r w:rsidRPr="00873964">
        <w:rPr>
          <w:rFonts w:cs="Arial"/>
          <w:szCs w:val="22"/>
        </w:rPr>
        <w:lastRenderedPageBreak/>
        <w:t>Whether or not it is a detached house</w:t>
      </w:r>
      <w:r w:rsidR="00A82C87">
        <w:rPr>
          <w:rFonts w:cs="Arial"/>
          <w:szCs w:val="22"/>
        </w:rPr>
        <w:t xml:space="preserve"> or</w:t>
      </w:r>
      <w:r w:rsidRPr="00873964">
        <w:rPr>
          <w:rFonts w:cs="Arial"/>
          <w:szCs w:val="22"/>
        </w:rPr>
        <w:t xml:space="preserve"> condominium</w:t>
      </w:r>
      <w:r w:rsidR="00A82C87">
        <w:rPr>
          <w:rFonts w:cs="Arial"/>
          <w:szCs w:val="22"/>
        </w:rPr>
        <w:t>/</w:t>
      </w:r>
      <w:r w:rsidRPr="00873964">
        <w:rPr>
          <w:rFonts w:cs="Arial"/>
          <w:szCs w:val="22"/>
        </w:rPr>
        <w:t>apartment</w:t>
      </w:r>
      <w:r w:rsidR="00F26428" w:rsidRPr="00873964">
        <w:rPr>
          <w:rFonts w:cs="Arial"/>
          <w:szCs w:val="22"/>
        </w:rPr>
        <w:t xml:space="preserve"> </w:t>
      </w:r>
      <w:r w:rsidR="00F26428">
        <w:rPr>
          <w:rFonts w:cs="Arial"/>
          <w:szCs w:val="22"/>
        </w:rPr>
        <w:t>(i.e. single family or multi-family dwelling)</w:t>
      </w:r>
    </w:p>
    <w:p w14:paraId="1EE88979" w14:textId="6DCD1109" w:rsidR="0019390A" w:rsidRPr="0019390A" w:rsidRDefault="004E3B6F" w:rsidP="00873964">
      <w:pPr>
        <w:pStyle w:val="ListParagraph"/>
        <w:numPr>
          <w:ilvl w:val="0"/>
          <w:numId w:val="21"/>
        </w:numPr>
        <w:rPr>
          <w:rFonts w:cs="Arial"/>
          <w:szCs w:val="22"/>
          <w:u w:val="single"/>
        </w:rPr>
      </w:pPr>
      <w:r w:rsidRPr="00873964">
        <w:rPr>
          <w:rFonts w:cs="Arial"/>
          <w:szCs w:val="22"/>
        </w:rPr>
        <w:t>owner or renter</w:t>
      </w:r>
    </w:p>
    <w:p w14:paraId="33F4AB7C" w14:textId="791D93D4" w:rsidR="0019390A" w:rsidRPr="0019390A" w:rsidRDefault="00A5587B" w:rsidP="00873964">
      <w:pPr>
        <w:pStyle w:val="ListParagraph"/>
        <w:numPr>
          <w:ilvl w:val="0"/>
          <w:numId w:val="21"/>
        </w:numPr>
        <w:rPr>
          <w:rFonts w:cs="Arial"/>
          <w:szCs w:val="22"/>
          <w:u w:val="single"/>
        </w:rPr>
      </w:pPr>
      <w:r w:rsidRPr="00873964">
        <w:rPr>
          <w:rFonts w:cs="Arial"/>
          <w:szCs w:val="22"/>
        </w:rPr>
        <w:t>The</w:t>
      </w:r>
      <w:r w:rsidR="00094E29" w:rsidRPr="00873964">
        <w:rPr>
          <w:rFonts w:cs="Arial"/>
          <w:szCs w:val="22"/>
        </w:rPr>
        <w:t xml:space="preserve"> number of residents in the dwelling</w:t>
      </w:r>
      <w:r w:rsidR="004E3B6F" w:rsidRPr="00873964">
        <w:rPr>
          <w:rFonts w:cs="Arial"/>
          <w:szCs w:val="22"/>
        </w:rPr>
        <w:t xml:space="preserve">.  </w:t>
      </w:r>
    </w:p>
    <w:p w14:paraId="22163156" w14:textId="77777777" w:rsidR="0019390A" w:rsidRPr="0019390A" w:rsidRDefault="00C21237" w:rsidP="00873964">
      <w:pPr>
        <w:pStyle w:val="ListParagraph"/>
        <w:numPr>
          <w:ilvl w:val="0"/>
          <w:numId w:val="21"/>
        </w:numPr>
        <w:rPr>
          <w:rFonts w:cs="Arial"/>
          <w:szCs w:val="22"/>
          <w:u w:val="single"/>
        </w:rPr>
      </w:pPr>
      <w:r w:rsidRPr="00873964">
        <w:rPr>
          <w:rFonts w:cs="Arial"/>
          <w:szCs w:val="22"/>
        </w:rPr>
        <w:t>The size of the dwelling</w:t>
      </w:r>
      <w:r w:rsidR="004E3B6F" w:rsidRPr="00873964">
        <w:rPr>
          <w:rFonts w:cs="Arial"/>
          <w:szCs w:val="22"/>
        </w:rPr>
        <w:t xml:space="preserve">, </w:t>
      </w:r>
    </w:p>
    <w:p w14:paraId="10E32CC1" w14:textId="77777777" w:rsidR="0019390A" w:rsidRPr="0019390A" w:rsidRDefault="004E3B6F" w:rsidP="00873964">
      <w:pPr>
        <w:pStyle w:val="ListParagraph"/>
        <w:numPr>
          <w:ilvl w:val="0"/>
          <w:numId w:val="21"/>
        </w:numPr>
        <w:rPr>
          <w:rFonts w:cs="Arial"/>
          <w:szCs w:val="22"/>
          <w:u w:val="single"/>
        </w:rPr>
      </w:pPr>
      <w:r w:rsidRPr="00873964">
        <w:rPr>
          <w:rFonts w:cs="Arial"/>
          <w:szCs w:val="22"/>
        </w:rPr>
        <w:t>type and age of air conditioning and heating system</w:t>
      </w:r>
      <w:r w:rsidR="001C3C00" w:rsidRPr="00873964">
        <w:rPr>
          <w:rFonts w:cs="Arial"/>
          <w:szCs w:val="22"/>
        </w:rPr>
        <w:t>s</w:t>
      </w:r>
      <w:r w:rsidRPr="00873964">
        <w:rPr>
          <w:rFonts w:cs="Arial"/>
          <w:szCs w:val="22"/>
        </w:rPr>
        <w:t xml:space="preserve">, </w:t>
      </w:r>
    </w:p>
    <w:p w14:paraId="66EAA1F9" w14:textId="12093902" w:rsidR="0019390A" w:rsidRPr="0019390A" w:rsidRDefault="0019390A" w:rsidP="0019390A">
      <w:pPr>
        <w:pStyle w:val="ListParagraph"/>
        <w:numPr>
          <w:ilvl w:val="0"/>
          <w:numId w:val="21"/>
        </w:numPr>
        <w:rPr>
          <w:rFonts w:cs="Arial"/>
          <w:sz w:val="20"/>
          <w:szCs w:val="20"/>
        </w:rPr>
      </w:pPr>
      <w:r>
        <w:rPr>
          <w:rFonts w:cs="Arial"/>
          <w:szCs w:val="22"/>
        </w:rPr>
        <w:lastRenderedPageBreak/>
        <w:t>T</w:t>
      </w:r>
      <w:r w:rsidR="004E3B6F" w:rsidRPr="00873964">
        <w:rPr>
          <w:rFonts w:cs="Arial"/>
          <w:szCs w:val="22"/>
        </w:rPr>
        <w:t>hermostat settings for winter / summer and for day / night / away from home.</w:t>
      </w:r>
      <w:r w:rsidRPr="0019390A">
        <w:rPr>
          <w:rFonts w:cs="Arial"/>
          <w:szCs w:val="22"/>
        </w:rPr>
        <w:t xml:space="preserve"> </w:t>
      </w:r>
    </w:p>
    <w:p w14:paraId="1682EAB0" w14:textId="7EBD210D" w:rsidR="0019390A" w:rsidRDefault="0019390A" w:rsidP="0019390A">
      <w:pPr>
        <w:pStyle w:val="ListParagraph"/>
        <w:numPr>
          <w:ilvl w:val="0"/>
          <w:numId w:val="21"/>
        </w:numPr>
        <w:rPr>
          <w:rFonts w:cs="Arial"/>
          <w:sz w:val="20"/>
          <w:szCs w:val="20"/>
        </w:rPr>
      </w:pPr>
      <w:r w:rsidRPr="0019390A">
        <w:rPr>
          <w:rFonts w:cs="Arial"/>
          <w:szCs w:val="22"/>
        </w:rPr>
        <w:t xml:space="preserve">The </w:t>
      </w:r>
      <w:r w:rsidR="00D64B7B">
        <w:rPr>
          <w:rFonts w:cs="Arial"/>
          <w:szCs w:val="22"/>
        </w:rPr>
        <w:t xml:space="preserve">tool </w:t>
      </w:r>
      <w:r w:rsidRPr="0019390A">
        <w:rPr>
          <w:rFonts w:cs="Arial"/>
          <w:szCs w:val="22"/>
        </w:rPr>
        <w:t xml:space="preserve"> also queries for types of appliances and electronics as well as types of lighting used inside and outside the residence</w:t>
      </w:r>
      <w:r w:rsidRPr="0019390A">
        <w:rPr>
          <w:rFonts w:cs="Arial"/>
          <w:sz w:val="20"/>
          <w:szCs w:val="20"/>
        </w:rPr>
        <w:t xml:space="preserve"> </w:t>
      </w:r>
    </w:p>
    <w:p w14:paraId="2D625007" w14:textId="11BB0A71" w:rsidR="0019390A" w:rsidRPr="0019390A" w:rsidRDefault="0019390A" w:rsidP="0019390A">
      <w:pPr>
        <w:pStyle w:val="ListParagraph"/>
        <w:numPr>
          <w:ilvl w:val="0"/>
          <w:numId w:val="21"/>
        </w:numPr>
        <w:rPr>
          <w:rFonts w:cs="Arial"/>
          <w:sz w:val="20"/>
          <w:szCs w:val="20"/>
        </w:rPr>
      </w:pPr>
      <w:r w:rsidRPr="00BF683F">
        <w:rPr>
          <w:rFonts w:cs="Arial"/>
          <w:szCs w:val="22"/>
        </w:rPr>
        <w:t xml:space="preserve">The </w:t>
      </w:r>
      <w:r w:rsidR="00D64B7B">
        <w:rPr>
          <w:rFonts w:cs="Arial"/>
          <w:szCs w:val="22"/>
        </w:rPr>
        <w:t>tool</w:t>
      </w:r>
      <w:r w:rsidR="00D64B7B" w:rsidRPr="00BF683F">
        <w:rPr>
          <w:rFonts w:cs="Arial"/>
          <w:szCs w:val="22"/>
        </w:rPr>
        <w:t xml:space="preserve"> </w:t>
      </w:r>
      <w:r w:rsidRPr="00BF683F">
        <w:rPr>
          <w:rFonts w:cs="Arial"/>
          <w:szCs w:val="22"/>
        </w:rPr>
        <w:t xml:space="preserve">provides a series of </w:t>
      </w:r>
      <w:r w:rsidR="00D64B7B">
        <w:rPr>
          <w:rFonts w:cs="Arial"/>
          <w:szCs w:val="22"/>
        </w:rPr>
        <w:t>–personalized</w:t>
      </w:r>
      <w:r w:rsidR="00D64B7B" w:rsidRPr="00BF683F">
        <w:rPr>
          <w:rFonts w:cs="Arial"/>
          <w:szCs w:val="22"/>
        </w:rPr>
        <w:t xml:space="preserve"> </w:t>
      </w:r>
      <w:r w:rsidR="00D64B7B">
        <w:rPr>
          <w:rFonts w:cs="Arial"/>
          <w:szCs w:val="22"/>
        </w:rPr>
        <w:t xml:space="preserve">no-cost, low cost and comprehensive </w:t>
      </w:r>
      <w:r w:rsidRPr="00BF683F">
        <w:rPr>
          <w:rFonts w:cs="Arial"/>
          <w:szCs w:val="22"/>
        </w:rPr>
        <w:t xml:space="preserve">recommendations </w:t>
      </w:r>
      <w:r w:rsidR="00D64B7B">
        <w:rPr>
          <w:rFonts w:cs="Arial"/>
          <w:szCs w:val="22"/>
        </w:rPr>
        <w:t xml:space="preserve">and </w:t>
      </w:r>
      <w:r w:rsidR="00A5587B">
        <w:rPr>
          <w:rFonts w:cs="Arial"/>
          <w:szCs w:val="22"/>
        </w:rPr>
        <w:t>advice</w:t>
      </w:r>
      <w:r w:rsidR="00D64B7B">
        <w:rPr>
          <w:rFonts w:cs="Arial"/>
          <w:szCs w:val="22"/>
        </w:rPr>
        <w:t xml:space="preserve"> </w:t>
      </w:r>
      <w:r w:rsidRPr="00BF683F">
        <w:rPr>
          <w:rFonts w:cs="Arial"/>
          <w:szCs w:val="22"/>
        </w:rPr>
        <w:t xml:space="preserve">based on </w:t>
      </w:r>
      <w:r w:rsidR="00D64B7B">
        <w:rPr>
          <w:rFonts w:cs="Arial"/>
          <w:szCs w:val="22"/>
        </w:rPr>
        <w:t>user</w:t>
      </w:r>
      <w:r w:rsidRPr="00BF683F">
        <w:rPr>
          <w:rFonts w:cs="Arial"/>
          <w:szCs w:val="22"/>
        </w:rPr>
        <w:t xml:space="preserve"> inputs</w:t>
      </w:r>
      <w:r w:rsidR="000A6839">
        <w:rPr>
          <w:rFonts w:cs="Arial"/>
          <w:szCs w:val="22"/>
        </w:rPr>
        <w:t>.</w:t>
      </w:r>
      <w:r w:rsidRPr="00BF683F">
        <w:rPr>
          <w:rFonts w:cs="Arial"/>
          <w:szCs w:val="22"/>
        </w:rPr>
        <w:t xml:space="preserve"> </w:t>
      </w:r>
    </w:p>
    <w:p w14:paraId="2FA4F389" w14:textId="74DDBA3E" w:rsidR="0019390A" w:rsidRPr="0058602A" w:rsidRDefault="0019390A" w:rsidP="0019390A">
      <w:pPr>
        <w:rPr>
          <w:rFonts w:cs="Arial"/>
          <w:sz w:val="20"/>
          <w:szCs w:val="20"/>
        </w:rPr>
      </w:pPr>
      <w:r w:rsidRPr="0058602A">
        <w:rPr>
          <w:rFonts w:cs="Arial"/>
          <w:sz w:val="20"/>
          <w:szCs w:val="20"/>
        </w:rPr>
        <w:t xml:space="preserve">. </w:t>
      </w:r>
      <w:r>
        <w:rPr>
          <w:noProof/>
        </w:rPr>
        <w:t xml:space="preserve"> </w:t>
      </w:r>
      <w:r w:rsidRPr="00BF773D">
        <w:rPr>
          <w:rFonts w:cs="Arial"/>
          <w:sz w:val="20"/>
          <w:szCs w:val="20"/>
        </w:rPr>
        <w:t xml:space="preserve"> </w:t>
      </w:r>
    </w:p>
    <w:p w14:paraId="13C1CE10" w14:textId="77777777" w:rsidR="0019390A" w:rsidRDefault="0019390A" w:rsidP="0019390A">
      <w:pPr>
        <w:rPr>
          <w:rFonts w:cs="Arial"/>
          <w:szCs w:val="22"/>
          <w:u w:val="single"/>
        </w:rPr>
        <w:sectPr w:rsidR="0019390A" w:rsidSect="0019390A">
          <w:endnotePr>
            <w:numFmt w:val="decimal"/>
          </w:endnotePr>
          <w:type w:val="continuous"/>
          <w:pgSz w:w="12240" w:h="15840"/>
          <w:pgMar w:top="1440" w:right="1440" w:bottom="1440" w:left="1440" w:header="720" w:footer="720" w:gutter="0"/>
          <w:pgNumType w:start="1"/>
          <w:cols w:num="2" w:space="720"/>
          <w:docGrid w:linePitch="360"/>
        </w:sectPr>
      </w:pPr>
    </w:p>
    <w:p w14:paraId="393A0AAE" w14:textId="04365D18" w:rsidR="009C5CA7" w:rsidRDefault="00873964" w:rsidP="009C5CA7">
      <w:pPr>
        <w:pStyle w:val="Heading2"/>
        <w:keepNext w:val="0"/>
      </w:pPr>
      <w:bookmarkStart w:id="35" w:name="_Toc304800203"/>
      <w:bookmarkStart w:id="36" w:name="_Toc324318339"/>
      <w:bookmarkStart w:id="37" w:name="_Toc324340483"/>
      <w:bookmarkStart w:id="38" w:name="_Toc396897861"/>
      <w:r>
        <w:lastRenderedPageBreak/>
        <w:t xml:space="preserve">1.3 Measure </w:t>
      </w:r>
      <w:r w:rsidR="002E6162">
        <w:t xml:space="preserve">Application </w:t>
      </w:r>
      <w:bookmarkEnd w:id="35"/>
      <w:r w:rsidR="002E6162">
        <w:t>Type</w:t>
      </w:r>
      <w:bookmarkEnd w:id="36"/>
      <w:bookmarkEnd w:id="37"/>
      <w:bookmarkEnd w:id="38"/>
      <w:r w:rsidR="00FA595F">
        <w:t xml:space="preserve"> </w:t>
      </w:r>
    </w:p>
    <w:p w14:paraId="393A0AB1" w14:textId="0827C45D" w:rsidR="009C5CA7" w:rsidRPr="00784500" w:rsidRDefault="00A61EEB" w:rsidP="009C5CA7">
      <w:pPr>
        <w:rPr>
          <w:rFonts w:cs="Arial"/>
          <w:sz w:val="20"/>
          <w:szCs w:val="20"/>
        </w:rPr>
      </w:pPr>
      <w:r>
        <w:rPr>
          <w:rFonts w:cs="Arial"/>
          <w:sz w:val="20"/>
          <w:szCs w:val="20"/>
        </w:rPr>
        <w:t>The measure application type for this measure is Replace on Burnout (ROB)</w:t>
      </w:r>
    </w:p>
    <w:p w14:paraId="393A0AB2" w14:textId="77777777" w:rsidR="009C5CA7" w:rsidRPr="00F65942" w:rsidRDefault="009C5CA7" w:rsidP="009C5CA7">
      <w:pPr>
        <w:rPr>
          <w:i/>
        </w:rPr>
      </w:pPr>
    </w:p>
    <w:p w14:paraId="393A0AB3" w14:textId="310195EE" w:rsidR="00BD02D0" w:rsidRPr="003541A6" w:rsidRDefault="00BD02D0" w:rsidP="00BD02D0">
      <w:pPr>
        <w:pStyle w:val="Caption"/>
        <w:keepNext/>
        <w:rPr>
          <w:rFonts w:ascii="Calibri" w:hAnsi="Calibri" w:cs="Calibri"/>
          <w:sz w:val="26"/>
          <w:szCs w:val="26"/>
        </w:rPr>
      </w:pPr>
      <w:bookmarkStart w:id="39" w:name="_Toc392687362"/>
      <w:r w:rsidRPr="003541A6">
        <w:t xml:space="preserve">Table </w:t>
      </w:r>
      <w:r w:rsidR="00F635A1">
        <w:fldChar w:fldCharType="begin"/>
      </w:r>
      <w:r w:rsidR="00F635A1">
        <w:instrText xml:space="preserve"> SEQ Table \* ARABIC </w:instrText>
      </w:r>
      <w:r w:rsidR="00F635A1">
        <w:fldChar w:fldCharType="separate"/>
      </w:r>
      <w:r w:rsidR="00C31A3A">
        <w:rPr>
          <w:noProof/>
        </w:rPr>
        <w:t>1</w:t>
      </w:r>
      <w:r w:rsidR="00F635A1">
        <w:rPr>
          <w:noProof/>
        </w:rPr>
        <w:fldChar w:fldCharType="end"/>
      </w:r>
      <w:bookmarkStart w:id="40"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0"/>
      <w:r w:rsidR="00C87539">
        <w:rPr>
          <w:rStyle w:val="EndnoteReference"/>
          <w:rFonts w:cs="Arial"/>
        </w:rPr>
        <w:endnoteReference w:id="1"/>
      </w:r>
      <w:bookmarkEnd w:id="39"/>
    </w:p>
    <w:p w14:paraId="393A0AB4" w14:textId="5BC4B375"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dentifies the measure application type in the Measure Implemen</w:t>
      </w:r>
      <w:r w:rsidR="00A64E9E">
        <w:rPr>
          <w:rFonts w:ascii="Calibri" w:hAnsi="Calibri" w:cs="Calibri"/>
          <w:i/>
          <w:iCs/>
          <w:szCs w:val="22"/>
        </w:rPr>
        <w:t>t</w:t>
      </w:r>
      <w:r w:rsidRPr="00453CE7">
        <w:rPr>
          <w:rFonts w:ascii="Calibri" w:hAnsi="Calibri" w:cs="Calibri"/>
          <w:i/>
          <w:iCs/>
          <w:szCs w:val="22"/>
        </w:rPr>
        <w:t>ation table</w:t>
      </w:r>
      <w:r w:rsidR="00B73E72">
        <w:rPr>
          <w:rFonts w:ascii="Calibri" w:hAnsi="Calibri" w:cs="Calibri"/>
          <w:i/>
          <w:iCs/>
          <w:szCs w:val="22"/>
        </w:rPr>
        <w:t xml:space="preserve"> in DEER2014</w:t>
      </w:r>
      <w:r w:rsidR="003541A6">
        <w:rPr>
          <w:rFonts w:ascii="Calibri" w:hAnsi="Calibri" w:cs="Calibri"/>
          <w:i/>
          <w:iCs/>
          <w:szCs w:val="22"/>
        </w:rPr>
        <w:t>.</w:t>
      </w:r>
      <w:proofErr w:type="gramEnd"/>
    </w:p>
    <w:tbl>
      <w:tblPr>
        <w:tblW w:w="9091" w:type="dxa"/>
        <w:tblInd w:w="108" w:type="dxa"/>
        <w:tblLook w:val="04A0" w:firstRow="1" w:lastRow="0" w:firstColumn="1" w:lastColumn="0" w:noHBand="0" w:noVBand="1"/>
      </w:tblPr>
      <w:tblGrid>
        <w:gridCol w:w="901"/>
        <w:gridCol w:w="2610"/>
        <w:gridCol w:w="5580"/>
      </w:tblGrid>
      <w:tr w:rsidR="00DC4019" w:rsidRPr="00BD02D0" w14:paraId="393A0AB8" w14:textId="77777777" w:rsidTr="009A6E94">
        <w:trPr>
          <w:trHeight w:val="287"/>
        </w:trPr>
        <w:tc>
          <w:tcPr>
            <w:tcW w:w="901"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C0" w14:textId="77777777" w:rsidTr="009A6E94">
        <w:trPr>
          <w:trHeight w:val="308"/>
        </w:trPr>
        <w:tc>
          <w:tcPr>
            <w:tcW w:w="901" w:type="dxa"/>
            <w:tcBorders>
              <w:top w:val="nil"/>
              <w:left w:val="single" w:sz="4" w:space="0" w:color="auto"/>
              <w:bottom w:val="nil"/>
              <w:right w:val="nil"/>
            </w:tcBorders>
            <w:shd w:val="clear" w:color="auto" w:fill="auto"/>
            <w:noWrap/>
            <w:vAlign w:val="center"/>
            <w:hideMark/>
          </w:tcPr>
          <w:p w14:paraId="393A0ABD" w14:textId="77777777"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281A5AC5" w:rsidR="00544873" w:rsidRPr="00071448" w:rsidRDefault="00B73E72" w:rsidP="00BD02D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14:paraId="52B7E230" w14:textId="77777777" w:rsidTr="009A6E94">
        <w:trPr>
          <w:trHeight w:val="61"/>
        </w:trPr>
        <w:tc>
          <w:tcPr>
            <w:tcW w:w="901" w:type="dxa"/>
            <w:tcBorders>
              <w:top w:val="nil"/>
              <w:left w:val="single" w:sz="4" w:space="0" w:color="auto"/>
              <w:bottom w:val="single" w:sz="4" w:space="0" w:color="auto"/>
              <w:right w:val="nil"/>
            </w:tcBorders>
            <w:shd w:val="clear" w:color="auto" w:fill="auto"/>
            <w:noWrap/>
            <w:vAlign w:val="center"/>
          </w:tcPr>
          <w:p w14:paraId="7D29B663" w14:textId="774677FC" w:rsidR="00071448" w:rsidRPr="00071448" w:rsidRDefault="00071448" w:rsidP="00F52572">
            <w:pPr>
              <w:rPr>
                <w:rFonts w:ascii="Calibri" w:hAnsi="Calibri" w:cs="Calibri"/>
                <w:szCs w:val="22"/>
              </w:rPr>
            </w:pPr>
          </w:p>
        </w:tc>
        <w:tc>
          <w:tcPr>
            <w:tcW w:w="2610" w:type="dxa"/>
            <w:tcBorders>
              <w:top w:val="nil"/>
              <w:left w:val="nil"/>
              <w:bottom w:val="single" w:sz="4" w:space="0" w:color="auto"/>
              <w:right w:val="nil"/>
            </w:tcBorders>
            <w:shd w:val="clear" w:color="auto" w:fill="auto"/>
            <w:noWrap/>
            <w:vAlign w:val="center"/>
          </w:tcPr>
          <w:p w14:paraId="4446FD62" w14:textId="2808DE57" w:rsidR="00071448" w:rsidRPr="00071448" w:rsidRDefault="00071448" w:rsidP="00F52572">
            <w:pPr>
              <w:rPr>
                <w:rFonts w:ascii="Calibri" w:hAnsi="Calibri" w:cs="Calibri"/>
                <w:szCs w:val="22"/>
              </w:rPr>
            </w:pPr>
          </w:p>
        </w:tc>
        <w:tc>
          <w:tcPr>
            <w:tcW w:w="5580" w:type="dxa"/>
            <w:tcBorders>
              <w:top w:val="nil"/>
              <w:left w:val="nil"/>
              <w:bottom w:val="single" w:sz="4" w:space="0" w:color="auto"/>
              <w:right w:val="single" w:sz="4" w:space="0" w:color="auto"/>
            </w:tcBorders>
            <w:shd w:val="clear" w:color="auto" w:fill="auto"/>
            <w:vAlign w:val="center"/>
          </w:tcPr>
          <w:p w14:paraId="72737762" w14:textId="69421ABE" w:rsidR="00071448" w:rsidRPr="00071448" w:rsidRDefault="00071448" w:rsidP="00F52572">
            <w:pPr>
              <w:rPr>
                <w:rFonts w:ascii="Calibri" w:hAnsi="Calibri" w:cs="Calibri"/>
                <w:i/>
                <w:iCs/>
                <w:szCs w:val="22"/>
              </w:rPr>
            </w:pPr>
          </w:p>
        </w:tc>
      </w:tr>
    </w:tbl>
    <w:p w14:paraId="393A0AC5" w14:textId="0C9AAD08" w:rsidR="009C5CA7" w:rsidRPr="0082183D" w:rsidRDefault="0082183D" w:rsidP="009C5CA7">
      <w:pPr>
        <w:rPr>
          <w:rFonts w:cs="Arial"/>
          <w:sz w:val="20"/>
          <w:szCs w:val="20"/>
        </w:rPr>
      </w:pPr>
      <w:r w:rsidRPr="0082183D">
        <w:rPr>
          <w:rFonts w:cs="Arial"/>
          <w:sz w:val="20"/>
          <w:szCs w:val="20"/>
        </w:rPr>
        <w:t xml:space="preserve">The </w:t>
      </w:r>
      <w:r w:rsidR="00A61EEB">
        <w:rPr>
          <w:rFonts w:cs="Arial"/>
          <w:sz w:val="20"/>
          <w:szCs w:val="20"/>
        </w:rPr>
        <w:t>Home Energy Checkup is</w:t>
      </w:r>
      <w:r>
        <w:rPr>
          <w:rFonts w:cs="Arial"/>
          <w:sz w:val="20"/>
          <w:szCs w:val="20"/>
        </w:rPr>
        <w:t xml:space="preserve"> performed on existing dwellings and provide</w:t>
      </w:r>
      <w:r w:rsidR="00A61EEB">
        <w:rPr>
          <w:rFonts w:cs="Arial"/>
          <w:sz w:val="20"/>
          <w:szCs w:val="20"/>
        </w:rPr>
        <w:t>s information</w:t>
      </w:r>
      <w:r>
        <w:rPr>
          <w:rFonts w:cs="Arial"/>
          <w:sz w:val="20"/>
          <w:szCs w:val="20"/>
        </w:rPr>
        <w:t xml:space="preserve"> about operational practices and investment measures that can save energy and cut the resident’s energy bill. </w:t>
      </w:r>
    </w:p>
    <w:p w14:paraId="393A0AC6" w14:textId="77777777" w:rsidR="00D73550" w:rsidRPr="0082183D" w:rsidRDefault="00D73550" w:rsidP="002E0043"/>
    <w:p w14:paraId="393A0AC7" w14:textId="77777777" w:rsidR="00806070" w:rsidRDefault="00806070" w:rsidP="001248A3">
      <w:pPr>
        <w:pStyle w:val="Heading2"/>
      </w:pPr>
      <w:bookmarkStart w:id="41" w:name="_Toc304800204"/>
      <w:bookmarkStart w:id="42" w:name="_Toc324318340"/>
      <w:bookmarkStart w:id="43" w:name="_Toc324340484"/>
      <w:bookmarkStart w:id="44" w:name="_Toc396897862"/>
      <w:r>
        <w:t>1.4 Product Base Case and Measure Case Data</w:t>
      </w:r>
      <w:bookmarkEnd w:id="41"/>
      <w:bookmarkEnd w:id="42"/>
      <w:bookmarkEnd w:id="43"/>
      <w:bookmarkEnd w:id="44"/>
    </w:p>
    <w:p w14:paraId="393A0AC9" w14:textId="77777777" w:rsidR="00E71EF1" w:rsidRDefault="001248A3" w:rsidP="001248A3">
      <w:pPr>
        <w:pStyle w:val="Heading2"/>
      </w:pPr>
      <w:bookmarkStart w:id="45" w:name="_Toc304800205"/>
      <w:bookmarkStart w:id="46" w:name="_Toc324318341"/>
      <w:bookmarkStart w:id="47" w:name="_Toc324340485"/>
      <w:bookmarkStart w:id="48" w:name="_Toc396897863"/>
      <w:r>
        <w:t>1.</w:t>
      </w:r>
      <w:r w:rsidR="00806070">
        <w:t>4.1</w:t>
      </w:r>
      <w:r w:rsidR="00FA595F">
        <w:t xml:space="preserve"> </w:t>
      </w:r>
      <w:r w:rsidR="00C069A2" w:rsidRPr="001248A3">
        <w:t xml:space="preserve">DEER </w:t>
      </w:r>
      <w:r w:rsidR="008C6AD1">
        <w:t>Base Case and Measure Case Information</w:t>
      </w:r>
      <w:bookmarkEnd w:id="45"/>
      <w:bookmarkEnd w:id="46"/>
      <w:bookmarkEnd w:id="47"/>
      <w:bookmarkEnd w:id="48"/>
      <w:r w:rsidR="008C6AD1">
        <w:t xml:space="preserve"> </w:t>
      </w:r>
    </w:p>
    <w:p w14:paraId="35DD65C5" w14:textId="24ECC05C" w:rsidR="00A974AC" w:rsidRPr="00A974AC" w:rsidRDefault="009C5CA7" w:rsidP="0019648A">
      <w:pPr>
        <w:numPr>
          <w:ilvl w:val="0"/>
          <w:numId w:val="10"/>
        </w:numPr>
        <w:rPr>
          <w:sz w:val="20"/>
          <w:szCs w:val="20"/>
        </w:rPr>
      </w:pPr>
      <w:r w:rsidRPr="005F64F4">
        <w:rPr>
          <w:rFonts w:cs="Arial"/>
          <w:sz w:val="20"/>
          <w:szCs w:val="20"/>
        </w:rPr>
        <w:t>The DEER</w:t>
      </w:r>
      <w:r w:rsidR="00AB68E3" w:rsidRPr="005F64F4">
        <w:rPr>
          <w:rFonts w:cs="Arial"/>
          <w:sz w:val="20"/>
          <w:szCs w:val="20"/>
        </w:rPr>
        <w:t>201</w:t>
      </w:r>
      <w:r w:rsidR="004D6B9E" w:rsidRPr="005F64F4">
        <w:rPr>
          <w:rFonts w:cs="Arial"/>
          <w:sz w:val="20"/>
          <w:szCs w:val="20"/>
        </w:rPr>
        <w:t xml:space="preserve">4 database accessed through </w:t>
      </w:r>
      <w:proofErr w:type="spellStart"/>
      <w:r w:rsidR="004D6B9E" w:rsidRPr="005F64F4">
        <w:rPr>
          <w:rFonts w:cs="Arial"/>
          <w:sz w:val="20"/>
          <w:szCs w:val="20"/>
        </w:rPr>
        <w:t>READi</w:t>
      </w:r>
      <w:proofErr w:type="spellEnd"/>
      <w:r w:rsidR="004D6B9E" w:rsidRPr="005F64F4">
        <w:rPr>
          <w:rFonts w:cs="Arial"/>
          <w:sz w:val="20"/>
          <w:szCs w:val="20"/>
        </w:rPr>
        <w:t xml:space="preserve"> v.2.0.1</w:t>
      </w:r>
      <w:r w:rsidR="00D2283C" w:rsidRPr="005F64F4">
        <w:rPr>
          <w:rStyle w:val="EndnoteReference"/>
          <w:rFonts w:cs="Arial"/>
          <w:sz w:val="20"/>
          <w:szCs w:val="20"/>
        </w:rPr>
        <w:endnoteReference w:id="2"/>
      </w:r>
      <w:r w:rsidR="00806070" w:rsidRPr="005F64F4">
        <w:rPr>
          <w:rFonts w:cs="Arial"/>
          <w:sz w:val="20"/>
          <w:szCs w:val="20"/>
        </w:rPr>
        <w:t xml:space="preserve"> </w:t>
      </w:r>
      <w:r w:rsidRPr="005F64F4">
        <w:rPr>
          <w:rFonts w:cs="Arial"/>
          <w:sz w:val="20"/>
          <w:szCs w:val="20"/>
        </w:rPr>
        <w:t xml:space="preserve">data </w:t>
      </w:r>
      <w:r w:rsidR="004D6B9E" w:rsidRPr="005F64F4">
        <w:rPr>
          <w:rFonts w:cs="Arial"/>
          <w:sz w:val="20"/>
          <w:szCs w:val="20"/>
        </w:rPr>
        <w:t>do not contain the appropriate savings information for this measure.</w:t>
      </w:r>
      <w:r w:rsidRPr="005F64F4">
        <w:rPr>
          <w:rFonts w:cs="Arial"/>
          <w:sz w:val="20"/>
          <w:szCs w:val="20"/>
        </w:rPr>
        <w:t xml:space="preserve"> </w:t>
      </w:r>
    </w:p>
    <w:p w14:paraId="5BFD8317" w14:textId="77777777" w:rsidR="00A974AC" w:rsidRPr="00A974AC" w:rsidRDefault="00A974AC" w:rsidP="00A974AC">
      <w:pPr>
        <w:ind w:left="360"/>
        <w:rPr>
          <w:sz w:val="20"/>
          <w:szCs w:val="20"/>
        </w:rPr>
      </w:pPr>
    </w:p>
    <w:p w14:paraId="00E5D466" w14:textId="10D3F6E0" w:rsidR="00A974AC" w:rsidRPr="00A974AC" w:rsidRDefault="00A974AC" w:rsidP="0019648A">
      <w:pPr>
        <w:numPr>
          <w:ilvl w:val="0"/>
          <w:numId w:val="10"/>
        </w:numPr>
        <w:rPr>
          <w:sz w:val="20"/>
          <w:szCs w:val="20"/>
        </w:rPr>
      </w:pPr>
      <w:r>
        <w:rPr>
          <w:rFonts w:cs="Arial"/>
          <w:sz w:val="20"/>
          <w:szCs w:val="20"/>
        </w:rPr>
        <w:t>The effective useful life (EUL) is 3 years based on the Energy Efficiency Policy Manual, Version 2</w:t>
      </w:r>
      <w:r w:rsidR="00BD5187">
        <w:rPr>
          <w:rFonts w:cs="Arial"/>
          <w:sz w:val="20"/>
          <w:szCs w:val="20"/>
        </w:rPr>
        <w:t xml:space="preserve">, August 2003 [A]. Versions 3, 4 </w:t>
      </w:r>
      <w:r>
        <w:rPr>
          <w:rFonts w:cs="Arial"/>
          <w:sz w:val="20"/>
          <w:szCs w:val="20"/>
        </w:rPr>
        <w:t>and 5 of the CPUC EE Policy Manual no longer list EUL values, and instead defer to DEER 2008. However, DEER does not list a measure for residential audits</w:t>
      </w:r>
      <w:r w:rsidR="00A61EEB">
        <w:rPr>
          <w:rFonts w:cs="Arial"/>
          <w:sz w:val="20"/>
          <w:szCs w:val="20"/>
        </w:rPr>
        <w:t>, or Home Energy Checkup</w:t>
      </w:r>
      <w:r>
        <w:rPr>
          <w:rFonts w:cs="Arial"/>
          <w:sz w:val="20"/>
          <w:szCs w:val="20"/>
        </w:rPr>
        <w:t xml:space="preserve">. Hence, the EUL was obtained from Version 2 of the Policy Manual. </w:t>
      </w:r>
    </w:p>
    <w:p w14:paraId="6E3122FD" w14:textId="77777777" w:rsidR="00A974AC" w:rsidRPr="00A974AC" w:rsidRDefault="00A974AC" w:rsidP="00A974AC">
      <w:pPr>
        <w:ind w:left="360"/>
        <w:rPr>
          <w:sz w:val="20"/>
          <w:szCs w:val="20"/>
        </w:rPr>
      </w:pPr>
    </w:p>
    <w:p w14:paraId="4C9C4C54" w14:textId="04F79B27" w:rsidR="00BE5E74" w:rsidRPr="005F64F4" w:rsidRDefault="00A974AC" w:rsidP="0019648A">
      <w:pPr>
        <w:numPr>
          <w:ilvl w:val="0"/>
          <w:numId w:val="10"/>
        </w:numPr>
        <w:rPr>
          <w:sz w:val="20"/>
          <w:szCs w:val="20"/>
        </w:rPr>
      </w:pPr>
      <w:r>
        <w:rPr>
          <w:rFonts w:cs="Arial"/>
          <w:sz w:val="20"/>
          <w:szCs w:val="20"/>
        </w:rPr>
        <w:t>In</w:t>
      </w:r>
      <w:r w:rsidR="00AF5B52" w:rsidRPr="005F64F4">
        <w:rPr>
          <w:rFonts w:cs="Arial"/>
          <w:sz w:val="20"/>
          <w:szCs w:val="20"/>
        </w:rPr>
        <w:t xml:space="preserve"> Service Rate </w:t>
      </w:r>
      <w:r>
        <w:rPr>
          <w:rFonts w:cs="Arial"/>
          <w:sz w:val="20"/>
          <w:szCs w:val="20"/>
        </w:rPr>
        <w:t xml:space="preserve">(ISR) </w:t>
      </w:r>
      <w:r>
        <w:rPr>
          <w:sz w:val="20"/>
          <w:szCs w:val="20"/>
        </w:rPr>
        <w:t>is</w:t>
      </w:r>
      <w:r w:rsidR="005F64F4" w:rsidRPr="005F64F4">
        <w:rPr>
          <w:sz w:val="20"/>
          <w:szCs w:val="20"/>
        </w:rPr>
        <w:t xml:space="preserve"> </w:t>
      </w:r>
      <w:r>
        <w:rPr>
          <w:sz w:val="20"/>
          <w:szCs w:val="20"/>
        </w:rPr>
        <w:t xml:space="preserve">assumed to be </w:t>
      </w:r>
      <w:r w:rsidR="00A61EEB">
        <w:rPr>
          <w:sz w:val="20"/>
          <w:szCs w:val="20"/>
        </w:rPr>
        <w:t>1.0</w:t>
      </w:r>
      <w:r>
        <w:rPr>
          <w:sz w:val="20"/>
          <w:szCs w:val="20"/>
        </w:rPr>
        <w:t xml:space="preserve"> for this measure. </w:t>
      </w:r>
    </w:p>
    <w:p w14:paraId="393A0ACD" w14:textId="77777777" w:rsidR="00AF5B52" w:rsidRDefault="00AF5B52" w:rsidP="009C5CA7">
      <w:pPr>
        <w:rPr>
          <w:highlight w:val="yellow"/>
        </w:rPr>
      </w:pPr>
    </w:p>
    <w:p w14:paraId="393A0AD5" w14:textId="6E184828" w:rsidR="009C5CA7" w:rsidRPr="00AF5B52" w:rsidRDefault="009C5CA7" w:rsidP="009C5CA7">
      <w:pPr>
        <w:rPr>
          <w:rFonts w:cs="Arial"/>
          <w:b/>
          <w:i/>
          <w:sz w:val="20"/>
          <w:szCs w:val="20"/>
        </w:rPr>
      </w:pPr>
    </w:p>
    <w:p w14:paraId="393A0AD6" w14:textId="77777777" w:rsidR="00BA7D18" w:rsidRDefault="00BA7D18" w:rsidP="009C5CA7">
      <w:pPr>
        <w:rPr>
          <w:b/>
        </w:rPr>
      </w:pPr>
    </w:p>
    <w:p w14:paraId="393A0BA9" w14:textId="77777777" w:rsidR="00765936" w:rsidRDefault="00765936" w:rsidP="00765936">
      <w:pPr>
        <w:rPr>
          <w:rFonts w:cs="Arial"/>
          <w:sz w:val="20"/>
          <w:szCs w:val="20"/>
        </w:rPr>
      </w:pPr>
    </w:p>
    <w:p w14:paraId="5009332B" w14:textId="42FA45BA" w:rsidR="006B3774" w:rsidRDefault="009C5CA7" w:rsidP="00B64AAB">
      <w:pPr>
        <w:rPr>
          <w:rFonts w:asciiTheme="minorHAnsi" w:eastAsiaTheme="minorHAnsi" w:hAnsiTheme="minorHAnsi" w:cstheme="minorBidi"/>
          <w:szCs w:val="22"/>
        </w:rPr>
      </w:pPr>
      <w:bookmarkStart w:id="49" w:name="Net_to_Gross"/>
      <w:r w:rsidRPr="008F48E1">
        <w:rPr>
          <w:rFonts w:cs="Arial"/>
          <w:b/>
          <w:sz w:val="20"/>
          <w:szCs w:val="20"/>
        </w:rPr>
        <w:t>Net-to-Gross</w:t>
      </w:r>
      <w:bookmarkEnd w:id="49"/>
      <w:r w:rsidRPr="008F48E1">
        <w:rPr>
          <w:rFonts w:cs="Arial"/>
          <w:b/>
          <w:sz w:val="20"/>
          <w:szCs w:val="20"/>
        </w:rPr>
        <w:t xml:space="preserve"> Assumption:</w:t>
      </w:r>
      <w:r w:rsidR="00437BE1">
        <w:rPr>
          <w:rFonts w:cs="Arial"/>
          <w:sz w:val="20"/>
          <w:szCs w:val="20"/>
        </w:rPr>
        <w:t xml:space="preserve"> </w:t>
      </w:r>
    </w:p>
    <w:p w14:paraId="7E537CD4" w14:textId="77777777" w:rsidR="006B3774" w:rsidRDefault="006B3774" w:rsidP="006B3774">
      <w:pPr>
        <w:rPr>
          <w:rFonts w:asciiTheme="minorHAnsi" w:eastAsiaTheme="minorHAnsi" w:hAnsiTheme="minorHAnsi" w:cstheme="minorBidi"/>
          <w:szCs w:val="22"/>
        </w:rPr>
      </w:pPr>
    </w:p>
    <w:p w14:paraId="393A0C14" w14:textId="4155A736" w:rsidR="00D719E9" w:rsidRPr="008F48E1" w:rsidRDefault="00D719E9" w:rsidP="00D719E9">
      <w:pPr>
        <w:rPr>
          <w:rFonts w:cs="Arial"/>
          <w:sz w:val="20"/>
          <w:szCs w:val="20"/>
        </w:rPr>
      </w:pPr>
      <w:r w:rsidRPr="008F48E1">
        <w:rPr>
          <w:rFonts w:cs="Arial"/>
          <w:sz w:val="20"/>
          <w:szCs w:val="20"/>
        </w:rPr>
        <w:t xml:space="preserve">Table </w:t>
      </w:r>
      <w:r w:rsidR="005C7ECF">
        <w:rPr>
          <w:rFonts w:cs="Arial"/>
          <w:sz w:val="20"/>
          <w:szCs w:val="20"/>
        </w:rPr>
        <w:t>2</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77777777" w:rsidR="00D719E9" w:rsidRPr="008F48E1" w:rsidRDefault="00D719E9" w:rsidP="00587DDD">
      <w:pPr>
        <w:pStyle w:val="Caption"/>
        <w:keepNext/>
        <w:jc w:val="center"/>
        <w:rPr>
          <w:rFonts w:cs="Arial"/>
        </w:rPr>
      </w:pPr>
      <w:bookmarkStart w:id="50" w:name="_Toc392687363"/>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C31A3A">
        <w:rPr>
          <w:rFonts w:cs="Arial"/>
          <w:noProof/>
        </w:rPr>
        <w:t>2</w:t>
      </w:r>
      <w:r w:rsidRPr="008F48E1">
        <w:rPr>
          <w:rFonts w:cs="Arial"/>
        </w:rPr>
        <w:fldChar w:fldCharType="end"/>
      </w:r>
      <w:r w:rsidR="00437BE1">
        <w:rPr>
          <w:rFonts w:cs="Arial"/>
        </w:rPr>
        <w:t xml:space="preserve"> </w:t>
      </w:r>
      <w:r w:rsidR="00B74917">
        <w:rPr>
          <w:rFonts w:cs="Arial"/>
        </w:rPr>
        <w:t xml:space="preserve">DEER </w:t>
      </w:r>
      <w:r w:rsidRPr="008F48E1">
        <w:rPr>
          <w:rFonts w:cs="Arial"/>
        </w:rPr>
        <w:t>Net-to-Gross Ratios</w:t>
      </w:r>
      <w:bookmarkEnd w:id="50"/>
    </w:p>
    <w:tbl>
      <w:tblPr>
        <w:tblW w:w="4662"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751"/>
        <w:gridCol w:w="3747"/>
        <w:gridCol w:w="902"/>
        <w:gridCol w:w="1529"/>
      </w:tblGrid>
      <w:tr w:rsidR="00EE188C" w:rsidRPr="00783DAC" w14:paraId="393A0C1A" w14:textId="77777777" w:rsidTr="00A974AC">
        <w:tc>
          <w:tcPr>
            <w:tcW w:w="1540" w:type="pct"/>
            <w:shd w:val="clear" w:color="auto" w:fill="262626"/>
          </w:tcPr>
          <w:p w14:paraId="5D8D24F4" w14:textId="77777777" w:rsidR="00EE188C" w:rsidRPr="001E4C31" w:rsidRDefault="00EE188C" w:rsidP="00587DDD">
            <w:pPr>
              <w:keepNext/>
              <w:keepLines/>
              <w:jc w:val="center"/>
              <w:rPr>
                <w:rFonts w:cs="Arial"/>
                <w:b/>
                <w:bCs/>
                <w:color w:val="F2F2F2"/>
                <w:sz w:val="20"/>
                <w:szCs w:val="20"/>
              </w:rPr>
            </w:pPr>
          </w:p>
        </w:tc>
        <w:tc>
          <w:tcPr>
            <w:tcW w:w="2098" w:type="pct"/>
            <w:shd w:val="clear" w:color="auto" w:fill="262626"/>
            <w:vAlign w:val="bottom"/>
          </w:tcPr>
          <w:p w14:paraId="393A0C17" w14:textId="1FC18161" w:rsidR="00EE188C" w:rsidRPr="001E4C31" w:rsidRDefault="00EE188C" w:rsidP="00587DDD">
            <w:pPr>
              <w:keepNext/>
              <w:keepLines/>
              <w:jc w:val="center"/>
              <w:rPr>
                <w:rFonts w:cs="Arial"/>
                <w:b/>
                <w:bCs/>
                <w:color w:val="F2F2F2"/>
                <w:sz w:val="20"/>
                <w:szCs w:val="20"/>
              </w:rPr>
            </w:pPr>
          </w:p>
        </w:tc>
        <w:tc>
          <w:tcPr>
            <w:tcW w:w="505" w:type="pct"/>
            <w:shd w:val="clear" w:color="auto" w:fill="262626"/>
            <w:vAlign w:val="bottom"/>
          </w:tcPr>
          <w:p w14:paraId="393A0C18" w14:textId="77777777" w:rsidR="00EE188C" w:rsidRPr="001E4C31" w:rsidRDefault="00EE188C" w:rsidP="00587DDD">
            <w:pPr>
              <w:keepNext/>
              <w:keepLines/>
              <w:jc w:val="center"/>
              <w:rPr>
                <w:rFonts w:cs="Arial"/>
                <w:b/>
                <w:bCs/>
                <w:color w:val="F2F2F2"/>
                <w:sz w:val="20"/>
                <w:szCs w:val="20"/>
              </w:rPr>
            </w:pPr>
          </w:p>
        </w:tc>
        <w:tc>
          <w:tcPr>
            <w:tcW w:w="856" w:type="pct"/>
            <w:shd w:val="clear" w:color="auto" w:fill="262626"/>
            <w:vAlign w:val="bottom"/>
          </w:tcPr>
          <w:p w14:paraId="4F5A33C3" w14:textId="77777777" w:rsidR="00EE188C" w:rsidRPr="001E4C31" w:rsidRDefault="00EE188C" w:rsidP="00587DDD">
            <w:pPr>
              <w:keepNext/>
              <w:keepLines/>
              <w:jc w:val="center"/>
              <w:rPr>
                <w:rFonts w:cs="Arial"/>
                <w:b/>
                <w:bCs/>
                <w:color w:val="F2F2F2"/>
                <w:sz w:val="20"/>
                <w:szCs w:val="20"/>
              </w:rPr>
            </w:pPr>
          </w:p>
        </w:tc>
      </w:tr>
      <w:tr w:rsidR="00EE188C" w:rsidRPr="00783DAC" w14:paraId="393A0C1F" w14:textId="77777777" w:rsidTr="00A974AC">
        <w:tc>
          <w:tcPr>
            <w:tcW w:w="1540" w:type="pct"/>
            <w:shd w:val="pct5" w:color="000000" w:fill="FFFFFF"/>
          </w:tcPr>
          <w:p w14:paraId="5564E428" w14:textId="77809600" w:rsidR="00EE188C" w:rsidRPr="001E4C31" w:rsidRDefault="00EE188C" w:rsidP="00587DDD">
            <w:pPr>
              <w:keepNext/>
              <w:jc w:val="center"/>
              <w:rPr>
                <w:rFonts w:cs="Arial"/>
                <w:sz w:val="20"/>
                <w:szCs w:val="20"/>
              </w:rPr>
            </w:pPr>
            <w:r>
              <w:rPr>
                <w:rFonts w:cs="Arial"/>
                <w:sz w:val="20"/>
                <w:szCs w:val="20"/>
              </w:rPr>
              <w:t>NTG ID</w:t>
            </w:r>
          </w:p>
        </w:tc>
        <w:tc>
          <w:tcPr>
            <w:tcW w:w="2098" w:type="pct"/>
            <w:shd w:val="pct5" w:color="000000" w:fill="FFFFFF"/>
            <w:vAlign w:val="bottom"/>
          </w:tcPr>
          <w:p w14:paraId="393A0C1B" w14:textId="0ACF7FC2" w:rsidR="00EE188C" w:rsidRPr="001E4C31" w:rsidRDefault="00EE188C" w:rsidP="00587DDD">
            <w:pPr>
              <w:keepNext/>
              <w:jc w:val="center"/>
              <w:rPr>
                <w:rFonts w:cs="Arial"/>
                <w:sz w:val="20"/>
                <w:szCs w:val="20"/>
              </w:rPr>
            </w:pPr>
            <w:r w:rsidRPr="001E4C31">
              <w:rPr>
                <w:rFonts w:cs="Arial"/>
                <w:sz w:val="20"/>
                <w:szCs w:val="20"/>
              </w:rPr>
              <w:t>Program Approach</w:t>
            </w:r>
          </w:p>
        </w:tc>
        <w:tc>
          <w:tcPr>
            <w:tcW w:w="505" w:type="pct"/>
            <w:shd w:val="pct5" w:color="000000" w:fill="FFFFFF"/>
            <w:vAlign w:val="bottom"/>
          </w:tcPr>
          <w:p w14:paraId="393A0C1C" w14:textId="77777777" w:rsidR="00EE188C" w:rsidRPr="001E4C31" w:rsidRDefault="00EE188C" w:rsidP="00587DDD">
            <w:pPr>
              <w:keepNext/>
              <w:jc w:val="center"/>
              <w:rPr>
                <w:rFonts w:cs="Arial"/>
                <w:sz w:val="20"/>
                <w:szCs w:val="20"/>
              </w:rPr>
            </w:pPr>
            <w:r w:rsidRPr="001E4C31">
              <w:rPr>
                <w:rFonts w:cs="Arial"/>
                <w:sz w:val="20"/>
                <w:szCs w:val="20"/>
              </w:rPr>
              <w:t>NTG</w:t>
            </w:r>
          </w:p>
        </w:tc>
        <w:tc>
          <w:tcPr>
            <w:tcW w:w="856" w:type="pct"/>
            <w:shd w:val="pct5" w:color="000000" w:fill="FFFFFF"/>
            <w:vAlign w:val="bottom"/>
          </w:tcPr>
          <w:p w14:paraId="393A0C1D" w14:textId="77777777" w:rsidR="00EE188C" w:rsidRPr="001E4C31" w:rsidRDefault="00EE188C" w:rsidP="00587DDD">
            <w:pPr>
              <w:keepNext/>
              <w:jc w:val="center"/>
              <w:rPr>
                <w:rFonts w:cs="Arial"/>
                <w:sz w:val="20"/>
                <w:szCs w:val="20"/>
              </w:rPr>
            </w:pPr>
            <w:r w:rsidRPr="001E4C31">
              <w:rPr>
                <w:rFonts w:cs="Arial"/>
                <w:sz w:val="20"/>
                <w:szCs w:val="20"/>
              </w:rPr>
              <w:t>File name</w:t>
            </w:r>
          </w:p>
        </w:tc>
      </w:tr>
      <w:tr w:rsidR="00EE188C" w:rsidRPr="00783DAC" w14:paraId="393A0C24" w14:textId="77777777" w:rsidTr="00B64AAB">
        <w:tc>
          <w:tcPr>
            <w:tcW w:w="1540" w:type="pct"/>
            <w:shd w:val="pct20" w:color="000000" w:fill="FFFFFF"/>
            <w:vAlign w:val="bottom"/>
          </w:tcPr>
          <w:p w14:paraId="71F24261" w14:textId="77777777" w:rsidR="00EE188C" w:rsidRDefault="00EE188C" w:rsidP="00B64AAB">
            <w:pPr>
              <w:jc w:val="center"/>
              <w:rPr>
                <w:rFonts w:cs="Arial"/>
                <w:color w:val="000000"/>
                <w:sz w:val="20"/>
                <w:szCs w:val="20"/>
              </w:rPr>
            </w:pPr>
            <w:r>
              <w:rPr>
                <w:rFonts w:cs="Arial"/>
                <w:color w:val="000000"/>
                <w:sz w:val="20"/>
                <w:szCs w:val="20"/>
              </w:rPr>
              <w:t>Res-Default&gt;2</w:t>
            </w:r>
          </w:p>
          <w:p w14:paraId="627D1F73" w14:textId="77777777" w:rsidR="00EE188C" w:rsidRPr="001E4C31" w:rsidRDefault="00EE188C" w:rsidP="00B64AAB">
            <w:pPr>
              <w:jc w:val="center"/>
              <w:rPr>
                <w:rFonts w:cs="Arial"/>
                <w:sz w:val="20"/>
                <w:szCs w:val="20"/>
              </w:rPr>
            </w:pPr>
          </w:p>
        </w:tc>
        <w:tc>
          <w:tcPr>
            <w:tcW w:w="2098" w:type="pct"/>
            <w:shd w:val="pct20" w:color="000000" w:fill="FFFFFF"/>
            <w:vAlign w:val="bottom"/>
          </w:tcPr>
          <w:p w14:paraId="393A0C20" w14:textId="7E8EDA62" w:rsidR="00EE188C" w:rsidRPr="001E4C31" w:rsidRDefault="00EE188C" w:rsidP="001E4C31">
            <w:pPr>
              <w:jc w:val="center"/>
              <w:rPr>
                <w:rFonts w:cs="Arial"/>
                <w:sz w:val="20"/>
                <w:szCs w:val="20"/>
              </w:rPr>
            </w:pPr>
            <w:r w:rsidRPr="005C7ECF">
              <w:rPr>
                <w:rFonts w:cs="Arial"/>
                <w:sz w:val="20"/>
                <w:szCs w:val="20"/>
              </w:rPr>
              <w:t>All other EEM with no evaluated NTGR; existing EEM with same delivery mechanism for more than 2 years</w:t>
            </w:r>
          </w:p>
        </w:tc>
        <w:tc>
          <w:tcPr>
            <w:tcW w:w="505" w:type="pct"/>
            <w:shd w:val="pct20" w:color="000000" w:fill="FFFFFF"/>
            <w:vAlign w:val="center"/>
          </w:tcPr>
          <w:p w14:paraId="393A0C21" w14:textId="0748A099" w:rsidR="00EE188C" w:rsidRPr="001E4C31" w:rsidRDefault="00EE188C" w:rsidP="00B64AAB">
            <w:pPr>
              <w:jc w:val="center"/>
              <w:rPr>
                <w:rFonts w:cs="Arial"/>
                <w:sz w:val="20"/>
                <w:szCs w:val="20"/>
              </w:rPr>
            </w:pPr>
            <w:r w:rsidRPr="00EE188C">
              <w:rPr>
                <w:rFonts w:cs="Arial"/>
                <w:sz w:val="20"/>
                <w:szCs w:val="20"/>
              </w:rPr>
              <w:t>0.55</w:t>
            </w:r>
          </w:p>
        </w:tc>
        <w:tc>
          <w:tcPr>
            <w:tcW w:w="856" w:type="pct"/>
            <w:shd w:val="pct20" w:color="000000" w:fill="FFFFFF"/>
            <w:vAlign w:val="center"/>
          </w:tcPr>
          <w:p w14:paraId="393A0C22" w14:textId="7C6372F1" w:rsidR="00EE188C" w:rsidRPr="001E4C31" w:rsidRDefault="00B64AAB" w:rsidP="00B64AAB">
            <w:pPr>
              <w:jc w:val="center"/>
              <w:rPr>
                <w:rFonts w:cs="Arial"/>
                <w:sz w:val="20"/>
                <w:szCs w:val="20"/>
              </w:rPr>
            </w:pPr>
            <w:r>
              <w:rPr>
                <w:rFonts w:cs="Arial"/>
                <w:sz w:val="20"/>
                <w:szCs w:val="20"/>
              </w:rPr>
              <w:t>DEER 2014</w:t>
            </w:r>
          </w:p>
        </w:tc>
      </w:tr>
    </w:tbl>
    <w:p w14:paraId="393A0C25" w14:textId="77777777" w:rsidR="009C5CA7" w:rsidRPr="008F48E1" w:rsidRDefault="009C5CA7" w:rsidP="009C5CA7">
      <w:pPr>
        <w:rPr>
          <w:rFonts w:cs="Arial"/>
          <w:sz w:val="20"/>
          <w:szCs w:val="20"/>
        </w:rPr>
      </w:pPr>
    </w:p>
    <w:p w14:paraId="688B4E25" w14:textId="77777777" w:rsidR="00067C6F" w:rsidRDefault="00067C6F" w:rsidP="00067C6F">
      <w:pPr>
        <w:rPr>
          <w:rFonts w:cs="Arial"/>
          <w:sz w:val="20"/>
          <w:szCs w:val="20"/>
        </w:rPr>
      </w:pPr>
    </w:p>
    <w:p w14:paraId="393A0C2D" w14:textId="77777777"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DEER Version and Impact IDs</w:t>
      </w:r>
    </w:p>
    <w:p w14:paraId="1BA607C9" w14:textId="77777777" w:rsidR="00660F6F" w:rsidRDefault="00660F6F" w:rsidP="00660F6F">
      <w:pPr>
        <w:rPr>
          <w:rFonts w:cs="Arial"/>
          <w:sz w:val="20"/>
          <w:szCs w:val="20"/>
          <w:highlight w:val="yellow"/>
        </w:rPr>
      </w:pPr>
    </w:p>
    <w:p w14:paraId="393A0C2F" w14:textId="543B2C13" w:rsidR="00FC2999" w:rsidRPr="00660F6F" w:rsidRDefault="00FC2999" w:rsidP="00FC2999">
      <w:pPr>
        <w:numPr>
          <w:ilvl w:val="0"/>
          <w:numId w:val="11"/>
        </w:numPr>
        <w:rPr>
          <w:rFonts w:cs="Arial"/>
          <w:sz w:val="20"/>
          <w:szCs w:val="20"/>
        </w:rPr>
      </w:pPr>
      <w:r w:rsidRPr="00660F6F">
        <w:rPr>
          <w:rFonts w:cs="Arial"/>
          <w:sz w:val="20"/>
          <w:szCs w:val="20"/>
        </w:rPr>
        <w:t>The Effective Useful Life estimate</w:t>
      </w:r>
      <w:r w:rsidR="00660F6F" w:rsidRPr="00660F6F">
        <w:rPr>
          <w:rFonts w:cs="Arial"/>
          <w:sz w:val="20"/>
          <w:szCs w:val="20"/>
        </w:rPr>
        <w:t xml:space="preserve"> was</w:t>
      </w:r>
      <w:r w:rsidRPr="00660F6F">
        <w:rPr>
          <w:rFonts w:cs="Arial"/>
          <w:sz w:val="20"/>
          <w:szCs w:val="20"/>
        </w:rPr>
        <w:t xml:space="preserve"> downloaded from DEER, however </w:t>
      </w:r>
      <w:r w:rsidR="00660F6F" w:rsidRPr="00660F6F">
        <w:rPr>
          <w:rFonts w:cs="Arial"/>
          <w:sz w:val="20"/>
          <w:szCs w:val="20"/>
        </w:rPr>
        <w:t>it</w:t>
      </w:r>
      <w:r w:rsidRPr="00660F6F">
        <w:rPr>
          <w:rFonts w:cs="Arial"/>
          <w:sz w:val="20"/>
          <w:szCs w:val="20"/>
        </w:rPr>
        <w:t xml:space="preserve"> differ</w:t>
      </w:r>
      <w:r w:rsidR="00660F6F" w:rsidRPr="00660F6F">
        <w:rPr>
          <w:rFonts w:cs="Arial"/>
          <w:sz w:val="20"/>
          <w:szCs w:val="20"/>
        </w:rPr>
        <w:t>s</w:t>
      </w:r>
      <w:r w:rsidRPr="00660F6F">
        <w:rPr>
          <w:rFonts w:cs="Arial"/>
          <w:sz w:val="20"/>
          <w:szCs w:val="20"/>
        </w:rPr>
        <w:t xml:space="preserve"> from the measure by;</w:t>
      </w:r>
    </w:p>
    <w:p w14:paraId="421E7CE3" w14:textId="32FA1241" w:rsidR="00660F6F" w:rsidRPr="00BB166C" w:rsidRDefault="00660F6F" w:rsidP="00BB166C">
      <w:pPr>
        <w:numPr>
          <w:ilvl w:val="2"/>
          <w:numId w:val="11"/>
        </w:numPr>
        <w:rPr>
          <w:rFonts w:cs="Arial"/>
          <w:sz w:val="20"/>
          <w:szCs w:val="20"/>
        </w:rPr>
      </w:pPr>
      <w:r w:rsidRPr="00660F6F">
        <w:rPr>
          <w:rFonts w:cs="Arial"/>
          <w:sz w:val="20"/>
          <w:szCs w:val="20"/>
        </w:rPr>
        <w:t xml:space="preserve">There is no direct reference to </w:t>
      </w:r>
      <w:r w:rsidR="00A61EEB">
        <w:rPr>
          <w:rFonts w:cs="Arial"/>
          <w:sz w:val="20"/>
          <w:szCs w:val="20"/>
        </w:rPr>
        <w:t xml:space="preserve">Home Energy Checkups or </w:t>
      </w:r>
      <w:r w:rsidRPr="00660F6F">
        <w:rPr>
          <w:rFonts w:cs="Arial"/>
          <w:sz w:val="20"/>
          <w:szCs w:val="20"/>
        </w:rPr>
        <w:t xml:space="preserve">Residential Audits in DEER. </w:t>
      </w:r>
    </w:p>
    <w:p w14:paraId="26A9DE2B" w14:textId="4C0CEA02" w:rsidR="00660F6F" w:rsidRPr="00660F6F" w:rsidRDefault="00B64AAB" w:rsidP="00FC2999">
      <w:pPr>
        <w:numPr>
          <w:ilvl w:val="2"/>
          <w:numId w:val="11"/>
        </w:numPr>
        <w:rPr>
          <w:rFonts w:cs="Arial"/>
          <w:sz w:val="20"/>
          <w:szCs w:val="20"/>
        </w:rPr>
      </w:pPr>
      <w:r>
        <w:rPr>
          <w:rFonts w:cs="Arial"/>
          <w:sz w:val="20"/>
          <w:szCs w:val="20"/>
        </w:rPr>
        <w:t>The E</w:t>
      </w:r>
      <w:r w:rsidR="00660F6F" w:rsidRPr="00660F6F">
        <w:rPr>
          <w:rFonts w:cs="Arial"/>
          <w:sz w:val="20"/>
          <w:szCs w:val="20"/>
        </w:rPr>
        <w:t xml:space="preserve">nergy </w:t>
      </w:r>
      <w:r>
        <w:rPr>
          <w:rFonts w:cs="Arial"/>
          <w:sz w:val="20"/>
          <w:szCs w:val="20"/>
        </w:rPr>
        <w:t xml:space="preserve">Policy </w:t>
      </w:r>
      <w:r w:rsidR="00660F6F" w:rsidRPr="00660F6F">
        <w:rPr>
          <w:rFonts w:cs="Arial"/>
          <w:sz w:val="20"/>
          <w:szCs w:val="20"/>
        </w:rPr>
        <w:t xml:space="preserve">Manual </w:t>
      </w:r>
      <w:r w:rsidR="00024A31">
        <w:rPr>
          <w:rFonts w:cs="Arial"/>
          <w:sz w:val="20"/>
          <w:szCs w:val="20"/>
        </w:rPr>
        <w:t xml:space="preserve">Version 2 Residential Audit value was used because it is the most recent source for a Residential Audit EUL. </w:t>
      </w:r>
    </w:p>
    <w:p w14:paraId="393A0C33" w14:textId="77777777" w:rsidR="004D7301" w:rsidRPr="00F65942" w:rsidRDefault="004D7301" w:rsidP="00FA595F">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8"/>
        <w:gridCol w:w="1230"/>
        <w:gridCol w:w="1249"/>
        <w:gridCol w:w="915"/>
        <w:gridCol w:w="922"/>
        <w:gridCol w:w="1305"/>
        <w:gridCol w:w="2667"/>
      </w:tblGrid>
      <w:tr w:rsidR="00024A31" w:rsidRPr="00783DAC" w14:paraId="393A0C3B" w14:textId="77777777" w:rsidTr="004D7301">
        <w:tc>
          <w:tcPr>
            <w:tcW w:w="0" w:type="auto"/>
            <w:shd w:val="clear" w:color="auto" w:fill="auto"/>
          </w:tcPr>
          <w:p w14:paraId="393A0C34" w14:textId="77777777" w:rsidR="004D7301" w:rsidRPr="00783DAC" w:rsidRDefault="004D7301" w:rsidP="00FC2999">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C35" w14:textId="77777777" w:rsidR="004D7301" w:rsidRPr="00783DAC" w:rsidRDefault="004D7301" w:rsidP="00FC2999">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0" w:type="auto"/>
            <w:shd w:val="clear" w:color="auto" w:fill="auto"/>
          </w:tcPr>
          <w:p w14:paraId="393A0C36" w14:textId="77777777" w:rsidR="004D7301" w:rsidRPr="00783DAC" w:rsidRDefault="004D7301" w:rsidP="00FC2999">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C37" w14:textId="77777777" w:rsidR="004D7301" w:rsidRPr="00783DAC" w:rsidRDefault="004D7301" w:rsidP="00FC2999">
            <w:pPr>
              <w:rPr>
                <w:rFonts w:cs="Arial"/>
                <w:b/>
                <w:sz w:val="20"/>
                <w:szCs w:val="20"/>
              </w:rPr>
            </w:pPr>
            <w:r>
              <w:rPr>
                <w:rFonts w:cs="Arial"/>
                <w:b/>
                <w:sz w:val="20"/>
                <w:szCs w:val="20"/>
              </w:rPr>
              <w:t>EUL (</w:t>
            </w:r>
            <w:proofErr w:type="spellStart"/>
            <w:r>
              <w:rPr>
                <w:rFonts w:cs="Arial"/>
                <w:b/>
                <w:sz w:val="20"/>
                <w:szCs w:val="20"/>
              </w:rPr>
              <w:t>yrs</w:t>
            </w:r>
            <w:proofErr w:type="spellEnd"/>
            <w:r>
              <w:rPr>
                <w:rFonts w:cs="Arial"/>
                <w:b/>
                <w:sz w:val="20"/>
                <w:szCs w:val="20"/>
              </w:rPr>
              <w:t>)</w:t>
            </w:r>
          </w:p>
        </w:tc>
        <w:tc>
          <w:tcPr>
            <w:tcW w:w="0" w:type="auto"/>
          </w:tcPr>
          <w:p w14:paraId="393A0C38" w14:textId="77777777" w:rsidR="004D7301" w:rsidRPr="00783DAC" w:rsidRDefault="004D7301" w:rsidP="00FC2999">
            <w:pPr>
              <w:rPr>
                <w:rFonts w:cs="Arial"/>
                <w:b/>
                <w:sz w:val="20"/>
                <w:szCs w:val="20"/>
              </w:rPr>
            </w:pPr>
            <w:r>
              <w:rPr>
                <w:rFonts w:cs="Arial"/>
                <w:b/>
                <w:sz w:val="20"/>
                <w:szCs w:val="20"/>
              </w:rPr>
              <w:t>RUL (</w:t>
            </w:r>
            <w:proofErr w:type="spellStart"/>
            <w:r>
              <w:rPr>
                <w:rFonts w:cs="Arial"/>
                <w:b/>
                <w:sz w:val="20"/>
                <w:szCs w:val="20"/>
              </w:rPr>
              <w:t>yrs</w:t>
            </w:r>
            <w:proofErr w:type="spellEnd"/>
            <w:r>
              <w:rPr>
                <w:rFonts w:cs="Arial"/>
                <w:b/>
                <w:sz w:val="20"/>
                <w:szCs w:val="20"/>
              </w:rPr>
              <w:t>)</w:t>
            </w:r>
          </w:p>
        </w:tc>
        <w:tc>
          <w:tcPr>
            <w:tcW w:w="0" w:type="auto"/>
            <w:shd w:val="clear" w:color="auto" w:fill="auto"/>
          </w:tcPr>
          <w:p w14:paraId="393A0C39" w14:textId="77777777" w:rsidR="004D7301" w:rsidRPr="00783DAC" w:rsidRDefault="004D7301" w:rsidP="00FC2999">
            <w:pPr>
              <w:rPr>
                <w:rFonts w:cs="Arial"/>
                <w:b/>
                <w:sz w:val="20"/>
                <w:szCs w:val="20"/>
              </w:rPr>
            </w:pPr>
            <w:r w:rsidRPr="00783DAC">
              <w:rPr>
                <w:rFonts w:cs="Arial"/>
                <w:b/>
                <w:sz w:val="20"/>
                <w:szCs w:val="20"/>
              </w:rPr>
              <w:t>DEER Version</w:t>
            </w:r>
          </w:p>
        </w:tc>
        <w:tc>
          <w:tcPr>
            <w:tcW w:w="0" w:type="auto"/>
            <w:shd w:val="clear" w:color="auto" w:fill="auto"/>
          </w:tcPr>
          <w:p w14:paraId="393A0C3A" w14:textId="63FA6AD3" w:rsidR="004D7301" w:rsidRPr="00783DAC" w:rsidRDefault="00024A31" w:rsidP="00FC2999">
            <w:pPr>
              <w:rPr>
                <w:rFonts w:cs="Arial"/>
                <w:b/>
                <w:sz w:val="20"/>
                <w:szCs w:val="20"/>
              </w:rPr>
            </w:pPr>
            <w:r>
              <w:rPr>
                <w:rFonts w:cs="Arial"/>
                <w:b/>
                <w:sz w:val="20"/>
                <w:szCs w:val="20"/>
              </w:rPr>
              <w:t>EUL ID</w:t>
            </w:r>
          </w:p>
        </w:tc>
      </w:tr>
      <w:tr w:rsidR="00024A31" w:rsidRPr="00783DAC" w14:paraId="393A0C43" w14:textId="77777777" w:rsidTr="00024A31">
        <w:tc>
          <w:tcPr>
            <w:tcW w:w="0" w:type="auto"/>
            <w:shd w:val="clear" w:color="auto" w:fill="auto"/>
            <w:vAlign w:val="center"/>
          </w:tcPr>
          <w:p w14:paraId="393A0C3C" w14:textId="6E9D6CB8" w:rsidR="004D7301" w:rsidRPr="00783DAC" w:rsidRDefault="00660F6F" w:rsidP="00024A31">
            <w:pPr>
              <w:jc w:val="center"/>
              <w:rPr>
                <w:rFonts w:cs="Arial"/>
                <w:b/>
                <w:sz w:val="20"/>
                <w:szCs w:val="20"/>
              </w:rPr>
            </w:pPr>
            <w:r>
              <w:rPr>
                <w:rFonts w:cs="Arial"/>
                <w:b/>
                <w:sz w:val="20"/>
                <w:szCs w:val="20"/>
              </w:rPr>
              <w:t>Any</w:t>
            </w:r>
          </w:p>
        </w:tc>
        <w:tc>
          <w:tcPr>
            <w:tcW w:w="0" w:type="auto"/>
            <w:shd w:val="clear" w:color="auto" w:fill="auto"/>
            <w:vAlign w:val="center"/>
          </w:tcPr>
          <w:p w14:paraId="393A0C3D" w14:textId="29C7BCA9" w:rsidR="004D7301" w:rsidRPr="00783DAC" w:rsidRDefault="00660F6F" w:rsidP="00024A31">
            <w:pPr>
              <w:jc w:val="center"/>
              <w:rPr>
                <w:rFonts w:cs="Arial"/>
                <w:b/>
                <w:sz w:val="20"/>
                <w:szCs w:val="20"/>
              </w:rPr>
            </w:pPr>
            <w:r>
              <w:rPr>
                <w:rFonts w:cs="Arial"/>
                <w:b/>
                <w:sz w:val="20"/>
                <w:szCs w:val="20"/>
              </w:rPr>
              <w:t>Any</w:t>
            </w:r>
          </w:p>
        </w:tc>
        <w:tc>
          <w:tcPr>
            <w:tcW w:w="0" w:type="auto"/>
            <w:shd w:val="clear" w:color="auto" w:fill="auto"/>
            <w:vAlign w:val="center"/>
          </w:tcPr>
          <w:p w14:paraId="393A0C3E" w14:textId="2860BA11" w:rsidR="004D7301" w:rsidRPr="00783DAC" w:rsidRDefault="00660F6F" w:rsidP="00024A31">
            <w:pPr>
              <w:jc w:val="center"/>
              <w:rPr>
                <w:rFonts w:cs="Arial"/>
                <w:b/>
                <w:sz w:val="20"/>
                <w:szCs w:val="20"/>
              </w:rPr>
            </w:pPr>
            <w:r>
              <w:rPr>
                <w:rFonts w:cs="Arial"/>
                <w:b/>
                <w:sz w:val="20"/>
                <w:szCs w:val="20"/>
              </w:rPr>
              <w:t>Any</w:t>
            </w:r>
          </w:p>
        </w:tc>
        <w:tc>
          <w:tcPr>
            <w:tcW w:w="0" w:type="auto"/>
            <w:shd w:val="clear" w:color="auto" w:fill="auto"/>
            <w:vAlign w:val="center"/>
          </w:tcPr>
          <w:p w14:paraId="393A0C3F" w14:textId="67BBC6D5" w:rsidR="004D7301" w:rsidRPr="00783DAC" w:rsidRDefault="00660F6F" w:rsidP="00024A31">
            <w:pPr>
              <w:jc w:val="center"/>
              <w:rPr>
                <w:rFonts w:cs="Arial"/>
                <w:b/>
                <w:sz w:val="20"/>
                <w:szCs w:val="20"/>
              </w:rPr>
            </w:pPr>
            <w:r>
              <w:rPr>
                <w:rFonts w:cs="Arial"/>
                <w:b/>
                <w:sz w:val="20"/>
                <w:szCs w:val="20"/>
              </w:rPr>
              <w:t>3</w:t>
            </w:r>
          </w:p>
        </w:tc>
        <w:tc>
          <w:tcPr>
            <w:tcW w:w="0" w:type="auto"/>
            <w:vAlign w:val="center"/>
          </w:tcPr>
          <w:p w14:paraId="393A0C40" w14:textId="21CEF552" w:rsidR="004D7301" w:rsidRPr="00783DAC" w:rsidRDefault="00660F6F" w:rsidP="00024A31">
            <w:pPr>
              <w:jc w:val="center"/>
              <w:rPr>
                <w:rFonts w:cs="Arial"/>
                <w:b/>
                <w:sz w:val="20"/>
                <w:szCs w:val="20"/>
              </w:rPr>
            </w:pPr>
            <w:r>
              <w:rPr>
                <w:rFonts w:cs="Arial"/>
                <w:b/>
                <w:sz w:val="20"/>
                <w:szCs w:val="20"/>
              </w:rPr>
              <w:t>1</w:t>
            </w:r>
          </w:p>
        </w:tc>
        <w:tc>
          <w:tcPr>
            <w:tcW w:w="0" w:type="auto"/>
            <w:shd w:val="clear" w:color="auto" w:fill="auto"/>
            <w:vAlign w:val="center"/>
          </w:tcPr>
          <w:p w14:paraId="393A0C41" w14:textId="0E1E1599" w:rsidR="004D7301" w:rsidRPr="00783DAC" w:rsidRDefault="00024A31" w:rsidP="00024A31">
            <w:pPr>
              <w:jc w:val="center"/>
              <w:rPr>
                <w:rFonts w:cs="Arial"/>
                <w:b/>
                <w:sz w:val="20"/>
                <w:szCs w:val="20"/>
              </w:rPr>
            </w:pPr>
            <w:r>
              <w:rPr>
                <w:rFonts w:cs="Arial"/>
                <w:b/>
                <w:sz w:val="20"/>
                <w:szCs w:val="20"/>
              </w:rPr>
              <w:t>N/A</w:t>
            </w:r>
          </w:p>
        </w:tc>
        <w:tc>
          <w:tcPr>
            <w:tcW w:w="0" w:type="auto"/>
            <w:shd w:val="clear" w:color="auto" w:fill="auto"/>
            <w:vAlign w:val="center"/>
          </w:tcPr>
          <w:p w14:paraId="52BE4076" w14:textId="18E11638" w:rsidR="00660F6F" w:rsidRDefault="00660F6F" w:rsidP="00024A31">
            <w:pPr>
              <w:jc w:val="center"/>
              <w:rPr>
                <w:rFonts w:ascii="Calibri" w:hAnsi="Calibri"/>
                <w:color w:val="000000"/>
                <w:szCs w:val="22"/>
              </w:rPr>
            </w:pPr>
            <w:r>
              <w:rPr>
                <w:rFonts w:ascii="Calibri" w:hAnsi="Calibri"/>
                <w:color w:val="000000"/>
                <w:szCs w:val="22"/>
              </w:rPr>
              <w:t>EnergyPolicyManual</w:t>
            </w:r>
            <w:r w:rsidR="00024A31">
              <w:rPr>
                <w:rFonts w:ascii="Calibri" w:hAnsi="Calibri"/>
                <w:color w:val="000000"/>
                <w:szCs w:val="22"/>
              </w:rPr>
              <w:t>V2-Audits</w:t>
            </w:r>
          </w:p>
          <w:p w14:paraId="393A0C42" w14:textId="77777777" w:rsidR="004D7301" w:rsidRPr="00783DAC" w:rsidRDefault="004D7301" w:rsidP="00024A31">
            <w:pPr>
              <w:jc w:val="center"/>
              <w:rPr>
                <w:rFonts w:cs="Arial"/>
                <w:b/>
                <w:sz w:val="20"/>
                <w:szCs w:val="20"/>
              </w:rPr>
            </w:pPr>
          </w:p>
        </w:tc>
      </w:tr>
    </w:tbl>
    <w:p w14:paraId="393A0C5C" w14:textId="77777777" w:rsidR="008F48E1" w:rsidRDefault="008F48E1" w:rsidP="00806070">
      <w:pPr>
        <w:rPr>
          <w:rFonts w:cs="Arial"/>
          <w:b/>
          <w:i/>
          <w:color w:val="FF0000"/>
        </w:rPr>
      </w:pPr>
    </w:p>
    <w:p w14:paraId="393A0C5D" w14:textId="38384EA4" w:rsidR="009C5CA7" w:rsidRDefault="00020042" w:rsidP="00660F6F">
      <w:r>
        <w:rPr>
          <w:rFonts w:cs="Arial"/>
          <w:b/>
          <w:sz w:val="20"/>
          <w:szCs w:val="20"/>
        </w:rPr>
        <w:t>In-service rate</w:t>
      </w:r>
      <w:r w:rsidR="00806070" w:rsidRPr="008F48E1">
        <w:rPr>
          <w:rFonts w:cs="Arial"/>
          <w:b/>
          <w:sz w:val="20"/>
          <w:szCs w:val="20"/>
        </w:rPr>
        <w:t>/first year installation rate</w:t>
      </w:r>
      <w:r w:rsidR="00806070" w:rsidRPr="00D76849">
        <w:t>:</w:t>
      </w:r>
      <w:r w:rsidR="00437BE1">
        <w:t xml:space="preserve"> </w:t>
      </w:r>
      <w:r w:rsidR="00660F6F">
        <w:rPr>
          <w:rFonts w:cs="Arial"/>
          <w:i/>
          <w:sz w:val="20"/>
          <w:szCs w:val="20"/>
        </w:rPr>
        <w:t xml:space="preserve">Given the fact that the customers </w:t>
      </w:r>
      <w:r w:rsidR="00D67983">
        <w:rPr>
          <w:rFonts w:cs="Arial"/>
          <w:i/>
          <w:sz w:val="20"/>
          <w:szCs w:val="20"/>
        </w:rPr>
        <w:t>self-select</w:t>
      </w:r>
      <w:r w:rsidR="00660F6F">
        <w:rPr>
          <w:rFonts w:cs="Arial"/>
          <w:i/>
          <w:sz w:val="20"/>
          <w:szCs w:val="20"/>
        </w:rPr>
        <w:t xml:space="preserve"> for the audit by accessing it on the </w:t>
      </w:r>
      <w:r w:rsidR="00535E80">
        <w:rPr>
          <w:rFonts w:cs="Arial"/>
          <w:i/>
          <w:sz w:val="20"/>
          <w:szCs w:val="20"/>
        </w:rPr>
        <w:t xml:space="preserve">website the in service rate is </w:t>
      </w:r>
      <w:r w:rsidR="00660F6F">
        <w:rPr>
          <w:rFonts w:cs="Arial"/>
          <w:i/>
          <w:sz w:val="20"/>
          <w:szCs w:val="20"/>
        </w:rPr>
        <w:t>1.0</w:t>
      </w:r>
    </w:p>
    <w:p w14:paraId="393A0C5E" w14:textId="77777777" w:rsidR="001A4516" w:rsidRDefault="001A4516" w:rsidP="009F7164">
      <w:pPr>
        <w:rPr>
          <w:b/>
          <w:color w:val="0000FF"/>
        </w:rPr>
      </w:pPr>
    </w:p>
    <w:p w14:paraId="393A0C8A" w14:textId="77777777" w:rsidR="002E0043" w:rsidRPr="00660F6F" w:rsidRDefault="001248A3" w:rsidP="002E0043">
      <w:pPr>
        <w:pStyle w:val="Heading2"/>
      </w:pPr>
      <w:bookmarkStart w:id="51" w:name="_Toc304800206"/>
      <w:bookmarkStart w:id="52" w:name="_Toc324318342"/>
      <w:bookmarkStart w:id="53" w:name="_Toc324340486"/>
      <w:bookmarkStart w:id="54" w:name="_Toc396897864"/>
      <w:r>
        <w:t>1.</w:t>
      </w:r>
      <w:r w:rsidR="00FA595F">
        <w:t>4</w:t>
      </w:r>
      <w:r w:rsidR="00793646">
        <w:t>.2</w:t>
      </w:r>
      <w:r w:rsidR="00FA595F">
        <w:t xml:space="preserve"> </w:t>
      </w:r>
      <w:r w:rsidR="00E71EF1" w:rsidRPr="001248A3">
        <w:t xml:space="preserve">Codes &amp; Standards Requirements </w:t>
      </w:r>
      <w:r w:rsidR="009C5CA7">
        <w:t xml:space="preserve">Base Case and Measure </w:t>
      </w:r>
      <w:r w:rsidR="009C5CA7" w:rsidRPr="00660F6F">
        <w:t>Information</w:t>
      </w:r>
      <w:bookmarkEnd w:id="51"/>
      <w:bookmarkEnd w:id="52"/>
      <w:bookmarkEnd w:id="53"/>
      <w:bookmarkEnd w:id="54"/>
    </w:p>
    <w:p w14:paraId="393A0C8C" w14:textId="4294D7B7" w:rsidR="00EF7590" w:rsidRPr="00660F6F" w:rsidRDefault="00EE53FF" w:rsidP="002E0043">
      <w:pPr>
        <w:rPr>
          <w:rFonts w:cs="Arial"/>
          <w:b/>
          <w:i/>
          <w:color w:val="FF0000"/>
          <w:sz w:val="20"/>
          <w:szCs w:val="20"/>
        </w:rPr>
      </w:pPr>
      <w:r w:rsidRPr="00660F6F">
        <w:rPr>
          <w:rFonts w:cs="Arial"/>
          <w:b/>
          <w:i/>
        </w:rPr>
        <w:t>Title 20:</w:t>
      </w:r>
      <w:r w:rsidRPr="00660F6F">
        <w:rPr>
          <w:rFonts w:cs="Arial"/>
        </w:rPr>
        <w:t xml:space="preserve"> </w:t>
      </w:r>
      <w:r w:rsidRPr="00660F6F">
        <w:rPr>
          <w:rFonts w:cs="Arial"/>
          <w:sz w:val="20"/>
          <w:szCs w:val="20"/>
        </w:rPr>
        <w:t>This measure do</w:t>
      </w:r>
      <w:r w:rsidR="00660F6F" w:rsidRPr="00660F6F">
        <w:rPr>
          <w:rFonts w:cs="Arial"/>
          <w:sz w:val="20"/>
          <w:szCs w:val="20"/>
        </w:rPr>
        <w:t xml:space="preserve">es </w:t>
      </w:r>
      <w:r w:rsidRPr="00660F6F">
        <w:rPr>
          <w:rFonts w:cs="Arial"/>
          <w:sz w:val="20"/>
          <w:szCs w:val="20"/>
        </w:rPr>
        <w:t>not fall under Title 20 of the California Energy Regulations.</w:t>
      </w:r>
      <w:r w:rsidR="00437BE1" w:rsidRPr="00660F6F">
        <w:rPr>
          <w:rFonts w:cs="Arial"/>
          <w:sz w:val="20"/>
          <w:szCs w:val="20"/>
        </w:rPr>
        <w:t xml:space="preserve"> </w:t>
      </w:r>
    </w:p>
    <w:p w14:paraId="393A0CB5" w14:textId="660ACBBB" w:rsidR="00EE53FF" w:rsidRPr="00660F6F" w:rsidRDefault="00EE53FF" w:rsidP="005F64F4">
      <w:pPr>
        <w:rPr>
          <w:i/>
        </w:rPr>
      </w:pPr>
      <w:r w:rsidRPr="00660F6F">
        <w:rPr>
          <w:rFonts w:cs="Arial"/>
          <w:b/>
          <w:i/>
        </w:rPr>
        <w:t>Title 24:</w:t>
      </w:r>
      <w:r w:rsidRPr="00660F6F">
        <w:t xml:space="preserve"> </w:t>
      </w:r>
      <w:r w:rsidR="00660F6F" w:rsidRPr="00660F6F">
        <w:rPr>
          <w:rFonts w:cs="Arial"/>
          <w:sz w:val="20"/>
          <w:szCs w:val="20"/>
        </w:rPr>
        <w:t xml:space="preserve">This measure does not fall under </w:t>
      </w:r>
      <w:r w:rsidRPr="00660F6F">
        <w:rPr>
          <w:rFonts w:cs="Arial"/>
          <w:sz w:val="20"/>
          <w:szCs w:val="20"/>
        </w:rPr>
        <w:t>fall under Title 24 of the California Energy Regulations.</w:t>
      </w:r>
      <w:r w:rsidR="00437BE1" w:rsidRPr="00660F6F">
        <w:rPr>
          <w:rFonts w:cs="Arial"/>
          <w:sz w:val="20"/>
          <w:szCs w:val="20"/>
        </w:rPr>
        <w:t xml:space="preserve"> </w:t>
      </w:r>
    </w:p>
    <w:p w14:paraId="393A0DAE" w14:textId="4AA4E53A" w:rsidR="00FA595F" w:rsidRDefault="00EE53FF" w:rsidP="005F64F4">
      <w:r w:rsidRPr="00660F6F">
        <w:rPr>
          <w:rFonts w:cs="Arial"/>
          <w:b/>
          <w:i/>
        </w:rPr>
        <w:t>Federal Standards:</w:t>
      </w:r>
      <w:r w:rsidRPr="00660F6F">
        <w:t xml:space="preserve"> </w:t>
      </w:r>
      <w:r w:rsidRPr="00660F6F">
        <w:rPr>
          <w:rFonts w:cs="Arial"/>
          <w:sz w:val="20"/>
          <w:szCs w:val="20"/>
        </w:rPr>
        <w:t>This</w:t>
      </w:r>
      <w:r w:rsidR="00660F6F" w:rsidRPr="00660F6F">
        <w:rPr>
          <w:rFonts w:cs="Arial"/>
          <w:sz w:val="20"/>
          <w:szCs w:val="20"/>
        </w:rPr>
        <w:t xml:space="preserve"> </w:t>
      </w:r>
      <w:r w:rsidRPr="00660F6F">
        <w:rPr>
          <w:rFonts w:cs="Arial"/>
          <w:sz w:val="20"/>
          <w:szCs w:val="20"/>
        </w:rPr>
        <w:t>measure(s) do</w:t>
      </w:r>
      <w:r w:rsidR="00660F6F" w:rsidRPr="00660F6F">
        <w:rPr>
          <w:rFonts w:cs="Arial"/>
          <w:sz w:val="20"/>
          <w:szCs w:val="20"/>
        </w:rPr>
        <w:t xml:space="preserve">es </w:t>
      </w:r>
      <w:r w:rsidRPr="00660F6F">
        <w:rPr>
          <w:rFonts w:cs="Arial"/>
          <w:sz w:val="20"/>
          <w:szCs w:val="20"/>
        </w:rPr>
        <w:t>fall under Federal DOE or EPA Energy Regulations.</w:t>
      </w:r>
      <w:r w:rsidR="00437BE1" w:rsidRPr="00660F6F">
        <w:rPr>
          <w:rFonts w:cs="Arial"/>
          <w:sz w:val="20"/>
          <w:szCs w:val="20"/>
        </w:rPr>
        <w:t xml:space="preserve"> </w:t>
      </w:r>
    </w:p>
    <w:p w14:paraId="393A0DAF" w14:textId="77777777" w:rsidR="002E0043" w:rsidRDefault="001248A3" w:rsidP="002E0043">
      <w:pPr>
        <w:pStyle w:val="Heading2"/>
        <w:keepNext w:val="0"/>
      </w:pPr>
      <w:bookmarkStart w:id="55" w:name="_Toc304800207"/>
      <w:bookmarkStart w:id="56" w:name="_Toc324318343"/>
      <w:bookmarkStart w:id="57" w:name="_Toc324340487"/>
      <w:bookmarkStart w:id="58" w:name="_Toc396897865"/>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5"/>
      <w:bookmarkEnd w:id="56"/>
      <w:bookmarkEnd w:id="57"/>
      <w:bookmarkEnd w:id="58"/>
    </w:p>
    <w:p w14:paraId="15E9020A" w14:textId="3604602C" w:rsidR="004E4AC2" w:rsidRDefault="009E2964" w:rsidP="004E4AC2">
      <w:pPr>
        <w:pStyle w:val="Default"/>
        <w:rPr>
          <w:b/>
          <w:bCs/>
          <w:sz w:val="23"/>
          <w:szCs w:val="23"/>
        </w:rPr>
      </w:pPr>
      <w:r w:rsidRPr="00C80E3F">
        <w:rPr>
          <w:b/>
          <w:i/>
        </w:rPr>
        <w:t>1.4.3.1 Study #1</w:t>
      </w:r>
      <w:r w:rsidR="00C80E3F">
        <w:rPr>
          <w:rStyle w:val="EndnoteReference"/>
          <w:b/>
          <w:i/>
        </w:rPr>
        <w:endnoteReference w:id="3"/>
      </w:r>
      <w:r w:rsidR="004E4AC2" w:rsidRPr="004E4AC2">
        <w:rPr>
          <w:b/>
          <w:bCs/>
          <w:sz w:val="23"/>
          <w:szCs w:val="23"/>
        </w:rPr>
        <w:t xml:space="preserve"> </w:t>
      </w:r>
      <w:proofErr w:type="spellStart"/>
      <w:r w:rsidR="004E4AC2">
        <w:rPr>
          <w:b/>
          <w:bCs/>
          <w:sz w:val="23"/>
          <w:szCs w:val="23"/>
        </w:rPr>
        <w:t>Itron</w:t>
      </w:r>
      <w:proofErr w:type="spellEnd"/>
      <w:r w:rsidR="004E4AC2">
        <w:rPr>
          <w:b/>
          <w:bCs/>
          <w:sz w:val="23"/>
          <w:szCs w:val="23"/>
        </w:rPr>
        <w:t>, Inc.</w:t>
      </w:r>
      <w:r w:rsidR="006F50FD">
        <w:rPr>
          <w:b/>
          <w:bCs/>
          <w:sz w:val="23"/>
          <w:szCs w:val="23"/>
        </w:rPr>
        <w:t xml:space="preserve"> --</w:t>
      </w:r>
      <w:r w:rsidR="004E4AC2" w:rsidRPr="004E4AC2">
        <w:rPr>
          <w:b/>
          <w:bCs/>
          <w:sz w:val="23"/>
          <w:szCs w:val="23"/>
        </w:rPr>
        <w:t>2010-2012 CPUC HEES</w:t>
      </w:r>
      <w:r w:rsidR="004E4AC2">
        <w:rPr>
          <w:b/>
          <w:bCs/>
          <w:sz w:val="23"/>
          <w:szCs w:val="23"/>
        </w:rPr>
        <w:t xml:space="preserve"> </w:t>
      </w:r>
      <w:r w:rsidR="004E4AC2" w:rsidRPr="004E4AC2">
        <w:rPr>
          <w:b/>
          <w:bCs/>
          <w:sz w:val="23"/>
          <w:szCs w:val="23"/>
        </w:rPr>
        <w:t>Impact Evaluation</w:t>
      </w:r>
      <w:r w:rsidR="004E4AC2">
        <w:rPr>
          <w:b/>
          <w:bCs/>
          <w:sz w:val="23"/>
          <w:szCs w:val="23"/>
        </w:rPr>
        <w:t xml:space="preserve"> </w:t>
      </w:r>
      <w:r w:rsidR="004E4AC2" w:rsidRPr="004E4AC2">
        <w:rPr>
          <w:b/>
          <w:bCs/>
          <w:sz w:val="23"/>
          <w:szCs w:val="23"/>
        </w:rPr>
        <w:t>Final Report</w:t>
      </w:r>
    </w:p>
    <w:p w14:paraId="4285E4DD" w14:textId="03D44460" w:rsidR="004E4AC2" w:rsidRPr="004E4AC2" w:rsidRDefault="006F50FD" w:rsidP="004E4AC2">
      <w:pPr>
        <w:pStyle w:val="Default"/>
        <w:rPr>
          <w:bCs/>
          <w:sz w:val="22"/>
          <w:szCs w:val="22"/>
        </w:rPr>
      </w:pPr>
      <w:r>
        <w:rPr>
          <w:bCs/>
          <w:sz w:val="22"/>
          <w:szCs w:val="22"/>
        </w:rPr>
        <w:t>T</w:t>
      </w:r>
      <w:r w:rsidR="004E4AC2" w:rsidRPr="004E4AC2">
        <w:rPr>
          <w:bCs/>
          <w:sz w:val="22"/>
          <w:szCs w:val="22"/>
        </w:rPr>
        <w:t>his report presents a summary of the results from the 2010-2012 CPUC impact evaluation of the Home Energy Efficiency Survey (HEES) program. The main goal of the HEES program is to identify energy efficient measures and practices, educate the customer, and promote cost effective energy efficiency projects. The HEES Program aims to provide valuable analysis of customer end-use systems, identification of energy efficiency opportunities, and economic information for customers to make investment decisions.</w:t>
      </w:r>
      <w:r>
        <w:rPr>
          <w:rStyle w:val="EndnoteReference"/>
          <w:bCs/>
          <w:sz w:val="22"/>
          <w:szCs w:val="22"/>
        </w:rPr>
        <w:endnoteReference w:id="4"/>
      </w:r>
    </w:p>
    <w:p w14:paraId="51BDA21D" w14:textId="1E627759" w:rsidR="006F50FD" w:rsidRDefault="006F50FD" w:rsidP="004E4AC2">
      <w:pPr>
        <w:pStyle w:val="Default"/>
        <w:rPr>
          <w:sz w:val="23"/>
          <w:szCs w:val="23"/>
        </w:rPr>
      </w:pPr>
      <w:r>
        <w:rPr>
          <w:sz w:val="23"/>
          <w:szCs w:val="23"/>
        </w:rPr>
        <w:t>The overarching goals of this impact evaluation of the statewide HEES Programs are to measure the gross and net impacts resulting from the residential</w:t>
      </w:r>
      <w:r>
        <w:rPr>
          <w:sz w:val="16"/>
          <w:szCs w:val="16"/>
        </w:rPr>
        <w:t xml:space="preserve"> </w:t>
      </w:r>
      <w:r>
        <w:rPr>
          <w:sz w:val="23"/>
          <w:szCs w:val="23"/>
        </w:rPr>
        <w:t xml:space="preserve">energy surveys; provide </w:t>
      </w:r>
      <w:r>
        <w:rPr>
          <w:sz w:val="23"/>
          <w:szCs w:val="23"/>
        </w:rPr>
        <w:lastRenderedPageBreak/>
        <w:t xml:space="preserve">feedback on the appropriateness of the recommendations customers receive as a result of the survey; evaluate the effectiveness of the program in driving customers to participate in other utility energy efficiency incentive programs; and provide recommendations on how the HEES Programs can be further improved to support the IOUs’ overall efficiency goals and objectives. Estimates of gross savings, free-ridership, and net savings (kWh, kW and </w:t>
      </w:r>
      <w:proofErr w:type="spellStart"/>
      <w:r>
        <w:rPr>
          <w:sz w:val="23"/>
          <w:szCs w:val="23"/>
        </w:rPr>
        <w:t>Therms</w:t>
      </w:r>
      <w:proofErr w:type="spellEnd"/>
      <w:r>
        <w:rPr>
          <w:sz w:val="23"/>
          <w:szCs w:val="23"/>
        </w:rPr>
        <w:t>) will be provided by utility</w:t>
      </w:r>
      <w:r>
        <w:rPr>
          <w:rStyle w:val="EndnoteReference"/>
          <w:sz w:val="23"/>
          <w:szCs w:val="23"/>
        </w:rPr>
        <w:endnoteReference w:id="5"/>
      </w:r>
      <w:r>
        <w:rPr>
          <w:sz w:val="23"/>
          <w:szCs w:val="23"/>
        </w:rPr>
        <w:t>….</w:t>
      </w:r>
    </w:p>
    <w:p w14:paraId="52326396" w14:textId="77777777" w:rsidR="00CC6E88" w:rsidRDefault="00CC6E88" w:rsidP="004E4AC2">
      <w:pPr>
        <w:pStyle w:val="Default"/>
        <w:rPr>
          <w:b/>
          <w:bCs/>
          <w:sz w:val="23"/>
          <w:szCs w:val="23"/>
        </w:rPr>
      </w:pPr>
    </w:p>
    <w:p w14:paraId="0F7B9331" w14:textId="192B4136" w:rsidR="006C3A6E" w:rsidRDefault="004C536B" w:rsidP="006C3A6E">
      <w:pPr>
        <w:pStyle w:val="Default"/>
        <w:rPr>
          <w:b/>
          <w:bCs/>
          <w:sz w:val="23"/>
          <w:szCs w:val="23"/>
        </w:rPr>
      </w:pPr>
      <w:r>
        <w:rPr>
          <w:sz w:val="23"/>
          <w:szCs w:val="23"/>
        </w:rPr>
        <w:t>The table</w:t>
      </w:r>
      <w:r w:rsidR="006C3A6E">
        <w:rPr>
          <w:sz w:val="23"/>
          <w:szCs w:val="23"/>
        </w:rPr>
        <w:t xml:space="preserve"> below summarizes the net HEES per participant savings estimates from the regression-based impact analysis assessment. These results are based on the model specification that incorporated dummy variables (as opposed to ex ante savings estimates) to control for the impacts resulting from other utility energy efficiency programs. As this table shows, HEES online program participants in PG&amp;E and SDG&amp;E service territory decreased their usage in the first year post-HEES survey by an average of 316 kWh and 294 kWh (both 3.1%), respectively. </w:t>
      </w:r>
    </w:p>
    <w:p w14:paraId="12CA756D" w14:textId="77777777" w:rsidR="006C3A6E" w:rsidRDefault="006C3A6E" w:rsidP="006C3A6E">
      <w:pPr>
        <w:pStyle w:val="Default"/>
        <w:rPr>
          <w:b/>
          <w:bCs/>
          <w:sz w:val="23"/>
          <w:szCs w:val="23"/>
        </w:rPr>
      </w:pPr>
    </w:p>
    <w:p w14:paraId="40478D90" w14:textId="078B515D" w:rsidR="004E4AC2" w:rsidRDefault="004E4AC2" w:rsidP="004E4AC2">
      <w:pPr>
        <w:pStyle w:val="Default"/>
        <w:rPr>
          <w:b/>
          <w:bCs/>
          <w:sz w:val="23"/>
          <w:szCs w:val="23"/>
        </w:rPr>
      </w:pPr>
      <w:r>
        <w:rPr>
          <w:b/>
          <w:bCs/>
          <w:sz w:val="23"/>
          <w:szCs w:val="23"/>
        </w:rPr>
        <w:t>Regression-based Estimates of First Year Net per Participant HEES Impacts</w:t>
      </w:r>
      <w:r w:rsidR="006F50FD">
        <w:rPr>
          <w:rStyle w:val="EndnoteReference"/>
          <w:b/>
          <w:bCs/>
          <w:sz w:val="23"/>
          <w:szCs w:val="23"/>
        </w:rPr>
        <w:endnoteReference w:id="6"/>
      </w:r>
      <w:r>
        <w:rPr>
          <w:b/>
          <w:bCs/>
          <w:sz w:val="23"/>
          <w:szCs w:val="23"/>
        </w:rPr>
        <w:t xml:space="preserve"> </w:t>
      </w:r>
    </w:p>
    <w:p w14:paraId="393A0DB7" w14:textId="77777777" w:rsidR="009E2964" w:rsidRDefault="009E2964" w:rsidP="00A35CF8">
      <w:pPr>
        <w:rPr>
          <w:rFonts w:cs="Arial"/>
          <w:b/>
          <w:i/>
        </w:rPr>
      </w:pPr>
    </w:p>
    <w:tbl>
      <w:tblPr>
        <w:tblStyle w:val="TableGrid"/>
        <w:tblW w:w="9576" w:type="dxa"/>
        <w:tblLayout w:type="fixed"/>
        <w:tblLook w:val="04A0" w:firstRow="1" w:lastRow="0" w:firstColumn="1" w:lastColumn="0" w:noHBand="0" w:noVBand="1"/>
      </w:tblPr>
      <w:tblGrid>
        <w:gridCol w:w="1596"/>
        <w:gridCol w:w="1596"/>
        <w:gridCol w:w="1596"/>
        <w:gridCol w:w="1596"/>
        <w:gridCol w:w="1596"/>
        <w:gridCol w:w="1596"/>
      </w:tblGrid>
      <w:tr w:rsidR="004E4AC2" w14:paraId="55ED849E" w14:textId="77777777" w:rsidTr="004E4AC2">
        <w:tc>
          <w:tcPr>
            <w:tcW w:w="1596" w:type="dxa"/>
            <w:vMerge w:val="restart"/>
          </w:tcPr>
          <w:p w14:paraId="5256691A" w14:textId="2FDE354E" w:rsidR="004E4AC2" w:rsidRDefault="004E4AC2" w:rsidP="00A35CF8">
            <w:pPr>
              <w:rPr>
                <w:rFonts w:cs="Arial"/>
                <w:b/>
                <w:i/>
                <w:sz w:val="20"/>
                <w:szCs w:val="20"/>
                <w:highlight w:val="cyan"/>
              </w:rPr>
            </w:pPr>
            <w:r>
              <w:rPr>
                <w:rFonts w:ascii="Times New Roman" w:hAnsi="Times New Roman"/>
                <w:b/>
                <w:bCs/>
                <w:sz w:val="23"/>
                <w:szCs w:val="23"/>
              </w:rPr>
              <w:t>Utility</w:t>
            </w:r>
          </w:p>
        </w:tc>
        <w:tc>
          <w:tcPr>
            <w:tcW w:w="1596" w:type="dxa"/>
            <w:vMerge w:val="restart"/>
          </w:tcPr>
          <w:p w14:paraId="7CE74F09" w14:textId="77777777" w:rsidR="004E4AC2" w:rsidRDefault="004E4AC2" w:rsidP="004E4AC2">
            <w:pPr>
              <w:pStyle w:val="Default"/>
              <w:rPr>
                <w:rFonts w:ascii="Times New Roman" w:hAnsi="Times New Roman" w:cs="Times New Roman"/>
                <w:sz w:val="23"/>
                <w:szCs w:val="23"/>
              </w:rPr>
            </w:pPr>
            <w:r>
              <w:rPr>
                <w:rFonts w:ascii="Times New Roman" w:hAnsi="Times New Roman" w:cs="Times New Roman"/>
                <w:b/>
                <w:bCs/>
                <w:sz w:val="23"/>
                <w:szCs w:val="23"/>
              </w:rPr>
              <w:t xml:space="preserve">Delivery </w:t>
            </w:r>
          </w:p>
          <w:p w14:paraId="580AFE95" w14:textId="50D00773" w:rsidR="004E4AC2" w:rsidRDefault="004E4AC2" w:rsidP="004E4AC2">
            <w:pPr>
              <w:rPr>
                <w:rFonts w:cs="Arial"/>
                <w:b/>
                <w:i/>
                <w:sz w:val="20"/>
                <w:szCs w:val="20"/>
                <w:highlight w:val="cyan"/>
              </w:rPr>
            </w:pPr>
            <w:r>
              <w:rPr>
                <w:rFonts w:ascii="Times New Roman" w:hAnsi="Times New Roman"/>
                <w:b/>
                <w:bCs/>
                <w:sz w:val="23"/>
                <w:szCs w:val="23"/>
              </w:rPr>
              <w:t>Method</w:t>
            </w:r>
          </w:p>
        </w:tc>
        <w:tc>
          <w:tcPr>
            <w:tcW w:w="3192" w:type="dxa"/>
            <w:gridSpan w:val="2"/>
          </w:tcPr>
          <w:p w14:paraId="72EDDECF" w14:textId="1EEECAED" w:rsidR="004E4AC2" w:rsidRDefault="004E4AC2" w:rsidP="00A35CF8">
            <w:pPr>
              <w:rPr>
                <w:rFonts w:cs="Arial"/>
                <w:b/>
                <w:i/>
                <w:sz w:val="20"/>
                <w:szCs w:val="20"/>
                <w:highlight w:val="cyan"/>
              </w:rPr>
            </w:pPr>
            <w:r>
              <w:rPr>
                <w:rFonts w:ascii="Times New Roman" w:hAnsi="Times New Roman"/>
                <w:b/>
                <w:bCs/>
                <w:sz w:val="23"/>
                <w:szCs w:val="23"/>
              </w:rPr>
              <w:t>Average Monthly Usage</w:t>
            </w:r>
          </w:p>
        </w:tc>
        <w:tc>
          <w:tcPr>
            <w:tcW w:w="3192" w:type="dxa"/>
            <w:gridSpan w:val="2"/>
          </w:tcPr>
          <w:p w14:paraId="7F3957E2" w14:textId="53C9CD12" w:rsidR="004E4AC2" w:rsidRDefault="004E4AC2" w:rsidP="00A35CF8">
            <w:pPr>
              <w:rPr>
                <w:rFonts w:cs="Arial"/>
                <w:b/>
                <w:i/>
                <w:sz w:val="20"/>
                <w:szCs w:val="20"/>
                <w:highlight w:val="cyan"/>
              </w:rPr>
            </w:pPr>
            <w:r>
              <w:rPr>
                <w:rFonts w:ascii="Times New Roman" w:hAnsi="Times New Roman"/>
                <w:b/>
                <w:bCs/>
                <w:sz w:val="23"/>
                <w:szCs w:val="23"/>
              </w:rPr>
              <w:t>1</w:t>
            </w:r>
            <w:r>
              <w:rPr>
                <w:rFonts w:ascii="Times New Roman" w:hAnsi="Times New Roman"/>
                <w:b/>
                <w:bCs/>
                <w:sz w:val="16"/>
                <w:szCs w:val="16"/>
              </w:rPr>
              <w:t>st</w:t>
            </w:r>
            <w:r>
              <w:rPr>
                <w:rFonts w:ascii="Times New Roman" w:hAnsi="Times New Roman"/>
                <w:b/>
                <w:bCs/>
                <w:sz w:val="23"/>
                <w:szCs w:val="23"/>
              </w:rPr>
              <w:t>-Year Net HEES Per Participant Impacts</w:t>
            </w:r>
          </w:p>
        </w:tc>
      </w:tr>
      <w:tr w:rsidR="004E4AC2" w14:paraId="1042B281" w14:textId="77777777" w:rsidTr="004E4AC2">
        <w:tc>
          <w:tcPr>
            <w:tcW w:w="1596" w:type="dxa"/>
            <w:vMerge/>
          </w:tcPr>
          <w:p w14:paraId="140583A2" w14:textId="77777777" w:rsidR="004E4AC2" w:rsidRDefault="004E4AC2" w:rsidP="00A35CF8">
            <w:pPr>
              <w:rPr>
                <w:rFonts w:cs="Arial"/>
                <w:b/>
                <w:i/>
                <w:sz w:val="20"/>
                <w:szCs w:val="20"/>
                <w:highlight w:val="cyan"/>
              </w:rPr>
            </w:pPr>
          </w:p>
        </w:tc>
        <w:tc>
          <w:tcPr>
            <w:tcW w:w="1596" w:type="dxa"/>
            <w:vMerge/>
          </w:tcPr>
          <w:p w14:paraId="32979659" w14:textId="77777777" w:rsidR="004E4AC2" w:rsidRDefault="004E4AC2" w:rsidP="00A35CF8">
            <w:pPr>
              <w:rPr>
                <w:rFonts w:cs="Arial"/>
                <w:b/>
                <w:i/>
                <w:sz w:val="20"/>
                <w:szCs w:val="20"/>
                <w:highlight w:val="cyan"/>
              </w:rPr>
            </w:pPr>
          </w:p>
        </w:tc>
        <w:tc>
          <w:tcPr>
            <w:tcW w:w="1596" w:type="dxa"/>
          </w:tcPr>
          <w:p w14:paraId="7C6FAC85" w14:textId="20B14472" w:rsidR="004E4AC2" w:rsidRDefault="004E4AC2" w:rsidP="00A35CF8">
            <w:pPr>
              <w:rPr>
                <w:rFonts w:cs="Arial"/>
                <w:b/>
                <w:i/>
                <w:sz w:val="20"/>
                <w:szCs w:val="20"/>
                <w:highlight w:val="cyan"/>
              </w:rPr>
            </w:pPr>
            <w:r>
              <w:rPr>
                <w:rFonts w:ascii="Times New Roman" w:hAnsi="Times New Roman"/>
                <w:b/>
                <w:bCs/>
                <w:sz w:val="23"/>
                <w:szCs w:val="23"/>
              </w:rPr>
              <w:t>Pre-HEES</w:t>
            </w:r>
          </w:p>
        </w:tc>
        <w:tc>
          <w:tcPr>
            <w:tcW w:w="1596" w:type="dxa"/>
          </w:tcPr>
          <w:p w14:paraId="633A6280" w14:textId="39113F6F" w:rsidR="004E4AC2" w:rsidRDefault="004E4AC2" w:rsidP="00A35CF8">
            <w:pPr>
              <w:rPr>
                <w:rFonts w:cs="Arial"/>
                <w:b/>
                <w:i/>
                <w:sz w:val="20"/>
                <w:szCs w:val="20"/>
                <w:highlight w:val="cyan"/>
              </w:rPr>
            </w:pPr>
            <w:r>
              <w:rPr>
                <w:rFonts w:ascii="Times New Roman" w:hAnsi="Times New Roman"/>
                <w:b/>
                <w:bCs/>
                <w:sz w:val="23"/>
                <w:szCs w:val="23"/>
              </w:rPr>
              <w:t>Post-HEES</w:t>
            </w:r>
          </w:p>
        </w:tc>
        <w:tc>
          <w:tcPr>
            <w:tcW w:w="1596" w:type="dxa"/>
          </w:tcPr>
          <w:p w14:paraId="51E1AFD3" w14:textId="01C8D966" w:rsidR="004E4AC2" w:rsidRDefault="004E4AC2" w:rsidP="00A35CF8">
            <w:pPr>
              <w:rPr>
                <w:rFonts w:cs="Arial"/>
                <w:b/>
                <w:i/>
                <w:sz w:val="20"/>
                <w:szCs w:val="20"/>
                <w:highlight w:val="cyan"/>
              </w:rPr>
            </w:pPr>
            <w:r>
              <w:rPr>
                <w:rFonts w:ascii="Times New Roman" w:hAnsi="Times New Roman"/>
                <w:b/>
                <w:bCs/>
                <w:sz w:val="23"/>
                <w:szCs w:val="23"/>
              </w:rPr>
              <w:t>kWh</w:t>
            </w:r>
          </w:p>
        </w:tc>
        <w:tc>
          <w:tcPr>
            <w:tcW w:w="1596" w:type="dxa"/>
          </w:tcPr>
          <w:p w14:paraId="5A231DFF" w14:textId="5C9B0A49" w:rsidR="004E4AC2" w:rsidRDefault="004E4AC2" w:rsidP="00A35CF8">
            <w:pPr>
              <w:rPr>
                <w:rFonts w:cs="Arial"/>
                <w:b/>
                <w:i/>
                <w:sz w:val="20"/>
                <w:szCs w:val="20"/>
                <w:highlight w:val="cyan"/>
              </w:rPr>
            </w:pPr>
            <w:r>
              <w:rPr>
                <w:rFonts w:ascii="Times New Roman" w:hAnsi="Times New Roman"/>
                <w:b/>
                <w:bCs/>
                <w:sz w:val="23"/>
                <w:szCs w:val="23"/>
              </w:rPr>
              <w:t>% Savings</w:t>
            </w:r>
          </w:p>
        </w:tc>
      </w:tr>
      <w:tr w:rsidR="004E4AC2" w14:paraId="723706BA" w14:textId="77777777" w:rsidTr="004E4AC2">
        <w:tc>
          <w:tcPr>
            <w:tcW w:w="1596" w:type="dxa"/>
          </w:tcPr>
          <w:p w14:paraId="69C6C3CC" w14:textId="1713A4C0" w:rsidR="004E4AC2" w:rsidRDefault="004E4AC2" w:rsidP="00A35CF8">
            <w:pPr>
              <w:rPr>
                <w:rFonts w:cs="Arial"/>
                <w:b/>
                <w:i/>
                <w:sz w:val="20"/>
                <w:szCs w:val="20"/>
                <w:highlight w:val="cyan"/>
              </w:rPr>
            </w:pPr>
            <w:r>
              <w:rPr>
                <w:rFonts w:ascii="Times New Roman" w:hAnsi="Times New Roman"/>
                <w:sz w:val="23"/>
                <w:szCs w:val="23"/>
              </w:rPr>
              <w:t>PG&amp;E</w:t>
            </w:r>
          </w:p>
        </w:tc>
        <w:tc>
          <w:tcPr>
            <w:tcW w:w="1596" w:type="dxa"/>
          </w:tcPr>
          <w:p w14:paraId="09524726" w14:textId="0AB3C76C" w:rsidR="004E4AC2" w:rsidRDefault="004E4AC2" w:rsidP="00A35CF8">
            <w:pPr>
              <w:rPr>
                <w:rFonts w:cs="Arial"/>
                <w:b/>
                <w:i/>
                <w:sz w:val="20"/>
                <w:szCs w:val="20"/>
                <w:highlight w:val="cyan"/>
              </w:rPr>
            </w:pPr>
            <w:r>
              <w:rPr>
                <w:rFonts w:ascii="Times New Roman" w:hAnsi="Times New Roman"/>
                <w:sz w:val="23"/>
                <w:szCs w:val="23"/>
              </w:rPr>
              <w:t>Online</w:t>
            </w:r>
          </w:p>
        </w:tc>
        <w:tc>
          <w:tcPr>
            <w:tcW w:w="1596" w:type="dxa"/>
          </w:tcPr>
          <w:p w14:paraId="34802EB5" w14:textId="3EACDB7D" w:rsidR="004E4AC2" w:rsidRDefault="004E4AC2" w:rsidP="00A35CF8">
            <w:pPr>
              <w:rPr>
                <w:rFonts w:cs="Arial"/>
                <w:b/>
                <w:i/>
                <w:sz w:val="20"/>
                <w:szCs w:val="20"/>
                <w:highlight w:val="cyan"/>
              </w:rPr>
            </w:pPr>
            <w:r>
              <w:rPr>
                <w:rFonts w:ascii="Times New Roman" w:hAnsi="Times New Roman"/>
                <w:sz w:val="23"/>
                <w:szCs w:val="23"/>
              </w:rPr>
              <w:t>841</w:t>
            </w:r>
          </w:p>
        </w:tc>
        <w:tc>
          <w:tcPr>
            <w:tcW w:w="1596" w:type="dxa"/>
          </w:tcPr>
          <w:p w14:paraId="348CAE8C" w14:textId="4C2D5284" w:rsidR="004E4AC2" w:rsidRDefault="004E4AC2" w:rsidP="00A35CF8">
            <w:pPr>
              <w:rPr>
                <w:rFonts w:cs="Arial"/>
                <w:b/>
                <w:i/>
                <w:sz w:val="20"/>
                <w:szCs w:val="20"/>
                <w:highlight w:val="cyan"/>
              </w:rPr>
            </w:pPr>
            <w:r>
              <w:rPr>
                <w:rFonts w:ascii="Times New Roman" w:hAnsi="Times New Roman"/>
                <w:sz w:val="23"/>
                <w:szCs w:val="23"/>
              </w:rPr>
              <w:t>811</w:t>
            </w:r>
          </w:p>
        </w:tc>
        <w:tc>
          <w:tcPr>
            <w:tcW w:w="1596" w:type="dxa"/>
          </w:tcPr>
          <w:p w14:paraId="1410EDB4" w14:textId="18599E85" w:rsidR="004E4AC2" w:rsidRDefault="004E4AC2" w:rsidP="00A35CF8">
            <w:pPr>
              <w:rPr>
                <w:rFonts w:cs="Arial"/>
                <w:b/>
                <w:i/>
                <w:sz w:val="20"/>
                <w:szCs w:val="20"/>
                <w:highlight w:val="cyan"/>
              </w:rPr>
            </w:pPr>
            <w:r>
              <w:rPr>
                <w:rFonts w:ascii="Times New Roman" w:hAnsi="Times New Roman"/>
                <w:sz w:val="23"/>
                <w:szCs w:val="23"/>
              </w:rPr>
              <w:t>316</w:t>
            </w:r>
          </w:p>
        </w:tc>
        <w:tc>
          <w:tcPr>
            <w:tcW w:w="1596" w:type="dxa"/>
          </w:tcPr>
          <w:p w14:paraId="687BD8BF" w14:textId="220ADDBB" w:rsidR="004E4AC2" w:rsidRDefault="004E4AC2" w:rsidP="00A35CF8">
            <w:pPr>
              <w:rPr>
                <w:rFonts w:cs="Arial"/>
                <w:b/>
                <w:i/>
                <w:sz w:val="20"/>
                <w:szCs w:val="20"/>
                <w:highlight w:val="cyan"/>
              </w:rPr>
            </w:pPr>
            <w:r>
              <w:rPr>
                <w:rFonts w:ascii="Times New Roman" w:hAnsi="Times New Roman"/>
                <w:sz w:val="23"/>
                <w:szCs w:val="23"/>
              </w:rPr>
              <w:t>3.1%</w:t>
            </w:r>
          </w:p>
        </w:tc>
      </w:tr>
    </w:tbl>
    <w:p w14:paraId="393A0DB8" w14:textId="77777777" w:rsidR="00432C65" w:rsidRDefault="00432C65" w:rsidP="00A35CF8">
      <w:pPr>
        <w:rPr>
          <w:rFonts w:cs="Arial"/>
          <w:b/>
          <w:i/>
          <w:sz w:val="20"/>
          <w:szCs w:val="20"/>
          <w:highlight w:val="cyan"/>
        </w:rPr>
      </w:pPr>
    </w:p>
    <w:p w14:paraId="6C731793" w14:textId="661034DD" w:rsidR="006C3A6E" w:rsidRDefault="002170CB" w:rsidP="00A35CF8">
      <w:pPr>
        <w:rPr>
          <w:b/>
          <w:bCs/>
          <w:sz w:val="23"/>
          <w:szCs w:val="23"/>
        </w:rPr>
      </w:pPr>
      <w:r>
        <w:rPr>
          <w:b/>
          <w:bCs/>
          <w:sz w:val="23"/>
          <w:szCs w:val="23"/>
        </w:rPr>
        <w:t>Regression-based Estimates of Overall First-Year Net HEES Impacts</w:t>
      </w:r>
      <w:r>
        <w:rPr>
          <w:rStyle w:val="EndnoteReference"/>
          <w:b/>
          <w:bCs/>
          <w:sz w:val="23"/>
          <w:szCs w:val="23"/>
        </w:rPr>
        <w:endnoteReference w:id="7"/>
      </w:r>
    </w:p>
    <w:p w14:paraId="544022A1" w14:textId="77777777" w:rsidR="002170CB" w:rsidRDefault="002170CB" w:rsidP="00A35CF8">
      <w:pPr>
        <w:rPr>
          <w:b/>
          <w:bCs/>
          <w:sz w:val="23"/>
          <w:szCs w:val="23"/>
        </w:rPr>
      </w:pPr>
    </w:p>
    <w:tbl>
      <w:tblPr>
        <w:tblStyle w:val="TableGrid"/>
        <w:tblW w:w="0" w:type="auto"/>
        <w:tblLook w:val="04A0" w:firstRow="1" w:lastRow="0" w:firstColumn="1" w:lastColumn="0" w:noHBand="0" w:noVBand="1"/>
      </w:tblPr>
      <w:tblGrid>
        <w:gridCol w:w="1535"/>
        <w:gridCol w:w="1536"/>
        <w:gridCol w:w="1572"/>
        <w:gridCol w:w="1840"/>
        <w:gridCol w:w="1528"/>
        <w:gridCol w:w="1565"/>
      </w:tblGrid>
      <w:tr w:rsidR="002170CB" w14:paraId="053ACDF2" w14:textId="77777777" w:rsidTr="002170CB">
        <w:tc>
          <w:tcPr>
            <w:tcW w:w="1535" w:type="dxa"/>
            <w:vMerge w:val="restart"/>
          </w:tcPr>
          <w:tbl>
            <w:tblPr>
              <w:tblW w:w="0" w:type="auto"/>
              <w:tblBorders>
                <w:top w:val="nil"/>
                <w:left w:val="nil"/>
                <w:bottom w:val="nil"/>
                <w:right w:val="nil"/>
              </w:tblBorders>
              <w:tblLook w:val="0000" w:firstRow="0" w:lastRow="0" w:firstColumn="0" w:lastColumn="0" w:noHBand="0" w:noVBand="0"/>
            </w:tblPr>
            <w:tblGrid>
              <w:gridCol w:w="772"/>
            </w:tblGrid>
            <w:tr w:rsidR="002170CB" w:rsidRPr="002170CB" w14:paraId="638E9878" w14:textId="77777777" w:rsidTr="007146E5">
              <w:trPr>
                <w:trHeight w:val="605"/>
              </w:trPr>
              <w:tc>
                <w:tcPr>
                  <w:tcW w:w="0" w:type="auto"/>
                </w:tcPr>
                <w:p w14:paraId="2B1BC62E" w14:textId="77777777" w:rsidR="002170CB" w:rsidRPr="002170CB" w:rsidRDefault="002170CB" w:rsidP="002170CB">
                  <w:pPr>
                    <w:autoSpaceDE w:val="0"/>
                    <w:autoSpaceDN w:val="0"/>
                    <w:adjustRightInd w:val="0"/>
                    <w:rPr>
                      <w:rFonts w:cs="Arial"/>
                      <w:color w:val="000000"/>
                      <w:sz w:val="20"/>
                      <w:szCs w:val="20"/>
                    </w:rPr>
                  </w:pPr>
                  <w:r w:rsidRPr="002170CB">
                    <w:rPr>
                      <w:rFonts w:cs="Arial"/>
                      <w:b/>
                      <w:bCs/>
                      <w:color w:val="000000"/>
                      <w:sz w:val="20"/>
                      <w:szCs w:val="20"/>
                    </w:rPr>
                    <w:t xml:space="preserve">Utility </w:t>
                  </w:r>
                </w:p>
              </w:tc>
            </w:tr>
          </w:tbl>
          <w:p w14:paraId="3E480BE7" w14:textId="77777777" w:rsidR="002170CB" w:rsidRPr="002170CB" w:rsidRDefault="002170CB" w:rsidP="00A35CF8">
            <w:pPr>
              <w:rPr>
                <w:rFonts w:cs="Arial"/>
                <w:b/>
                <w:bCs/>
                <w:sz w:val="20"/>
                <w:szCs w:val="20"/>
              </w:rPr>
            </w:pPr>
          </w:p>
        </w:tc>
        <w:tc>
          <w:tcPr>
            <w:tcW w:w="1536" w:type="dxa"/>
            <w:vMerge w:val="restart"/>
          </w:tcPr>
          <w:p w14:paraId="6CFD6286" w14:textId="15211E92" w:rsidR="002170CB" w:rsidRPr="002170CB" w:rsidRDefault="002170CB" w:rsidP="002170CB">
            <w:pPr>
              <w:autoSpaceDE w:val="0"/>
              <w:autoSpaceDN w:val="0"/>
              <w:adjustRightInd w:val="0"/>
              <w:rPr>
                <w:rFonts w:cs="Arial"/>
                <w:b/>
                <w:bCs/>
                <w:sz w:val="20"/>
                <w:szCs w:val="20"/>
              </w:rPr>
            </w:pPr>
            <w:r w:rsidRPr="002170CB">
              <w:rPr>
                <w:rFonts w:cs="Arial"/>
                <w:b/>
                <w:bCs/>
                <w:color w:val="000000"/>
                <w:sz w:val="20"/>
                <w:szCs w:val="20"/>
              </w:rPr>
              <w:t>Delivery Method</w:t>
            </w:r>
          </w:p>
        </w:tc>
        <w:tc>
          <w:tcPr>
            <w:tcW w:w="1572" w:type="dxa"/>
            <w:vMerge w:val="restart"/>
          </w:tcPr>
          <w:p w14:paraId="4FB9A511" w14:textId="5E12E735" w:rsidR="002170CB" w:rsidRPr="002170CB" w:rsidRDefault="002170CB" w:rsidP="00A35CF8">
            <w:pPr>
              <w:rPr>
                <w:rFonts w:cs="Arial"/>
                <w:b/>
                <w:bCs/>
                <w:sz w:val="20"/>
                <w:szCs w:val="20"/>
              </w:rPr>
            </w:pPr>
            <w:r w:rsidRPr="002170CB">
              <w:rPr>
                <w:rFonts w:cs="Arial"/>
                <w:b/>
                <w:bCs/>
                <w:sz w:val="20"/>
                <w:szCs w:val="20"/>
              </w:rPr>
              <w:t xml:space="preserve">2010-2012 Participants </w:t>
            </w:r>
          </w:p>
        </w:tc>
        <w:tc>
          <w:tcPr>
            <w:tcW w:w="4933" w:type="dxa"/>
            <w:gridSpan w:val="3"/>
          </w:tcPr>
          <w:tbl>
            <w:tblPr>
              <w:tblW w:w="0" w:type="auto"/>
              <w:tblBorders>
                <w:top w:val="nil"/>
                <w:left w:val="nil"/>
                <w:bottom w:val="nil"/>
                <w:right w:val="nil"/>
              </w:tblBorders>
              <w:tblLook w:val="0000" w:firstRow="0" w:lastRow="0" w:firstColumn="0" w:lastColumn="0" w:noHBand="0" w:noVBand="0"/>
            </w:tblPr>
            <w:tblGrid>
              <w:gridCol w:w="2684"/>
            </w:tblGrid>
            <w:tr w:rsidR="002170CB" w:rsidRPr="002170CB" w14:paraId="4AA35756" w14:textId="77777777">
              <w:trPr>
                <w:trHeight w:val="182"/>
              </w:trPr>
              <w:tc>
                <w:tcPr>
                  <w:tcW w:w="0" w:type="auto"/>
                </w:tcPr>
                <w:p w14:paraId="3C45538F" w14:textId="67EEFCD8" w:rsidR="002170CB" w:rsidRPr="002170CB" w:rsidRDefault="002170CB" w:rsidP="002170CB">
                  <w:pPr>
                    <w:autoSpaceDE w:val="0"/>
                    <w:autoSpaceDN w:val="0"/>
                    <w:adjustRightInd w:val="0"/>
                    <w:rPr>
                      <w:rFonts w:cs="Arial"/>
                      <w:color w:val="000000"/>
                      <w:sz w:val="20"/>
                      <w:szCs w:val="20"/>
                    </w:rPr>
                  </w:pPr>
                  <w:r w:rsidRPr="002170CB">
                    <w:rPr>
                      <w:rFonts w:cs="Arial"/>
                      <w:b/>
                      <w:bCs/>
                      <w:color w:val="000000"/>
                      <w:sz w:val="20"/>
                      <w:szCs w:val="20"/>
                    </w:rPr>
                    <w:t>First-Year Net</w:t>
                  </w:r>
                  <w:r w:rsidRPr="002170CB">
                    <w:rPr>
                      <w:rFonts w:cs="Arial"/>
                      <w:b/>
                      <w:bCs/>
                      <w:sz w:val="20"/>
                      <w:szCs w:val="20"/>
                    </w:rPr>
                    <w:t xml:space="preserve"> EES Impact</w:t>
                  </w:r>
                </w:p>
              </w:tc>
            </w:tr>
          </w:tbl>
          <w:p w14:paraId="01A72B75" w14:textId="05E6516F" w:rsidR="002170CB" w:rsidRPr="002170CB" w:rsidRDefault="002170CB" w:rsidP="00A35CF8">
            <w:pPr>
              <w:rPr>
                <w:rFonts w:cs="Arial"/>
                <w:b/>
                <w:bCs/>
                <w:sz w:val="20"/>
                <w:szCs w:val="20"/>
              </w:rPr>
            </w:pPr>
          </w:p>
        </w:tc>
      </w:tr>
      <w:tr w:rsidR="002170CB" w14:paraId="12537787" w14:textId="77777777" w:rsidTr="002170CB">
        <w:tc>
          <w:tcPr>
            <w:tcW w:w="1535" w:type="dxa"/>
            <w:vMerge/>
          </w:tcPr>
          <w:p w14:paraId="3BFB775C" w14:textId="77777777" w:rsidR="002170CB" w:rsidRPr="002170CB" w:rsidRDefault="002170CB" w:rsidP="00A35CF8">
            <w:pPr>
              <w:rPr>
                <w:rFonts w:cs="Arial"/>
                <w:b/>
                <w:bCs/>
                <w:sz w:val="20"/>
                <w:szCs w:val="20"/>
              </w:rPr>
            </w:pPr>
          </w:p>
        </w:tc>
        <w:tc>
          <w:tcPr>
            <w:tcW w:w="1536" w:type="dxa"/>
            <w:vMerge/>
          </w:tcPr>
          <w:p w14:paraId="391EDD78" w14:textId="77777777" w:rsidR="002170CB" w:rsidRPr="002170CB" w:rsidRDefault="002170CB" w:rsidP="00A35CF8">
            <w:pPr>
              <w:rPr>
                <w:rFonts w:cs="Arial"/>
                <w:b/>
                <w:bCs/>
                <w:sz w:val="20"/>
                <w:szCs w:val="20"/>
              </w:rPr>
            </w:pPr>
          </w:p>
        </w:tc>
        <w:tc>
          <w:tcPr>
            <w:tcW w:w="1572" w:type="dxa"/>
            <w:vMerge/>
          </w:tcPr>
          <w:p w14:paraId="70232566" w14:textId="77777777" w:rsidR="002170CB" w:rsidRPr="002170CB" w:rsidRDefault="002170CB" w:rsidP="00A35CF8">
            <w:pPr>
              <w:rPr>
                <w:rFonts w:cs="Arial"/>
                <w:b/>
                <w:bCs/>
                <w:sz w:val="20"/>
                <w:szCs w:val="20"/>
              </w:rPr>
            </w:pPr>
          </w:p>
        </w:tc>
        <w:tc>
          <w:tcPr>
            <w:tcW w:w="1840" w:type="dxa"/>
          </w:tcPr>
          <w:p w14:paraId="0F5EADF9" w14:textId="6EC25687" w:rsidR="002170CB" w:rsidRPr="002170CB" w:rsidRDefault="002170CB" w:rsidP="00A35CF8">
            <w:pPr>
              <w:rPr>
                <w:rFonts w:cs="Arial"/>
                <w:b/>
                <w:bCs/>
                <w:sz w:val="20"/>
                <w:szCs w:val="20"/>
              </w:rPr>
            </w:pPr>
            <w:r>
              <w:rPr>
                <w:b/>
                <w:bCs/>
                <w:sz w:val="23"/>
                <w:szCs w:val="23"/>
              </w:rPr>
              <w:t xml:space="preserve">Per/Participant (kWh) </w:t>
            </w:r>
          </w:p>
        </w:tc>
        <w:tc>
          <w:tcPr>
            <w:tcW w:w="1528" w:type="dxa"/>
          </w:tcPr>
          <w:p w14:paraId="3E44DCEF" w14:textId="307E6AA3" w:rsidR="002170CB" w:rsidRPr="002170CB" w:rsidRDefault="002170CB" w:rsidP="00A35CF8">
            <w:pPr>
              <w:rPr>
                <w:rFonts w:cs="Arial"/>
                <w:b/>
                <w:bCs/>
                <w:sz w:val="20"/>
                <w:szCs w:val="20"/>
              </w:rPr>
            </w:pPr>
            <w:r>
              <w:rPr>
                <w:b/>
                <w:bCs/>
                <w:sz w:val="23"/>
                <w:szCs w:val="23"/>
              </w:rPr>
              <w:t>Total (</w:t>
            </w:r>
            <w:proofErr w:type="spellStart"/>
            <w:r>
              <w:rPr>
                <w:b/>
                <w:bCs/>
                <w:sz w:val="23"/>
                <w:szCs w:val="23"/>
              </w:rPr>
              <w:t>MWh</w:t>
            </w:r>
            <w:proofErr w:type="spellEnd"/>
            <w:r>
              <w:rPr>
                <w:b/>
                <w:bCs/>
                <w:sz w:val="23"/>
                <w:szCs w:val="23"/>
              </w:rPr>
              <w:t xml:space="preserve">) </w:t>
            </w:r>
          </w:p>
        </w:tc>
        <w:tc>
          <w:tcPr>
            <w:tcW w:w="1565" w:type="dxa"/>
          </w:tcPr>
          <w:p w14:paraId="72DC8E7E" w14:textId="7CCDB0C6" w:rsidR="002170CB" w:rsidRDefault="002170CB" w:rsidP="00A35CF8">
            <w:pPr>
              <w:rPr>
                <w:b/>
                <w:bCs/>
                <w:sz w:val="23"/>
                <w:szCs w:val="23"/>
              </w:rPr>
            </w:pPr>
            <w:r>
              <w:rPr>
                <w:b/>
                <w:bCs/>
                <w:sz w:val="23"/>
                <w:szCs w:val="23"/>
              </w:rPr>
              <w:t xml:space="preserve">% of Statewide Total </w:t>
            </w:r>
          </w:p>
        </w:tc>
      </w:tr>
      <w:tr w:rsidR="002170CB" w14:paraId="5C88BD79" w14:textId="77777777" w:rsidTr="002170CB">
        <w:tc>
          <w:tcPr>
            <w:tcW w:w="1535" w:type="dxa"/>
          </w:tcPr>
          <w:p w14:paraId="271D4458" w14:textId="5DD4C348" w:rsidR="002170CB" w:rsidRDefault="002170CB" w:rsidP="00A35CF8">
            <w:pPr>
              <w:rPr>
                <w:b/>
                <w:bCs/>
                <w:sz w:val="23"/>
                <w:szCs w:val="23"/>
              </w:rPr>
            </w:pPr>
            <w:r>
              <w:rPr>
                <w:sz w:val="23"/>
                <w:szCs w:val="23"/>
              </w:rPr>
              <w:t xml:space="preserve">PG&amp;E </w:t>
            </w:r>
          </w:p>
        </w:tc>
        <w:tc>
          <w:tcPr>
            <w:tcW w:w="1536" w:type="dxa"/>
          </w:tcPr>
          <w:p w14:paraId="28D3B6B1" w14:textId="46548DE1" w:rsidR="002170CB" w:rsidRDefault="002170CB" w:rsidP="00A35CF8">
            <w:pPr>
              <w:rPr>
                <w:b/>
                <w:bCs/>
                <w:sz w:val="23"/>
                <w:szCs w:val="23"/>
              </w:rPr>
            </w:pPr>
            <w:r>
              <w:rPr>
                <w:sz w:val="23"/>
                <w:szCs w:val="23"/>
              </w:rPr>
              <w:t xml:space="preserve">Online </w:t>
            </w:r>
          </w:p>
        </w:tc>
        <w:tc>
          <w:tcPr>
            <w:tcW w:w="1572" w:type="dxa"/>
          </w:tcPr>
          <w:p w14:paraId="5D146C28" w14:textId="34D3B9B8" w:rsidR="002170CB" w:rsidRDefault="002170CB" w:rsidP="00A35CF8">
            <w:pPr>
              <w:rPr>
                <w:b/>
                <w:bCs/>
                <w:sz w:val="23"/>
                <w:szCs w:val="23"/>
              </w:rPr>
            </w:pPr>
            <w:r>
              <w:rPr>
                <w:sz w:val="23"/>
                <w:szCs w:val="23"/>
              </w:rPr>
              <w:t xml:space="preserve">86,255 </w:t>
            </w:r>
          </w:p>
        </w:tc>
        <w:tc>
          <w:tcPr>
            <w:tcW w:w="1840" w:type="dxa"/>
          </w:tcPr>
          <w:p w14:paraId="73861BC9" w14:textId="39889E89" w:rsidR="002170CB" w:rsidRDefault="002170CB" w:rsidP="00A35CF8">
            <w:pPr>
              <w:rPr>
                <w:b/>
                <w:bCs/>
                <w:sz w:val="23"/>
                <w:szCs w:val="23"/>
              </w:rPr>
            </w:pPr>
            <w:r>
              <w:rPr>
                <w:sz w:val="23"/>
                <w:szCs w:val="23"/>
              </w:rPr>
              <w:t xml:space="preserve">316 </w:t>
            </w:r>
          </w:p>
        </w:tc>
        <w:tc>
          <w:tcPr>
            <w:tcW w:w="1528" w:type="dxa"/>
          </w:tcPr>
          <w:p w14:paraId="7AE4E561" w14:textId="4936CDAD" w:rsidR="002170CB" w:rsidRDefault="002170CB" w:rsidP="00A35CF8">
            <w:pPr>
              <w:rPr>
                <w:b/>
                <w:bCs/>
                <w:sz w:val="23"/>
                <w:szCs w:val="23"/>
              </w:rPr>
            </w:pPr>
            <w:r>
              <w:rPr>
                <w:sz w:val="23"/>
                <w:szCs w:val="23"/>
              </w:rPr>
              <w:t xml:space="preserve">27,257 </w:t>
            </w:r>
          </w:p>
        </w:tc>
        <w:tc>
          <w:tcPr>
            <w:tcW w:w="1565" w:type="dxa"/>
          </w:tcPr>
          <w:p w14:paraId="3A40A1B7" w14:textId="567D52DE" w:rsidR="002170CB" w:rsidRDefault="002170CB" w:rsidP="00A35CF8">
            <w:pPr>
              <w:rPr>
                <w:b/>
                <w:bCs/>
                <w:sz w:val="23"/>
                <w:szCs w:val="23"/>
              </w:rPr>
            </w:pPr>
            <w:r>
              <w:rPr>
                <w:sz w:val="23"/>
                <w:szCs w:val="23"/>
              </w:rPr>
              <w:t xml:space="preserve">42% </w:t>
            </w:r>
          </w:p>
        </w:tc>
      </w:tr>
    </w:tbl>
    <w:p w14:paraId="3B7D6F3A" w14:textId="77777777" w:rsidR="002170CB" w:rsidRDefault="002170CB" w:rsidP="00A35CF8">
      <w:pPr>
        <w:rPr>
          <w:b/>
          <w:bCs/>
          <w:sz w:val="23"/>
          <w:szCs w:val="23"/>
        </w:rPr>
      </w:pPr>
    </w:p>
    <w:p w14:paraId="5620DDC2" w14:textId="77777777" w:rsidR="002170CB" w:rsidRDefault="002170CB" w:rsidP="00A35CF8">
      <w:pPr>
        <w:rPr>
          <w:rFonts w:cs="Arial"/>
          <w:b/>
          <w:i/>
          <w:sz w:val="20"/>
          <w:szCs w:val="20"/>
          <w:highlight w:val="cyan"/>
        </w:rPr>
      </w:pPr>
    </w:p>
    <w:p w14:paraId="16C8E9D7" w14:textId="34BF91A2" w:rsidR="004C536B" w:rsidRDefault="006C3A6E" w:rsidP="00A35CF8">
      <w:pPr>
        <w:rPr>
          <w:rFonts w:cs="Arial"/>
          <w:b/>
          <w:i/>
        </w:rPr>
      </w:pPr>
      <w:r w:rsidRPr="00C80E3F">
        <w:rPr>
          <w:rFonts w:cs="Arial"/>
          <w:b/>
          <w:i/>
        </w:rPr>
        <w:t>1.4.3.1 Study #</w:t>
      </w:r>
      <w:r>
        <w:rPr>
          <w:rFonts w:cs="Arial"/>
          <w:b/>
          <w:i/>
        </w:rPr>
        <w:t xml:space="preserve">2 Billing Records for </w:t>
      </w:r>
      <w:proofErr w:type="spellStart"/>
      <w:r>
        <w:rPr>
          <w:rFonts w:cs="Arial"/>
          <w:b/>
          <w:i/>
        </w:rPr>
        <w:t>OPower</w:t>
      </w:r>
      <w:proofErr w:type="spellEnd"/>
      <w:r>
        <w:rPr>
          <w:rFonts w:cs="Arial"/>
          <w:b/>
          <w:i/>
        </w:rPr>
        <w:t xml:space="preserve"> Online Audits</w:t>
      </w:r>
    </w:p>
    <w:p w14:paraId="21FD3283" w14:textId="3E9B140A" w:rsidR="006C3A6E" w:rsidRPr="006C3A6E" w:rsidRDefault="006C3A6E" w:rsidP="00A35CF8">
      <w:pPr>
        <w:rPr>
          <w:rFonts w:cs="Arial"/>
          <w:sz w:val="20"/>
          <w:szCs w:val="20"/>
          <w:highlight w:val="cyan"/>
        </w:rPr>
      </w:pPr>
      <w:r>
        <w:rPr>
          <w:rFonts w:cs="Arial"/>
        </w:rPr>
        <w:t xml:space="preserve">The </w:t>
      </w:r>
      <w:r w:rsidR="00AE5528">
        <w:rPr>
          <w:rFonts w:cs="Arial"/>
        </w:rPr>
        <w:t xml:space="preserve">customer </w:t>
      </w:r>
      <w:r>
        <w:rPr>
          <w:rFonts w:cs="Arial"/>
        </w:rPr>
        <w:t xml:space="preserve">listing </w:t>
      </w:r>
      <w:r w:rsidR="008E23A9">
        <w:rPr>
          <w:rFonts w:cs="Arial"/>
        </w:rPr>
        <w:t>included with this work</w:t>
      </w:r>
      <w:r w:rsidR="004C536B">
        <w:rPr>
          <w:rFonts w:cs="Arial"/>
        </w:rPr>
        <w:t xml:space="preserve"> </w:t>
      </w:r>
      <w:r w:rsidR="008E23A9">
        <w:rPr>
          <w:rFonts w:cs="Arial"/>
        </w:rPr>
        <w:t>paper</w:t>
      </w:r>
      <w:r>
        <w:rPr>
          <w:rFonts w:cs="Arial"/>
        </w:rPr>
        <w:t xml:space="preserve"> </w:t>
      </w:r>
      <w:r w:rsidR="008E23A9">
        <w:rPr>
          <w:rFonts w:cs="Arial"/>
        </w:rPr>
        <w:t>documents</w:t>
      </w:r>
      <w:r>
        <w:rPr>
          <w:rFonts w:cs="Arial"/>
        </w:rPr>
        <w:t xml:space="preserve"> the 12 month prior billings of 24,</w:t>
      </w:r>
      <w:r w:rsidR="008E23A9">
        <w:rPr>
          <w:rFonts w:cs="Arial"/>
        </w:rPr>
        <w:t>301</w:t>
      </w:r>
      <w:r>
        <w:rPr>
          <w:rFonts w:cs="Arial"/>
        </w:rPr>
        <w:t xml:space="preserve"> PG&amp;E residential customers who </w:t>
      </w:r>
      <w:r w:rsidR="008E23A9">
        <w:rPr>
          <w:rFonts w:cs="Arial"/>
        </w:rPr>
        <w:t xml:space="preserve">used </w:t>
      </w:r>
      <w:r>
        <w:rPr>
          <w:rFonts w:cs="Arial"/>
        </w:rPr>
        <w:t xml:space="preserve">the online audit tool during 2013.  Billings averaged </w:t>
      </w:r>
      <w:r w:rsidR="008E23A9">
        <w:rPr>
          <w:rFonts w:cs="Arial"/>
        </w:rPr>
        <w:t>9461</w:t>
      </w:r>
      <w:r>
        <w:rPr>
          <w:rFonts w:cs="Arial"/>
        </w:rPr>
        <w:t xml:space="preserve"> kWh</w:t>
      </w:r>
      <w:r w:rsidR="008E23A9">
        <w:rPr>
          <w:rFonts w:cs="Arial"/>
        </w:rPr>
        <w:t xml:space="preserve"> </w:t>
      </w:r>
      <w:r>
        <w:rPr>
          <w:rFonts w:cs="Arial"/>
        </w:rPr>
        <w:t xml:space="preserve">per year with a median of </w:t>
      </w:r>
      <w:r w:rsidR="008E23A9">
        <w:rPr>
          <w:rFonts w:cs="Arial"/>
        </w:rPr>
        <w:t>8573</w:t>
      </w:r>
      <w:r>
        <w:rPr>
          <w:rFonts w:cs="Arial"/>
        </w:rPr>
        <w:t xml:space="preserve"> kWh/yr.  Billings include a significant number of </w:t>
      </w:r>
      <w:r w:rsidRPr="00AE5528">
        <w:rPr>
          <w:rFonts w:cs="Arial"/>
          <w:b/>
        </w:rPr>
        <w:t>net metered</w:t>
      </w:r>
      <w:r w:rsidR="00AE5528">
        <w:rPr>
          <w:rFonts w:cs="Arial"/>
        </w:rPr>
        <w:t xml:space="preserve"> (negative energy readings)</w:t>
      </w:r>
      <w:r>
        <w:rPr>
          <w:rFonts w:cs="Arial"/>
        </w:rPr>
        <w:t xml:space="preserve"> residences along with a smaller number of very large users (&gt; 20,000 kWh per year</w:t>
      </w:r>
      <w:r w:rsidR="00AE5528">
        <w:rPr>
          <w:rFonts w:cs="Arial"/>
        </w:rPr>
        <w:t>)</w:t>
      </w:r>
      <w:r w:rsidR="008E23A9">
        <w:rPr>
          <w:rFonts w:cs="Arial"/>
        </w:rPr>
        <w:t>. No gas usage was provided.</w:t>
      </w:r>
    </w:p>
    <w:p w14:paraId="393A0DBC" w14:textId="77777777" w:rsidR="00432C65" w:rsidRDefault="00432C65" w:rsidP="00A35CF8">
      <w:pPr>
        <w:rPr>
          <w:b/>
        </w:rPr>
      </w:pPr>
    </w:p>
    <w:p w14:paraId="393A0DBD" w14:textId="2165EE9D" w:rsidR="00A35CF8" w:rsidRDefault="00C76C24" w:rsidP="00A35CF8">
      <w:pPr>
        <w:rPr>
          <w:rFonts w:cs="Arial"/>
          <w:i/>
          <w:sz w:val="20"/>
          <w:szCs w:val="20"/>
        </w:rPr>
      </w:pPr>
      <w:r w:rsidRPr="00432C65">
        <w:rPr>
          <w:rFonts w:cs="Arial"/>
          <w:b/>
          <w:sz w:val="20"/>
          <w:szCs w:val="20"/>
        </w:rPr>
        <w:t>Energy Savings</w:t>
      </w:r>
      <w:r w:rsidR="00A35CF8" w:rsidRPr="00432C65">
        <w:rPr>
          <w:rFonts w:cs="Arial"/>
          <w:b/>
          <w:sz w:val="20"/>
          <w:szCs w:val="20"/>
        </w:rPr>
        <w:t xml:space="preserve"> Assumption (ΔW</w:t>
      </w:r>
      <w:r w:rsidRPr="00432C65">
        <w:rPr>
          <w:rFonts w:cs="Arial"/>
          <w:b/>
          <w:sz w:val="20"/>
          <w:szCs w:val="20"/>
        </w:rPr>
        <w:t xml:space="preserve">, </w:t>
      </w:r>
      <w:proofErr w:type="spellStart"/>
      <w:r w:rsidRPr="00432C65">
        <w:rPr>
          <w:rFonts w:cs="Arial"/>
          <w:b/>
          <w:sz w:val="20"/>
          <w:szCs w:val="20"/>
        </w:rPr>
        <w:t>ΔTherms</w:t>
      </w:r>
      <w:proofErr w:type="spellEnd"/>
      <w:r w:rsidR="00A35CF8" w:rsidRPr="00432C65">
        <w:rPr>
          <w:rFonts w:cs="Arial"/>
          <w:b/>
          <w:sz w:val="20"/>
          <w:szCs w:val="20"/>
        </w:rPr>
        <w:t>):</w:t>
      </w:r>
      <w:r w:rsidR="00437BE1">
        <w:rPr>
          <w:rFonts w:cs="Arial"/>
          <w:sz w:val="20"/>
          <w:szCs w:val="20"/>
        </w:rPr>
        <w:t xml:space="preserve"> </w:t>
      </w:r>
    </w:p>
    <w:p w14:paraId="393A0DBE" w14:textId="7F114BC2" w:rsidR="004162E3" w:rsidRPr="008E23A9" w:rsidRDefault="004162E3" w:rsidP="004162E3">
      <w:pPr>
        <w:numPr>
          <w:ilvl w:val="0"/>
          <w:numId w:val="11"/>
        </w:numPr>
        <w:rPr>
          <w:rFonts w:cs="Arial"/>
          <w:sz w:val="20"/>
          <w:szCs w:val="20"/>
        </w:rPr>
      </w:pPr>
      <w:r w:rsidRPr="008E23A9">
        <w:rPr>
          <w:rFonts w:cs="Arial"/>
          <w:sz w:val="20"/>
          <w:szCs w:val="20"/>
        </w:rPr>
        <w:t xml:space="preserve">The electric savings were taken from </w:t>
      </w:r>
      <w:r w:rsidR="008E23A9" w:rsidRPr="008E23A9">
        <w:rPr>
          <w:rFonts w:cs="Arial"/>
          <w:sz w:val="20"/>
          <w:szCs w:val="20"/>
        </w:rPr>
        <w:t>ITRON</w:t>
      </w:r>
      <w:r w:rsidRPr="008E23A9">
        <w:rPr>
          <w:rFonts w:cs="Arial"/>
          <w:sz w:val="20"/>
          <w:szCs w:val="20"/>
        </w:rPr>
        <w:t xml:space="preserve"> Study directly, they match the intended measures</w:t>
      </w:r>
      <w:r w:rsidR="008E23A9" w:rsidRPr="008E23A9">
        <w:rPr>
          <w:rFonts w:cs="Arial"/>
          <w:sz w:val="20"/>
          <w:szCs w:val="20"/>
        </w:rPr>
        <w:t xml:space="preserve">. </w:t>
      </w:r>
    </w:p>
    <w:p w14:paraId="393A0DC3" w14:textId="77777777" w:rsidR="004162E3" w:rsidRPr="00432C65" w:rsidRDefault="004162E3" w:rsidP="00A35CF8">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020042" w:rsidRPr="00783DAC" w14:paraId="393A0DCA" w14:textId="77777777" w:rsidTr="00783DAC">
        <w:tc>
          <w:tcPr>
            <w:tcW w:w="0" w:type="auto"/>
            <w:shd w:val="clear" w:color="auto" w:fill="auto"/>
          </w:tcPr>
          <w:p w14:paraId="393A0DC4" w14:textId="77777777" w:rsidR="00020042" w:rsidRPr="00783DAC" w:rsidRDefault="00020042" w:rsidP="004B4489">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DC5" w14:textId="77777777" w:rsidR="00020042" w:rsidRPr="00783DAC" w:rsidRDefault="00020042" w:rsidP="004B4489">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1119" w:type="dxa"/>
            <w:shd w:val="clear" w:color="auto" w:fill="auto"/>
          </w:tcPr>
          <w:p w14:paraId="393A0DC6" w14:textId="77777777" w:rsidR="00020042" w:rsidRPr="00783DAC" w:rsidRDefault="00020042" w:rsidP="004B4489">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800" w:type="dxa"/>
            <w:shd w:val="clear" w:color="auto" w:fill="auto"/>
          </w:tcPr>
          <w:p w14:paraId="393A0DC7" w14:textId="1DDBEFCE" w:rsidR="00020042" w:rsidRPr="00783DAC" w:rsidRDefault="00020042" w:rsidP="008E23A9">
            <w:pPr>
              <w:rPr>
                <w:rFonts w:cs="Arial"/>
                <w:b/>
                <w:sz w:val="20"/>
                <w:szCs w:val="20"/>
              </w:rPr>
            </w:pPr>
            <w:r w:rsidRPr="00783DAC">
              <w:rPr>
                <w:rFonts w:cs="Arial"/>
                <w:b/>
                <w:sz w:val="20"/>
                <w:szCs w:val="20"/>
              </w:rPr>
              <w:t xml:space="preserve">Electric Savings </w:t>
            </w:r>
            <w:r w:rsidR="008E23A9">
              <w:rPr>
                <w:rFonts w:cs="Arial"/>
                <w:b/>
                <w:sz w:val="20"/>
                <w:szCs w:val="20"/>
              </w:rPr>
              <w:t>or Usage</w:t>
            </w:r>
            <w:r w:rsidRPr="00783DAC">
              <w:rPr>
                <w:rFonts w:cs="Arial"/>
                <w:b/>
                <w:sz w:val="20"/>
                <w:szCs w:val="20"/>
              </w:rPr>
              <w:t xml:space="preserve"> </w:t>
            </w:r>
          </w:p>
        </w:tc>
        <w:tc>
          <w:tcPr>
            <w:tcW w:w="1080" w:type="dxa"/>
            <w:shd w:val="clear" w:color="auto" w:fill="auto"/>
          </w:tcPr>
          <w:p w14:paraId="393A0DC8" w14:textId="77777777" w:rsidR="00020042" w:rsidRPr="00783DAC" w:rsidRDefault="00020042" w:rsidP="004B4489">
            <w:pPr>
              <w:rPr>
                <w:rFonts w:cs="Arial"/>
                <w:b/>
                <w:sz w:val="20"/>
                <w:szCs w:val="20"/>
              </w:rPr>
            </w:pPr>
            <w:r w:rsidRPr="00783DAC">
              <w:rPr>
                <w:rFonts w:cs="Arial"/>
                <w:b/>
                <w:sz w:val="20"/>
                <w:szCs w:val="20"/>
              </w:rPr>
              <w:t>Study units</w:t>
            </w:r>
          </w:p>
        </w:tc>
        <w:tc>
          <w:tcPr>
            <w:tcW w:w="2088" w:type="dxa"/>
            <w:shd w:val="clear" w:color="auto" w:fill="auto"/>
          </w:tcPr>
          <w:p w14:paraId="393A0DC9" w14:textId="77777777" w:rsidR="00020042" w:rsidRPr="00783DAC" w:rsidRDefault="00020042" w:rsidP="004B4489">
            <w:pPr>
              <w:rPr>
                <w:rFonts w:cs="Arial"/>
                <w:b/>
                <w:sz w:val="20"/>
                <w:szCs w:val="20"/>
              </w:rPr>
            </w:pPr>
            <w:r w:rsidRPr="00783DAC">
              <w:rPr>
                <w:rFonts w:cs="Arial"/>
                <w:b/>
                <w:sz w:val="20"/>
                <w:szCs w:val="20"/>
              </w:rPr>
              <w:t>Specific study reference</w:t>
            </w:r>
          </w:p>
        </w:tc>
      </w:tr>
      <w:tr w:rsidR="00020042" w:rsidRPr="00783DAC" w14:paraId="393A0DD1" w14:textId="77777777" w:rsidTr="00783DAC">
        <w:tc>
          <w:tcPr>
            <w:tcW w:w="0" w:type="auto"/>
            <w:shd w:val="clear" w:color="auto" w:fill="auto"/>
          </w:tcPr>
          <w:p w14:paraId="393A0DCB" w14:textId="1B13992C" w:rsidR="00020042" w:rsidRPr="00783DAC" w:rsidRDefault="00881E6C" w:rsidP="00881E6C">
            <w:pPr>
              <w:rPr>
                <w:rFonts w:cs="Arial"/>
                <w:b/>
                <w:sz w:val="20"/>
                <w:szCs w:val="20"/>
              </w:rPr>
            </w:pPr>
            <w:r>
              <w:rPr>
                <w:rFonts w:cs="Arial"/>
                <w:b/>
                <w:sz w:val="20"/>
                <w:szCs w:val="20"/>
              </w:rPr>
              <w:t>RES</w:t>
            </w:r>
          </w:p>
        </w:tc>
        <w:tc>
          <w:tcPr>
            <w:tcW w:w="0" w:type="auto"/>
            <w:shd w:val="clear" w:color="auto" w:fill="auto"/>
          </w:tcPr>
          <w:p w14:paraId="393A0DCC" w14:textId="493CB089" w:rsidR="00020042" w:rsidRPr="00783DAC" w:rsidRDefault="00881E6C" w:rsidP="004B4489">
            <w:pPr>
              <w:rPr>
                <w:rFonts w:cs="Arial"/>
                <w:b/>
                <w:sz w:val="20"/>
                <w:szCs w:val="20"/>
              </w:rPr>
            </w:pPr>
            <w:r>
              <w:rPr>
                <w:rFonts w:cs="Arial"/>
                <w:b/>
                <w:sz w:val="20"/>
                <w:szCs w:val="20"/>
              </w:rPr>
              <w:t>Ex</w:t>
            </w:r>
          </w:p>
        </w:tc>
        <w:tc>
          <w:tcPr>
            <w:tcW w:w="1119" w:type="dxa"/>
            <w:shd w:val="clear" w:color="auto" w:fill="auto"/>
          </w:tcPr>
          <w:p w14:paraId="393A0DCD" w14:textId="56384F07" w:rsidR="00020042" w:rsidRPr="00783DAC" w:rsidRDefault="00881E6C" w:rsidP="004B4489">
            <w:pPr>
              <w:rPr>
                <w:rFonts w:cs="Arial"/>
                <w:b/>
                <w:sz w:val="20"/>
                <w:szCs w:val="20"/>
              </w:rPr>
            </w:pPr>
            <w:r>
              <w:rPr>
                <w:rFonts w:cs="Arial"/>
                <w:b/>
                <w:sz w:val="20"/>
                <w:szCs w:val="20"/>
              </w:rPr>
              <w:t>ANY</w:t>
            </w:r>
          </w:p>
        </w:tc>
        <w:tc>
          <w:tcPr>
            <w:tcW w:w="1800" w:type="dxa"/>
            <w:shd w:val="clear" w:color="auto" w:fill="auto"/>
          </w:tcPr>
          <w:p w14:paraId="393A0DCE" w14:textId="1597AA45" w:rsidR="00020042" w:rsidRPr="00783DAC" w:rsidRDefault="00881E6C" w:rsidP="008E23A9">
            <w:pPr>
              <w:rPr>
                <w:rFonts w:cs="Arial"/>
                <w:b/>
                <w:sz w:val="20"/>
                <w:szCs w:val="20"/>
              </w:rPr>
            </w:pPr>
            <w:r>
              <w:rPr>
                <w:rFonts w:cs="Arial"/>
                <w:b/>
                <w:sz w:val="20"/>
                <w:szCs w:val="20"/>
              </w:rPr>
              <w:t>3.1</w:t>
            </w:r>
          </w:p>
        </w:tc>
        <w:tc>
          <w:tcPr>
            <w:tcW w:w="1080" w:type="dxa"/>
            <w:shd w:val="clear" w:color="auto" w:fill="auto"/>
          </w:tcPr>
          <w:p w14:paraId="393A0DCF" w14:textId="198B71C1" w:rsidR="00020042" w:rsidRPr="00783DAC" w:rsidRDefault="008E23A9" w:rsidP="004B4489">
            <w:pPr>
              <w:rPr>
                <w:rFonts w:cs="Arial"/>
                <w:b/>
                <w:sz w:val="20"/>
                <w:szCs w:val="20"/>
              </w:rPr>
            </w:pPr>
            <w:r>
              <w:rPr>
                <w:rFonts w:cs="Arial"/>
                <w:b/>
                <w:sz w:val="20"/>
                <w:szCs w:val="20"/>
              </w:rPr>
              <w:t>%</w:t>
            </w:r>
          </w:p>
        </w:tc>
        <w:tc>
          <w:tcPr>
            <w:tcW w:w="2088" w:type="dxa"/>
            <w:shd w:val="clear" w:color="auto" w:fill="auto"/>
          </w:tcPr>
          <w:p w14:paraId="393A0DD0" w14:textId="37C54A96" w:rsidR="00020042" w:rsidRPr="00783DAC" w:rsidRDefault="00881E6C" w:rsidP="004B4489">
            <w:pPr>
              <w:rPr>
                <w:rFonts w:cs="Arial"/>
                <w:b/>
                <w:sz w:val="20"/>
                <w:szCs w:val="20"/>
              </w:rPr>
            </w:pPr>
            <w:proofErr w:type="spellStart"/>
            <w:r>
              <w:rPr>
                <w:rFonts w:cs="Arial"/>
                <w:b/>
                <w:sz w:val="20"/>
                <w:szCs w:val="20"/>
              </w:rPr>
              <w:t>Itron</w:t>
            </w:r>
            <w:proofErr w:type="spellEnd"/>
          </w:p>
        </w:tc>
      </w:tr>
      <w:tr w:rsidR="00020042" w:rsidRPr="00783DAC" w14:paraId="393A0DD8" w14:textId="77777777" w:rsidTr="00783DAC">
        <w:tc>
          <w:tcPr>
            <w:tcW w:w="0" w:type="auto"/>
            <w:shd w:val="clear" w:color="auto" w:fill="auto"/>
          </w:tcPr>
          <w:p w14:paraId="393A0DD2" w14:textId="3124AED3" w:rsidR="00020042" w:rsidRPr="00783DAC" w:rsidRDefault="00881E6C" w:rsidP="004B4489">
            <w:pPr>
              <w:rPr>
                <w:rFonts w:cs="Arial"/>
                <w:b/>
                <w:sz w:val="20"/>
                <w:szCs w:val="20"/>
              </w:rPr>
            </w:pPr>
            <w:r>
              <w:rPr>
                <w:rFonts w:cs="Arial"/>
                <w:b/>
                <w:sz w:val="20"/>
                <w:szCs w:val="20"/>
              </w:rPr>
              <w:t>RES</w:t>
            </w:r>
          </w:p>
        </w:tc>
        <w:tc>
          <w:tcPr>
            <w:tcW w:w="0" w:type="auto"/>
            <w:shd w:val="clear" w:color="auto" w:fill="auto"/>
          </w:tcPr>
          <w:p w14:paraId="393A0DD3" w14:textId="6753928B" w:rsidR="00020042" w:rsidRPr="00783DAC" w:rsidRDefault="00881E6C" w:rsidP="004B4489">
            <w:pPr>
              <w:rPr>
                <w:rFonts w:cs="Arial"/>
                <w:b/>
                <w:sz w:val="20"/>
                <w:szCs w:val="20"/>
              </w:rPr>
            </w:pPr>
            <w:r>
              <w:rPr>
                <w:rFonts w:cs="Arial"/>
                <w:b/>
                <w:sz w:val="20"/>
                <w:szCs w:val="20"/>
              </w:rPr>
              <w:t>EX</w:t>
            </w:r>
          </w:p>
        </w:tc>
        <w:tc>
          <w:tcPr>
            <w:tcW w:w="1119" w:type="dxa"/>
            <w:shd w:val="clear" w:color="auto" w:fill="auto"/>
          </w:tcPr>
          <w:p w14:paraId="393A0DD4" w14:textId="0C29B9B0" w:rsidR="00020042" w:rsidRPr="00783DAC" w:rsidRDefault="00881E6C" w:rsidP="004B4489">
            <w:pPr>
              <w:rPr>
                <w:rFonts w:cs="Arial"/>
                <w:b/>
                <w:sz w:val="20"/>
                <w:szCs w:val="20"/>
              </w:rPr>
            </w:pPr>
            <w:r>
              <w:rPr>
                <w:rFonts w:cs="Arial"/>
                <w:b/>
                <w:sz w:val="20"/>
                <w:szCs w:val="20"/>
              </w:rPr>
              <w:t>ANY</w:t>
            </w:r>
          </w:p>
        </w:tc>
        <w:tc>
          <w:tcPr>
            <w:tcW w:w="1800" w:type="dxa"/>
            <w:shd w:val="clear" w:color="auto" w:fill="auto"/>
          </w:tcPr>
          <w:p w14:paraId="393A0DD5" w14:textId="36969F47" w:rsidR="00020042" w:rsidRPr="00783DAC" w:rsidRDefault="008E23A9" w:rsidP="004B4489">
            <w:pPr>
              <w:rPr>
                <w:rFonts w:cs="Arial"/>
                <w:b/>
                <w:sz w:val="20"/>
                <w:szCs w:val="20"/>
              </w:rPr>
            </w:pPr>
            <w:r>
              <w:rPr>
                <w:rFonts w:cs="Arial"/>
                <w:b/>
                <w:sz w:val="20"/>
                <w:szCs w:val="20"/>
              </w:rPr>
              <w:t>9461</w:t>
            </w:r>
          </w:p>
        </w:tc>
        <w:tc>
          <w:tcPr>
            <w:tcW w:w="1080" w:type="dxa"/>
            <w:shd w:val="clear" w:color="auto" w:fill="auto"/>
          </w:tcPr>
          <w:p w14:paraId="393A0DD6" w14:textId="6119D1E8" w:rsidR="00020042" w:rsidRPr="00783DAC" w:rsidRDefault="008E23A9" w:rsidP="004B4489">
            <w:pPr>
              <w:rPr>
                <w:rFonts w:cs="Arial"/>
                <w:b/>
                <w:sz w:val="20"/>
                <w:szCs w:val="20"/>
              </w:rPr>
            </w:pPr>
            <w:r>
              <w:rPr>
                <w:rFonts w:cs="Arial"/>
                <w:b/>
                <w:sz w:val="20"/>
                <w:szCs w:val="20"/>
              </w:rPr>
              <w:t>kWh /</w:t>
            </w:r>
            <w:proofErr w:type="spellStart"/>
            <w:r>
              <w:rPr>
                <w:rFonts w:cs="Arial"/>
                <w:b/>
                <w:sz w:val="20"/>
                <w:szCs w:val="20"/>
              </w:rPr>
              <w:t>yr</w:t>
            </w:r>
            <w:proofErr w:type="spellEnd"/>
          </w:p>
        </w:tc>
        <w:tc>
          <w:tcPr>
            <w:tcW w:w="2088" w:type="dxa"/>
            <w:shd w:val="clear" w:color="auto" w:fill="auto"/>
          </w:tcPr>
          <w:p w14:paraId="393A0DD7" w14:textId="26CB386E" w:rsidR="00020042" w:rsidRPr="00783DAC" w:rsidRDefault="00881E6C" w:rsidP="004B4489">
            <w:pPr>
              <w:rPr>
                <w:rFonts w:cs="Arial"/>
                <w:b/>
                <w:sz w:val="20"/>
                <w:szCs w:val="20"/>
              </w:rPr>
            </w:pPr>
            <w:proofErr w:type="spellStart"/>
            <w:r>
              <w:rPr>
                <w:rFonts w:cs="Arial"/>
                <w:b/>
                <w:sz w:val="20"/>
                <w:szCs w:val="20"/>
              </w:rPr>
              <w:t>Opower</w:t>
            </w:r>
            <w:proofErr w:type="spellEnd"/>
            <w:r>
              <w:rPr>
                <w:rFonts w:cs="Arial"/>
                <w:b/>
                <w:sz w:val="20"/>
                <w:szCs w:val="20"/>
              </w:rPr>
              <w:t xml:space="preserve"> </w:t>
            </w:r>
            <w:proofErr w:type="spellStart"/>
            <w:r>
              <w:rPr>
                <w:rFonts w:cs="Arial"/>
                <w:b/>
                <w:sz w:val="20"/>
                <w:szCs w:val="20"/>
              </w:rPr>
              <w:t>lIst</w:t>
            </w:r>
            <w:proofErr w:type="spellEnd"/>
            <w:r>
              <w:rPr>
                <w:rFonts w:cs="Arial"/>
                <w:b/>
                <w:sz w:val="20"/>
                <w:szCs w:val="20"/>
              </w:rPr>
              <w:t>.</w:t>
            </w:r>
          </w:p>
        </w:tc>
      </w:tr>
    </w:tbl>
    <w:p w14:paraId="393A0DE7" w14:textId="77777777" w:rsidR="00C76C24" w:rsidRDefault="00C76C24" w:rsidP="00C80E3F">
      <w:pPr>
        <w:rPr>
          <w:rFonts w:cs="Arial"/>
          <w:b/>
          <w:sz w:val="20"/>
          <w:szCs w:val="20"/>
        </w:rPr>
      </w:pPr>
    </w:p>
    <w:p w14:paraId="393A0EA0" w14:textId="77777777" w:rsidR="00C80E3F" w:rsidRPr="00432C65" w:rsidRDefault="00C80E3F" w:rsidP="00657405">
      <w:pPr>
        <w:rPr>
          <w:rFonts w:cs="Arial"/>
          <w:b/>
          <w:sz w:val="20"/>
          <w:szCs w:val="20"/>
        </w:rPr>
      </w:pPr>
    </w:p>
    <w:p w14:paraId="5A33A67D" w14:textId="75D11281" w:rsidR="00AE5528" w:rsidRDefault="00AE5528" w:rsidP="00AE5528"/>
    <w:p w14:paraId="0A86E7C0" w14:textId="77777777" w:rsidR="00AE5528" w:rsidRDefault="00AE5528" w:rsidP="00AE5528">
      <w:r>
        <w:t xml:space="preserve"> </w:t>
      </w:r>
    </w:p>
    <w:p w14:paraId="393A0EBA" w14:textId="77777777" w:rsidR="009C5CA7" w:rsidRDefault="001248A3" w:rsidP="002E0043">
      <w:pPr>
        <w:pStyle w:val="Heading2"/>
        <w:keepNext w:val="0"/>
      </w:pPr>
      <w:bookmarkStart w:id="59" w:name="_Toc304800208"/>
      <w:bookmarkStart w:id="60" w:name="_Toc324318344"/>
      <w:bookmarkStart w:id="61" w:name="_Toc324340488"/>
      <w:bookmarkStart w:id="62" w:name="_Toc396897866"/>
      <w:r>
        <w:lastRenderedPageBreak/>
        <w:t>1.</w:t>
      </w:r>
      <w:r w:rsidR="00264B03">
        <w:t xml:space="preserve">4.4 </w:t>
      </w:r>
      <w:r w:rsidR="009C5CA7">
        <w:t xml:space="preserve">Assumptions and </w:t>
      </w:r>
      <w:r w:rsidR="00264B03">
        <w:t>Calculations from other sources—Base and Measure Cases</w:t>
      </w:r>
      <w:bookmarkEnd w:id="59"/>
      <w:bookmarkEnd w:id="60"/>
      <w:bookmarkEnd w:id="61"/>
      <w:bookmarkEnd w:id="62"/>
    </w:p>
    <w:p w14:paraId="6D8BB33D" w14:textId="0EB6CED2" w:rsidR="005E17D0" w:rsidRPr="004727B6" w:rsidRDefault="004727B6" w:rsidP="00063FA7">
      <w:pPr>
        <w:rPr>
          <w:rFonts w:eastAsia="Calibri" w:cs="Arial"/>
          <w:sz w:val="20"/>
          <w:szCs w:val="20"/>
        </w:rPr>
      </w:pPr>
      <w:r w:rsidRPr="004727B6">
        <w:rPr>
          <w:rFonts w:eastAsia="Calibri" w:cs="Arial"/>
          <w:sz w:val="20"/>
          <w:szCs w:val="20"/>
        </w:rPr>
        <w:t>There are no other sources for Base &amp; Measure cases. All cost data sources are listed on</w:t>
      </w:r>
      <w:r w:rsidR="005F5D83" w:rsidRPr="005F5D83">
        <w:t xml:space="preserve"> </w:t>
      </w:r>
      <w:r w:rsidR="005F5D83">
        <w:t>the Cost calculation spreadsheet (Ref 9).</w:t>
      </w:r>
      <w:r w:rsidRPr="004727B6">
        <w:rPr>
          <w:rFonts w:eastAsia="Calibri" w:cs="Arial"/>
          <w:sz w:val="20"/>
          <w:szCs w:val="20"/>
        </w:rPr>
        <w:t xml:space="preserve"> </w:t>
      </w:r>
    </w:p>
    <w:p w14:paraId="1E35450A" w14:textId="77777777" w:rsidR="004727B6" w:rsidRDefault="004727B6" w:rsidP="00063FA7">
      <w:pPr>
        <w:rPr>
          <w:rFonts w:cs="Arial"/>
          <w:b/>
          <w:i/>
          <w:sz w:val="28"/>
          <w:szCs w:val="28"/>
        </w:rPr>
      </w:pPr>
    </w:p>
    <w:p w14:paraId="63216425" w14:textId="130BCB1E" w:rsidR="004727B6"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345F255C" w:rsidR="001178BE" w:rsidRPr="008E23A9" w:rsidRDefault="00FF4E87" w:rsidP="001C2942">
      <w:pPr>
        <w:pStyle w:val="Reminders"/>
        <w:rPr>
          <w:rFonts w:ascii="Arial" w:hAnsi="Arial" w:cs="Arial"/>
          <w:i w:val="0"/>
          <w:color w:val="auto"/>
          <w:sz w:val="20"/>
          <w:szCs w:val="20"/>
        </w:rPr>
      </w:pPr>
      <w:r w:rsidRPr="008E23A9">
        <w:rPr>
          <w:rFonts w:ascii="Arial" w:hAnsi="Arial" w:cs="Arial"/>
          <w:i w:val="0"/>
          <w:color w:val="auto"/>
          <w:sz w:val="20"/>
          <w:szCs w:val="20"/>
        </w:rPr>
        <w:t xml:space="preserve">We are required </w:t>
      </w:r>
      <w:r w:rsidR="001C2942" w:rsidRPr="008E23A9">
        <w:rPr>
          <w:rFonts w:ascii="Arial" w:hAnsi="Arial" w:cs="Arial"/>
          <w:i w:val="0"/>
          <w:color w:val="auto"/>
          <w:sz w:val="20"/>
          <w:szCs w:val="20"/>
        </w:rPr>
        <w:t>by CPUC decision 06-06-063 dated June 29, 2006</w:t>
      </w:r>
      <w:r w:rsidRPr="008E23A9">
        <w:rPr>
          <w:rFonts w:ascii="Arial" w:hAnsi="Arial" w:cs="Arial"/>
          <w:i w:val="0"/>
          <w:color w:val="auto"/>
          <w:sz w:val="20"/>
          <w:szCs w:val="20"/>
        </w:rPr>
        <w:t xml:space="preserve"> to apply </w:t>
      </w:r>
      <w:r w:rsidR="001C2942" w:rsidRPr="008E23A9">
        <w:rPr>
          <w:rFonts w:ascii="Arial" w:hAnsi="Arial" w:cs="Arial"/>
          <w:i w:val="0"/>
          <w:color w:val="auto"/>
          <w:sz w:val="20"/>
          <w:szCs w:val="20"/>
        </w:rPr>
        <w:t xml:space="preserve">time-of-use (TOU) adjustment factors </w:t>
      </w:r>
      <w:r w:rsidRPr="008E23A9">
        <w:rPr>
          <w:rFonts w:ascii="Arial" w:hAnsi="Arial" w:cs="Arial"/>
          <w:i w:val="0"/>
          <w:color w:val="auto"/>
          <w:sz w:val="20"/>
          <w:szCs w:val="20"/>
        </w:rPr>
        <w:t>on</w:t>
      </w:r>
      <w:r w:rsidR="001C2942" w:rsidRPr="008E23A9">
        <w:rPr>
          <w:rFonts w:ascii="Arial" w:hAnsi="Arial" w:cs="Arial"/>
          <w:i w:val="0"/>
          <w:color w:val="auto"/>
          <w:sz w:val="20"/>
          <w:szCs w:val="20"/>
        </w:rPr>
        <w:t xml:space="preserve"> residential A/C and commercial A/C (packaged and split-system direct-expansion cooling) measures only.</w:t>
      </w:r>
      <w:r w:rsidR="00437BE1" w:rsidRPr="008E23A9">
        <w:rPr>
          <w:rFonts w:ascii="Arial" w:hAnsi="Arial" w:cs="Arial"/>
          <w:i w:val="0"/>
          <w:color w:val="auto"/>
          <w:sz w:val="20"/>
          <w:szCs w:val="20"/>
        </w:rPr>
        <w:t xml:space="preserve"> </w:t>
      </w:r>
      <w:r w:rsidR="001C2942" w:rsidRPr="008E23A9">
        <w:rPr>
          <w:rFonts w:ascii="Arial" w:hAnsi="Arial" w:cs="Arial"/>
          <w:i w:val="0"/>
          <w:color w:val="auto"/>
          <w:sz w:val="20"/>
          <w:szCs w:val="20"/>
        </w:rPr>
        <w:t xml:space="preserve"> Since this is not an</w:t>
      </w:r>
      <w:r w:rsidR="008E23A9" w:rsidRPr="008E23A9">
        <w:rPr>
          <w:rFonts w:ascii="Arial" w:hAnsi="Arial" w:cs="Arial"/>
          <w:i w:val="0"/>
          <w:color w:val="auto"/>
          <w:sz w:val="20"/>
          <w:szCs w:val="20"/>
        </w:rPr>
        <w:t xml:space="preserve"> </w:t>
      </w:r>
      <w:r w:rsidR="008E23A9" w:rsidRPr="00535E80">
        <w:rPr>
          <w:rFonts w:ascii="Arial" w:hAnsi="Arial" w:cs="Arial"/>
          <w:i w:val="0"/>
          <w:color w:val="auto"/>
          <w:sz w:val="20"/>
          <w:szCs w:val="20"/>
        </w:rPr>
        <w:t>identifiable</w:t>
      </w:r>
      <w:r w:rsidR="001C2942" w:rsidRPr="008E23A9">
        <w:rPr>
          <w:rFonts w:ascii="Arial" w:hAnsi="Arial" w:cs="Arial"/>
          <w:i w:val="0"/>
          <w:color w:val="auto"/>
          <w:sz w:val="20"/>
          <w:szCs w:val="20"/>
        </w:rPr>
        <w:t xml:space="preserve"> A/C measure, the TOU adjustment factor is 0.</w:t>
      </w:r>
      <w:r w:rsidR="00437BE1" w:rsidRPr="008E23A9">
        <w:rPr>
          <w:rFonts w:ascii="Arial" w:hAnsi="Arial" w:cs="Arial"/>
          <w:i w:val="0"/>
          <w:color w:val="auto"/>
          <w:sz w:val="20"/>
          <w:szCs w:val="20"/>
        </w:rPr>
        <w:t xml:space="preserve"> </w:t>
      </w:r>
    </w:p>
    <w:p w14:paraId="393A0FED" w14:textId="77777777" w:rsidR="001C2942" w:rsidRDefault="001C2942" w:rsidP="00A02F0A"/>
    <w:p w14:paraId="5BDC2F79" w14:textId="77777777" w:rsidR="008E23A9" w:rsidRDefault="008E23A9" w:rsidP="00A02F0A"/>
    <w:p w14:paraId="393A0FEE" w14:textId="77777777" w:rsidR="00C069A2" w:rsidRPr="00EA38B4" w:rsidRDefault="001248A3" w:rsidP="001178BE">
      <w:pPr>
        <w:keepNext/>
        <w:rPr>
          <w:rFonts w:cs="Arial"/>
          <w:b/>
          <w:i/>
          <w:sz w:val="28"/>
          <w:szCs w:val="28"/>
        </w:rPr>
      </w:pPr>
      <w:bookmarkStart w:id="63"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3"/>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Pr="00ED4EC4" w:rsidRDefault="001A3026"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14:paraId="393A0FFE" w14:textId="77777777" w:rsidTr="001E4C31">
        <w:tc>
          <w:tcPr>
            <w:tcW w:w="1772" w:type="dxa"/>
            <w:shd w:val="pct5" w:color="000000" w:fill="FFFFFF"/>
            <w:vAlign w:val="bottom"/>
          </w:tcPr>
          <w:p w14:paraId="393A0FF8" w14:textId="77777777" w:rsidR="00836F9B" w:rsidRPr="001E4C31" w:rsidRDefault="00836F9B"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2B716A3B" w:rsidR="00836F9B" w:rsidRPr="009A2A5B" w:rsidRDefault="009A2A5B" w:rsidP="001E4C31">
            <w:pPr>
              <w:keepNext/>
              <w:jc w:val="center"/>
              <w:rPr>
                <w:rFonts w:cs="Arial"/>
                <w:sz w:val="20"/>
                <w:szCs w:val="20"/>
              </w:rPr>
            </w:pPr>
            <w:r w:rsidRPr="009A2A5B">
              <w:rPr>
                <w:rFonts w:cs="Arial"/>
                <w:sz w:val="20"/>
                <w:szCs w:val="20"/>
              </w:rPr>
              <w:t>Any</w:t>
            </w:r>
          </w:p>
        </w:tc>
        <w:tc>
          <w:tcPr>
            <w:tcW w:w="1461" w:type="dxa"/>
            <w:shd w:val="pct5" w:color="000000" w:fill="FFFFFF"/>
            <w:vAlign w:val="bottom"/>
          </w:tcPr>
          <w:p w14:paraId="393A0FFA" w14:textId="1477C99B" w:rsidR="00836F9B" w:rsidRPr="009A2A5B" w:rsidRDefault="009A2A5B" w:rsidP="001E4C31">
            <w:pPr>
              <w:keepNext/>
              <w:jc w:val="center"/>
              <w:rPr>
                <w:rFonts w:cs="Arial"/>
                <w:sz w:val="20"/>
                <w:szCs w:val="20"/>
              </w:rPr>
            </w:pPr>
            <w:r w:rsidRPr="009A2A5B">
              <w:rPr>
                <w:rFonts w:cs="Arial"/>
                <w:sz w:val="20"/>
                <w:szCs w:val="20"/>
              </w:rPr>
              <w:t>0</w:t>
            </w:r>
          </w:p>
        </w:tc>
        <w:tc>
          <w:tcPr>
            <w:tcW w:w="1399" w:type="dxa"/>
            <w:shd w:val="pct5" w:color="000000" w:fill="FFFFFF"/>
            <w:vAlign w:val="bottom"/>
          </w:tcPr>
          <w:p w14:paraId="393A0FFB" w14:textId="527DF1E2" w:rsidR="00836F9B" w:rsidRPr="009A2A5B" w:rsidRDefault="009A2A5B" w:rsidP="001E4C31">
            <w:pPr>
              <w:keepNext/>
              <w:jc w:val="center"/>
              <w:rPr>
                <w:rFonts w:cs="Arial"/>
                <w:i/>
                <w:sz w:val="20"/>
                <w:szCs w:val="20"/>
              </w:rPr>
            </w:pPr>
            <w:r w:rsidRPr="009A2A5B">
              <w:rPr>
                <w:rFonts w:cs="Arial"/>
                <w:i/>
                <w:sz w:val="20"/>
                <w:szCs w:val="20"/>
              </w:rPr>
              <w:t>-</w:t>
            </w:r>
          </w:p>
        </w:tc>
        <w:tc>
          <w:tcPr>
            <w:tcW w:w="1473" w:type="dxa"/>
            <w:shd w:val="pct5" w:color="000000" w:fill="FFFFFF"/>
            <w:vAlign w:val="bottom"/>
          </w:tcPr>
          <w:p w14:paraId="393A0FFC" w14:textId="39051EB5" w:rsidR="00836F9B" w:rsidRPr="009A2A5B" w:rsidRDefault="009A2A5B" w:rsidP="001E4C31">
            <w:pPr>
              <w:keepNext/>
              <w:jc w:val="center"/>
              <w:rPr>
                <w:rFonts w:cs="Arial"/>
                <w:i/>
                <w:sz w:val="20"/>
                <w:szCs w:val="20"/>
              </w:rPr>
            </w:pPr>
            <w:r w:rsidRPr="009A2A5B">
              <w:rPr>
                <w:rFonts w:cs="Arial"/>
                <w:i/>
                <w:sz w:val="20"/>
                <w:szCs w:val="20"/>
              </w:rPr>
              <w:t xml:space="preserve">293 </w:t>
            </w:r>
            <w:r w:rsidR="005E17D0" w:rsidRPr="009A2A5B">
              <w:rPr>
                <w:rFonts w:cs="Arial"/>
                <w:i/>
                <w:sz w:val="20"/>
                <w:szCs w:val="20"/>
              </w:rPr>
              <w:t>kWh/</w:t>
            </w:r>
            <w:proofErr w:type="spellStart"/>
            <w:r w:rsidR="005E17D0" w:rsidRPr="009A2A5B">
              <w:rPr>
                <w:rFonts w:cs="Arial"/>
                <w:i/>
                <w:sz w:val="20"/>
                <w:szCs w:val="20"/>
              </w:rPr>
              <w:t>yr</w:t>
            </w:r>
            <w:proofErr w:type="spellEnd"/>
          </w:p>
        </w:tc>
        <w:tc>
          <w:tcPr>
            <w:tcW w:w="1736" w:type="dxa"/>
            <w:shd w:val="pct5" w:color="000000" w:fill="FFFFFF"/>
            <w:vAlign w:val="bottom"/>
          </w:tcPr>
          <w:p w14:paraId="393A0FFD" w14:textId="49166405" w:rsidR="00836F9B" w:rsidRPr="009A2A5B" w:rsidRDefault="00836F9B" w:rsidP="00AE5528">
            <w:pPr>
              <w:keepNext/>
              <w:jc w:val="center"/>
              <w:rPr>
                <w:rFonts w:cs="Arial"/>
                <w:i/>
                <w:sz w:val="20"/>
                <w:szCs w:val="20"/>
              </w:rPr>
            </w:pPr>
            <w:r w:rsidRPr="009A2A5B">
              <w:rPr>
                <w:rFonts w:cs="Arial"/>
                <w:i/>
                <w:sz w:val="20"/>
                <w:szCs w:val="20"/>
              </w:rPr>
              <w:t>Section 1.4.</w:t>
            </w:r>
            <w:r w:rsidR="00AE5528" w:rsidRPr="009A2A5B">
              <w:rPr>
                <w:rFonts w:cs="Arial"/>
                <w:i/>
                <w:sz w:val="20"/>
                <w:szCs w:val="20"/>
              </w:rPr>
              <w:t>3</w:t>
            </w:r>
          </w:p>
        </w:tc>
      </w:tr>
      <w:tr w:rsidR="009B1863" w:rsidRPr="00783DAC" w14:paraId="393A1005" w14:textId="77777777" w:rsidTr="001E4C31">
        <w:tc>
          <w:tcPr>
            <w:tcW w:w="1772" w:type="dxa"/>
            <w:shd w:val="pct20" w:color="000000" w:fill="FFFFFF"/>
            <w:vAlign w:val="bottom"/>
          </w:tcPr>
          <w:p w14:paraId="393A0FFF" w14:textId="02647671"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393A1000" w14:textId="6DA314C2" w:rsidR="00836F9B" w:rsidRPr="009A2A5B" w:rsidRDefault="009A2A5B" w:rsidP="001E4C31">
            <w:pPr>
              <w:keepNext/>
              <w:jc w:val="center"/>
              <w:rPr>
                <w:rFonts w:cs="Arial"/>
                <w:sz w:val="20"/>
                <w:szCs w:val="20"/>
              </w:rPr>
            </w:pPr>
            <w:r w:rsidRPr="009A2A5B">
              <w:rPr>
                <w:rFonts w:cs="Arial"/>
                <w:sz w:val="20"/>
                <w:szCs w:val="20"/>
              </w:rPr>
              <w:t>-</w:t>
            </w:r>
          </w:p>
        </w:tc>
        <w:tc>
          <w:tcPr>
            <w:tcW w:w="1461" w:type="dxa"/>
            <w:shd w:val="pct20" w:color="000000" w:fill="FFFFFF"/>
            <w:vAlign w:val="bottom"/>
          </w:tcPr>
          <w:p w14:paraId="393A1001" w14:textId="44B55C3E" w:rsidR="00836F9B" w:rsidRPr="009A2A5B" w:rsidRDefault="009A2A5B" w:rsidP="001E4C31">
            <w:pPr>
              <w:keepNext/>
              <w:jc w:val="center"/>
              <w:rPr>
                <w:rFonts w:cs="Arial"/>
                <w:sz w:val="20"/>
                <w:szCs w:val="20"/>
              </w:rPr>
            </w:pPr>
            <w:r w:rsidRPr="009A2A5B">
              <w:rPr>
                <w:rFonts w:cs="Arial"/>
                <w:sz w:val="20"/>
                <w:szCs w:val="20"/>
              </w:rPr>
              <w:t>-</w:t>
            </w:r>
          </w:p>
        </w:tc>
        <w:tc>
          <w:tcPr>
            <w:tcW w:w="1399" w:type="dxa"/>
            <w:shd w:val="pct20" w:color="000000" w:fill="FFFFFF"/>
            <w:vAlign w:val="bottom"/>
          </w:tcPr>
          <w:p w14:paraId="393A1002" w14:textId="7CA09B00" w:rsidR="00836F9B" w:rsidRPr="009A2A5B" w:rsidRDefault="009A2A5B" w:rsidP="001E4C31">
            <w:pPr>
              <w:keepNext/>
              <w:jc w:val="center"/>
              <w:rPr>
                <w:rFonts w:cs="Arial"/>
                <w:sz w:val="20"/>
                <w:szCs w:val="20"/>
              </w:rPr>
            </w:pPr>
            <w:r w:rsidRPr="009A2A5B">
              <w:rPr>
                <w:rFonts w:cs="Arial"/>
                <w:sz w:val="20"/>
                <w:szCs w:val="20"/>
              </w:rPr>
              <w:t>-</w:t>
            </w:r>
          </w:p>
        </w:tc>
        <w:tc>
          <w:tcPr>
            <w:tcW w:w="1473" w:type="dxa"/>
            <w:shd w:val="pct20" w:color="000000" w:fill="FFFFFF"/>
            <w:vAlign w:val="bottom"/>
          </w:tcPr>
          <w:p w14:paraId="393A1003" w14:textId="38673F18" w:rsidR="00836F9B" w:rsidRPr="009A2A5B" w:rsidRDefault="009A2A5B" w:rsidP="001E4C31">
            <w:pPr>
              <w:keepNext/>
              <w:jc w:val="center"/>
              <w:rPr>
                <w:rFonts w:cs="Arial"/>
                <w:sz w:val="20"/>
                <w:szCs w:val="20"/>
              </w:rPr>
            </w:pPr>
            <w:r w:rsidRPr="009A2A5B">
              <w:rPr>
                <w:rFonts w:cs="Arial"/>
                <w:sz w:val="20"/>
                <w:szCs w:val="20"/>
              </w:rPr>
              <w:t>0</w:t>
            </w:r>
          </w:p>
        </w:tc>
        <w:tc>
          <w:tcPr>
            <w:tcW w:w="1736" w:type="dxa"/>
            <w:shd w:val="pct20" w:color="000000" w:fill="FFFFFF"/>
            <w:vAlign w:val="bottom"/>
          </w:tcPr>
          <w:p w14:paraId="393A1004" w14:textId="6BEC4B5D" w:rsidR="00836F9B" w:rsidRPr="009A2A5B" w:rsidRDefault="009A2A5B" w:rsidP="001E4C31">
            <w:pPr>
              <w:keepNext/>
              <w:jc w:val="center"/>
              <w:rPr>
                <w:rFonts w:cs="Arial"/>
                <w:sz w:val="20"/>
                <w:szCs w:val="20"/>
              </w:rPr>
            </w:pPr>
            <w:r w:rsidRPr="009A2A5B">
              <w:rPr>
                <w:rFonts w:cs="Arial"/>
                <w:sz w:val="20"/>
                <w:szCs w:val="20"/>
              </w:rPr>
              <w:t>-</w:t>
            </w:r>
          </w:p>
        </w:tc>
      </w:tr>
      <w:tr w:rsidR="009B1863" w:rsidRPr="00783DAC" w14:paraId="393A100C" w14:textId="77777777" w:rsidTr="001E4C31">
        <w:tc>
          <w:tcPr>
            <w:tcW w:w="1772" w:type="dxa"/>
            <w:shd w:val="pct5" w:color="000000" w:fill="FFFFFF"/>
            <w:vAlign w:val="bottom"/>
          </w:tcPr>
          <w:p w14:paraId="393A1006" w14:textId="77777777"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286CB687" w:rsidR="00836F9B" w:rsidRPr="009A2A5B" w:rsidRDefault="00836F9B" w:rsidP="009A2A5B">
            <w:pPr>
              <w:keepNext/>
              <w:jc w:val="center"/>
              <w:rPr>
                <w:rFonts w:cs="Arial"/>
                <w:sz w:val="20"/>
                <w:szCs w:val="20"/>
              </w:rPr>
            </w:pPr>
          </w:p>
        </w:tc>
        <w:tc>
          <w:tcPr>
            <w:tcW w:w="1461" w:type="dxa"/>
            <w:shd w:val="pct5" w:color="000000" w:fill="FFFFFF"/>
            <w:vAlign w:val="bottom"/>
          </w:tcPr>
          <w:p w14:paraId="393A1008" w14:textId="77777777" w:rsidR="00836F9B" w:rsidRPr="009A2A5B" w:rsidRDefault="00836F9B" w:rsidP="001E4C31">
            <w:pPr>
              <w:keepNext/>
              <w:jc w:val="center"/>
              <w:rPr>
                <w:rFonts w:cs="Arial"/>
                <w:sz w:val="20"/>
                <w:szCs w:val="20"/>
              </w:rPr>
            </w:pPr>
          </w:p>
        </w:tc>
        <w:tc>
          <w:tcPr>
            <w:tcW w:w="1399" w:type="dxa"/>
            <w:shd w:val="pct5" w:color="000000" w:fill="FFFFFF"/>
            <w:vAlign w:val="bottom"/>
          </w:tcPr>
          <w:p w14:paraId="393A1009" w14:textId="77777777" w:rsidR="00836F9B" w:rsidRPr="009A2A5B" w:rsidRDefault="00836F9B" w:rsidP="001E4C31">
            <w:pPr>
              <w:keepNext/>
              <w:jc w:val="center"/>
              <w:rPr>
                <w:rFonts w:cs="Arial"/>
                <w:sz w:val="20"/>
                <w:szCs w:val="20"/>
              </w:rPr>
            </w:pPr>
          </w:p>
        </w:tc>
        <w:tc>
          <w:tcPr>
            <w:tcW w:w="1473" w:type="dxa"/>
            <w:shd w:val="pct5" w:color="000000" w:fill="FFFFFF"/>
            <w:vAlign w:val="bottom"/>
          </w:tcPr>
          <w:p w14:paraId="393A100A" w14:textId="77777777" w:rsidR="00836F9B" w:rsidRPr="009A2A5B" w:rsidRDefault="00836F9B" w:rsidP="001E4C31">
            <w:pPr>
              <w:keepNext/>
              <w:jc w:val="center"/>
              <w:rPr>
                <w:rFonts w:cs="Arial"/>
                <w:sz w:val="20"/>
                <w:szCs w:val="20"/>
              </w:rPr>
            </w:pPr>
          </w:p>
        </w:tc>
        <w:tc>
          <w:tcPr>
            <w:tcW w:w="1736" w:type="dxa"/>
            <w:shd w:val="pct5" w:color="000000" w:fill="FFFFFF"/>
            <w:vAlign w:val="bottom"/>
          </w:tcPr>
          <w:p w14:paraId="393A100B" w14:textId="77777777" w:rsidR="00836F9B" w:rsidRPr="009A2A5B" w:rsidRDefault="00836F9B" w:rsidP="001E4C31">
            <w:pPr>
              <w:keepNext/>
              <w:jc w:val="center"/>
              <w:rPr>
                <w:rFonts w:cs="Arial"/>
                <w:sz w:val="20"/>
                <w:szCs w:val="20"/>
              </w:rPr>
            </w:pPr>
          </w:p>
        </w:tc>
      </w:tr>
      <w:tr w:rsidR="009B1863" w:rsidRPr="00783DAC" w14:paraId="393A1013" w14:textId="77777777" w:rsidTr="001E4C31">
        <w:tc>
          <w:tcPr>
            <w:tcW w:w="1772" w:type="dxa"/>
            <w:shd w:val="pct20" w:color="000000" w:fill="FFFFFF"/>
            <w:vAlign w:val="bottom"/>
          </w:tcPr>
          <w:p w14:paraId="393A100D" w14:textId="77777777"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393A100E" w14:textId="07CE23DC" w:rsidR="00836F9B" w:rsidRPr="009A2A5B" w:rsidRDefault="009A2A5B" w:rsidP="001E4C31">
            <w:pPr>
              <w:keepNext/>
              <w:jc w:val="center"/>
              <w:rPr>
                <w:rFonts w:cs="Arial"/>
                <w:sz w:val="20"/>
                <w:szCs w:val="20"/>
              </w:rPr>
            </w:pPr>
            <w:r w:rsidRPr="009A2A5B">
              <w:rPr>
                <w:rFonts w:cs="Arial"/>
                <w:sz w:val="20"/>
                <w:szCs w:val="20"/>
              </w:rPr>
              <w:t>ROB</w:t>
            </w:r>
          </w:p>
        </w:tc>
        <w:tc>
          <w:tcPr>
            <w:tcW w:w="1461" w:type="dxa"/>
            <w:shd w:val="pct20" w:color="000000" w:fill="FFFFFF"/>
            <w:vAlign w:val="bottom"/>
          </w:tcPr>
          <w:p w14:paraId="393A100F" w14:textId="0A4271B0" w:rsidR="00836F9B" w:rsidRPr="009A2A5B" w:rsidRDefault="009A2A5B" w:rsidP="001E4C31">
            <w:pPr>
              <w:keepNext/>
              <w:jc w:val="center"/>
              <w:rPr>
                <w:rFonts w:cs="Arial"/>
                <w:sz w:val="20"/>
                <w:szCs w:val="20"/>
              </w:rPr>
            </w:pPr>
            <w:r w:rsidRPr="009A2A5B">
              <w:rPr>
                <w:rFonts w:cs="Arial"/>
                <w:sz w:val="20"/>
                <w:szCs w:val="20"/>
              </w:rPr>
              <w:t>0</w:t>
            </w:r>
          </w:p>
        </w:tc>
        <w:tc>
          <w:tcPr>
            <w:tcW w:w="1399" w:type="dxa"/>
            <w:shd w:val="pct20" w:color="000000" w:fill="FFFFFF"/>
            <w:vAlign w:val="bottom"/>
          </w:tcPr>
          <w:p w14:paraId="393A1010" w14:textId="32101A58" w:rsidR="00836F9B" w:rsidRPr="009A2A5B" w:rsidRDefault="009A2A5B" w:rsidP="001E4C31">
            <w:pPr>
              <w:keepNext/>
              <w:jc w:val="center"/>
              <w:rPr>
                <w:rFonts w:cs="Arial"/>
                <w:sz w:val="20"/>
                <w:szCs w:val="20"/>
              </w:rPr>
            </w:pPr>
            <w:r w:rsidRPr="009A2A5B">
              <w:rPr>
                <w:rFonts w:cs="Arial"/>
                <w:sz w:val="20"/>
                <w:szCs w:val="20"/>
              </w:rPr>
              <w:t>-</w:t>
            </w:r>
          </w:p>
        </w:tc>
        <w:tc>
          <w:tcPr>
            <w:tcW w:w="1473" w:type="dxa"/>
            <w:shd w:val="pct20" w:color="000000" w:fill="FFFFFF"/>
            <w:vAlign w:val="bottom"/>
          </w:tcPr>
          <w:p w14:paraId="393A1011" w14:textId="0719AA98" w:rsidR="00836F9B" w:rsidRPr="009A2A5B" w:rsidRDefault="009A2A5B" w:rsidP="001E4C31">
            <w:pPr>
              <w:keepNext/>
              <w:jc w:val="center"/>
              <w:rPr>
                <w:rFonts w:cs="Arial"/>
                <w:sz w:val="20"/>
                <w:szCs w:val="20"/>
              </w:rPr>
            </w:pPr>
            <w:r w:rsidRPr="009A2A5B">
              <w:rPr>
                <w:rFonts w:cs="Arial"/>
                <w:sz w:val="20"/>
                <w:szCs w:val="20"/>
              </w:rPr>
              <w:t>$</w:t>
            </w:r>
            <w:r w:rsidR="00B301AF">
              <w:rPr>
                <w:rFonts w:cs="Arial"/>
                <w:sz w:val="20"/>
                <w:szCs w:val="20"/>
              </w:rPr>
              <w:t>24.65</w:t>
            </w:r>
          </w:p>
        </w:tc>
        <w:tc>
          <w:tcPr>
            <w:tcW w:w="1736" w:type="dxa"/>
            <w:shd w:val="pct20" w:color="000000" w:fill="FFFFFF"/>
            <w:vAlign w:val="bottom"/>
          </w:tcPr>
          <w:p w14:paraId="393A1012" w14:textId="77777777" w:rsidR="00836F9B" w:rsidRPr="009A2A5B" w:rsidRDefault="00836F9B" w:rsidP="001E4C31">
            <w:pPr>
              <w:keepNext/>
              <w:jc w:val="center"/>
              <w:rPr>
                <w:rFonts w:cs="Arial"/>
                <w:sz w:val="20"/>
                <w:szCs w:val="20"/>
              </w:rPr>
            </w:pPr>
          </w:p>
        </w:tc>
      </w:tr>
      <w:tr w:rsidR="009B1863" w:rsidRPr="00783DAC" w14:paraId="393A101A" w14:textId="77777777" w:rsidTr="001E4C31">
        <w:tc>
          <w:tcPr>
            <w:tcW w:w="1772" w:type="dxa"/>
            <w:shd w:val="pct5" w:color="000000" w:fill="FFFFFF"/>
            <w:vAlign w:val="bottom"/>
          </w:tcPr>
          <w:p w14:paraId="393A1014" w14:textId="77777777"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393A1015" w14:textId="4F2CFD3F" w:rsidR="00836F9B" w:rsidRPr="009A2A5B" w:rsidRDefault="009A2A5B" w:rsidP="001E4C31">
            <w:pPr>
              <w:keepNext/>
              <w:jc w:val="center"/>
              <w:rPr>
                <w:rFonts w:cs="Arial"/>
                <w:sz w:val="20"/>
                <w:szCs w:val="20"/>
              </w:rPr>
            </w:pPr>
            <w:r w:rsidRPr="009A2A5B">
              <w:rPr>
                <w:rFonts w:cs="Arial"/>
                <w:sz w:val="20"/>
                <w:szCs w:val="20"/>
              </w:rPr>
              <w:t>ROB</w:t>
            </w:r>
          </w:p>
        </w:tc>
        <w:tc>
          <w:tcPr>
            <w:tcW w:w="1461" w:type="dxa"/>
            <w:shd w:val="pct5" w:color="000000" w:fill="FFFFFF"/>
            <w:vAlign w:val="bottom"/>
          </w:tcPr>
          <w:p w14:paraId="393A1016" w14:textId="0BFC3048" w:rsidR="00836F9B" w:rsidRPr="009A2A5B" w:rsidRDefault="009A2A5B" w:rsidP="001E4C31">
            <w:pPr>
              <w:keepNext/>
              <w:jc w:val="center"/>
              <w:rPr>
                <w:rFonts w:cs="Arial"/>
                <w:sz w:val="20"/>
                <w:szCs w:val="20"/>
              </w:rPr>
            </w:pPr>
            <w:r w:rsidRPr="009A2A5B">
              <w:rPr>
                <w:rFonts w:cs="Arial"/>
                <w:sz w:val="20"/>
                <w:szCs w:val="20"/>
              </w:rPr>
              <w:t>0</w:t>
            </w:r>
          </w:p>
        </w:tc>
        <w:tc>
          <w:tcPr>
            <w:tcW w:w="1399" w:type="dxa"/>
            <w:shd w:val="pct5" w:color="000000" w:fill="FFFFFF"/>
            <w:vAlign w:val="bottom"/>
          </w:tcPr>
          <w:p w14:paraId="393A1017" w14:textId="64D4FE30" w:rsidR="00836F9B" w:rsidRPr="009A2A5B" w:rsidRDefault="009A2A5B" w:rsidP="001E4C31">
            <w:pPr>
              <w:keepNext/>
              <w:jc w:val="center"/>
              <w:rPr>
                <w:rFonts w:cs="Arial"/>
                <w:sz w:val="20"/>
                <w:szCs w:val="20"/>
              </w:rPr>
            </w:pPr>
            <w:r w:rsidRPr="009A2A5B">
              <w:rPr>
                <w:rFonts w:cs="Arial"/>
                <w:sz w:val="20"/>
                <w:szCs w:val="20"/>
              </w:rPr>
              <w:t>-</w:t>
            </w:r>
          </w:p>
        </w:tc>
        <w:tc>
          <w:tcPr>
            <w:tcW w:w="1473" w:type="dxa"/>
            <w:shd w:val="pct5" w:color="000000" w:fill="FFFFFF"/>
            <w:vAlign w:val="bottom"/>
          </w:tcPr>
          <w:p w14:paraId="393A1018" w14:textId="493F6B35" w:rsidR="00836F9B" w:rsidRPr="009A2A5B" w:rsidRDefault="009A2A5B" w:rsidP="001E4C31">
            <w:pPr>
              <w:keepNext/>
              <w:jc w:val="center"/>
              <w:rPr>
                <w:rFonts w:cs="Arial"/>
                <w:sz w:val="20"/>
                <w:szCs w:val="20"/>
              </w:rPr>
            </w:pPr>
            <w:r w:rsidRPr="009A2A5B">
              <w:rPr>
                <w:rFonts w:cs="Arial"/>
                <w:sz w:val="20"/>
                <w:szCs w:val="20"/>
              </w:rPr>
              <w:t>$</w:t>
            </w:r>
            <w:r w:rsidR="00B301AF">
              <w:rPr>
                <w:rFonts w:cs="Arial"/>
                <w:sz w:val="20"/>
                <w:szCs w:val="20"/>
              </w:rPr>
              <w:t>24.65</w:t>
            </w:r>
          </w:p>
        </w:tc>
        <w:tc>
          <w:tcPr>
            <w:tcW w:w="1736" w:type="dxa"/>
            <w:shd w:val="pct5" w:color="000000" w:fill="FFFFFF"/>
            <w:vAlign w:val="bottom"/>
          </w:tcPr>
          <w:p w14:paraId="393A1019" w14:textId="77777777" w:rsidR="00836F9B" w:rsidRPr="009A2A5B" w:rsidRDefault="00836F9B" w:rsidP="001E4C31">
            <w:pPr>
              <w:keepNext/>
              <w:jc w:val="center"/>
              <w:rPr>
                <w:rFonts w:cs="Arial"/>
                <w:sz w:val="20"/>
                <w:szCs w:val="20"/>
              </w:rPr>
            </w:pPr>
          </w:p>
        </w:tc>
      </w:tr>
      <w:tr w:rsidR="009B1863" w:rsidRPr="00783DAC" w14:paraId="393A1021" w14:textId="77777777" w:rsidTr="001E4C31">
        <w:tc>
          <w:tcPr>
            <w:tcW w:w="1772" w:type="dxa"/>
            <w:shd w:val="pct20" w:color="000000" w:fill="FFFFFF"/>
            <w:vAlign w:val="bottom"/>
          </w:tcPr>
          <w:p w14:paraId="393A101B" w14:textId="30BA5A27" w:rsidR="00836F9B" w:rsidRPr="001E4C31" w:rsidRDefault="00836F9B" w:rsidP="001E4C31">
            <w:pPr>
              <w:keepNext/>
              <w:jc w:val="center"/>
              <w:rPr>
                <w:rFonts w:cs="Arial"/>
                <w:b/>
                <w:sz w:val="20"/>
                <w:szCs w:val="20"/>
              </w:rPr>
            </w:pPr>
            <w:r w:rsidRPr="001E4C31">
              <w:rPr>
                <w:rFonts w:cs="Arial"/>
                <w:b/>
                <w:sz w:val="20"/>
                <w:szCs w:val="20"/>
              </w:rPr>
              <w:t xml:space="preserve">EUL </w:t>
            </w:r>
          </w:p>
        </w:tc>
        <w:tc>
          <w:tcPr>
            <w:tcW w:w="1735" w:type="dxa"/>
            <w:shd w:val="pct20" w:color="000000" w:fill="FFFFFF"/>
            <w:vAlign w:val="bottom"/>
          </w:tcPr>
          <w:p w14:paraId="393A101C" w14:textId="4B05DA3E" w:rsidR="00836F9B" w:rsidRPr="009A2A5B" w:rsidRDefault="00AE5528" w:rsidP="001E4C31">
            <w:pPr>
              <w:keepNext/>
              <w:jc w:val="center"/>
              <w:rPr>
                <w:rFonts w:cs="Arial"/>
                <w:sz w:val="20"/>
                <w:szCs w:val="20"/>
              </w:rPr>
            </w:pPr>
            <w:r w:rsidRPr="009A2A5B">
              <w:rPr>
                <w:rFonts w:cs="Arial"/>
                <w:sz w:val="20"/>
                <w:szCs w:val="20"/>
              </w:rPr>
              <w:t>ROB</w:t>
            </w:r>
          </w:p>
        </w:tc>
        <w:tc>
          <w:tcPr>
            <w:tcW w:w="1461" w:type="dxa"/>
            <w:shd w:val="pct20" w:color="000000" w:fill="FFFFFF"/>
            <w:vAlign w:val="bottom"/>
          </w:tcPr>
          <w:p w14:paraId="393A101D" w14:textId="77777777" w:rsidR="00836F9B" w:rsidRPr="009A2A5B" w:rsidRDefault="00836F9B" w:rsidP="001E4C31">
            <w:pPr>
              <w:keepNext/>
              <w:jc w:val="center"/>
              <w:rPr>
                <w:rFonts w:cs="Arial"/>
                <w:sz w:val="20"/>
                <w:szCs w:val="20"/>
              </w:rPr>
            </w:pPr>
          </w:p>
        </w:tc>
        <w:tc>
          <w:tcPr>
            <w:tcW w:w="1399" w:type="dxa"/>
            <w:shd w:val="pct20" w:color="000000" w:fill="FFFFFF"/>
            <w:vAlign w:val="bottom"/>
          </w:tcPr>
          <w:p w14:paraId="393A101E" w14:textId="77777777" w:rsidR="00836F9B" w:rsidRPr="009A2A5B" w:rsidRDefault="00836F9B" w:rsidP="001E4C31">
            <w:pPr>
              <w:keepNext/>
              <w:jc w:val="center"/>
              <w:rPr>
                <w:rFonts w:cs="Arial"/>
                <w:sz w:val="20"/>
                <w:szCs w:val="20"/>
              </w:rPr>
            </w:pPr>
          </w:p>
        </w:tc>
        <w:tc>
          <w:tcPr>
            <w:tcW w:w="1473" w:type="dxa"/>
            <w:shd w:val="pct20" w:color="000000" w:fill="FFFFFF"/>
            <w:vAlign w:val="bottom"/>
          </w:tcPr>
          <w:p w14:paraId="393A101F" w14:textId="2B7EC723" w:rsidR="00836F9B" w:rsidRPr="009A2A5B" w:rsidRDefault="005E17D0" w:rsidP="001E4C31">
            <w:pPr>
              <w:keepNext/>
              <w:jc w:val="center"/>
              <w:rPr>
                <w:rFonts w:cs="Arial"/>
                <w:sz w:val="20"/>
                <w:szCs w:val="20"/>
              </w:rPr>
            </w:pPr>
            <w:r w:rsidRPr="009A2A5B">
              <w:rPr>
                <w:rFonts w:cs="Arial"/>
                <w:sz w:val="20"/>
                <w:szCs w:val="20"/>
              </w:rPr>
              <w:t>3</w:t>
            </w:r>
          </w:p>
        </w:tc>
        <w:tc>
          <w:tcPr>
            <w:tcW w:w="1736" w:type="dxa"/>
            <w:shd w:val="pct20" w:color="000000" w:fill="FFFFFF"/>
            <w:vAlign w:val="bottom"/>
          </w:tcPr>
          <w:p w14:paraId="393A1020" w14:textId="78215BD6" w:rsidR="00836F9B" w:rsidRPr="009A2A5B" w:rsidRDefault="005E17D0" w:rsidP="001E4C31">
            <w:pPr>
              <w:keepNext/>
              <w:jc w:val="center"/>
              <w:rPr>
                <w:rFonts w:cs="Arial"/>
                <w:sz w:val="20"/>
                <w:szCs w:val="20"/>
              </w:rPr>
            </w:pPr>
            <w:r w:rsidRPr="009A2A5B">
              <w:rPr>
                <w:rFonts w:cs="Arial"/>
                <w:sz w:val="20"/>
                <w:szCs w:val="20"/>
              </w:rPr>
              <w:t>Section 1.4.1</w:t>
            </w:r>
          </w:p>
        </w:tc>
      </w:tr>
      <w:tr w:rsidR="009B1863" w:rsidRPr="00783DAC" w14:paraId="393A1028" w14:textId="77777777" w:rsidTr="001E4C31">
        <w:tc>
          <w:tcPr>
            <w:tcW w:w="1772" w:type="dxa"/>
            <w:shd w:val="pct5" w:color="000000" w:fill="FFFFFF"/>
            <w:vAlign w:val="bottom"/>
          </w:tcPr>
          <w:p w14:paraId="393A1022" w14:textId="77777777"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53C5BF33" w:rsidR="00836F9B" w:rsidRPr="009A2A5B" w:rsidRDefault="00AE5528" w:rsidP="001E4C31">
            <w:pPr>
              <w:keepNext/>
              <w:jc w:val="center"/>
              <w:rPr>
                <w:rFonts w:cs="Arial"/>
                <w:sz w:val="20"/>
                <w:szCs w:val="20"/>
              </w:rPr>
            </w:pPr>
            <w:proofErr w:type="spellStart"/>
            <w:r w:rsidRPr="009A2A5B">
              <w:rPr>
                <w:rFonts w:cs="Arial"/>
                <w:sz w:val="20"/>
                <w:szCs w:val="20"/>
              </w:rPr>
              <w:t>Std</w:t>
            </w:r>
            <w:proofErr w:type="spellEnd"/>
            <w:r w:rsidRPr="009A2A5B">
              <w:rPr>
                <w:rFonts w:cs="Arial"/>
                <w:sz w:val="20"/>
                <w:szCs w:val="20"/>
              </w:rPr>
              <w:t xml:space="preserve"> </w:t>
            </w:r>
          </w:p>
        </w:tc>
        <w:tc>
          <w:tcPr>
            <w:tcW w:w="1461" w:type="dxa"/>
            <w:shd w:val="pct5" w:color="000000" w:fill="FFFFFF"/>
            <w:vAlign w:val="bottom"/>
          </w:tcPr>
          <w:p w14:paraId="393A1024" w14:textId="77777777" w:rsidR="00836F9B" w:rsidRPr="009A2A5B" w:rsidRDefault="00836F9B" w:rsidP="001E4C31">
            <w:pPr>
              <w:keepNext/>
              <w:jc w:val="center"/>
              <w:rPr>
                <w:rFonts w:cs="Arial"/>
                <w:sz w:val="20"/>
                <w:szCs w:val="20"/>
              </w:rPr>
            </w:pPr>
          </w:p>
        </w:tc>
        <w:tc>
          <w:tcPr>
            <w:tcW w:w="1399" w:type="dxa"/>
            <w:shd w:val="pct5" w:color="000000" w:fill="FFFFFF"/>
            <w:vAlign w:val="bottom"/>
          </w:tcPr>
          <w:p w14:paraId="393A1025" w14:textId="77777777" w:rsidR="00836F9B" w:rsidRPr="009A2A5B" w:rsidRDefault="00836F9B" w:rsidP="001E4C31">
            <w:pPr>
              <w:keepNext/>
              <w:jc w:val="center"/>
              <w:rPr>
                <w:rFonts w:cs="Arial"/>
                <w:sz w:val="20"/>
                <w:szCs w:val="20"/>
              </w:rPr>
            </w:pPr>
          </w:p>
        </w:tc>
        <w:tc>
          <w:tcPr>
            <w:tcW w:w="1473" w:type="dxa"/>
            <w:shd w:val="pct5" w:color="000000" w:fill="FFFFFF"/>
            <w:vAlign w:val="bottom"/>
          </w:tcPr>
          <w:p w14:paraId="393A1026" w14:textId="36E287C1" w:rsidR="00836F9B" w:rsidRPr="009A2A5B" w:rsidRDefault="00AE5528" w:rsidP="001E4C31">
            <w:pPr>
              <w:keepNext/>
              <w:jc w:val="center"/>
              <w:rPr>
                <w:rFonts w:cs="Arial"/>
                <w:sz w:val="20"/>
                <w:szCs w:val="20"/>
              </w:rPr>
            </w:pPr>
            <w:r w:rsidRPr="009A2A5B">
              <w:rPr>
                <w:rFonts w:cs="Arial"/>
                <w:sz w:val="20"/>
                <w:szCs w:val="20"/>
              </w:rPr>
              <w:t>.55</w:t>
            </w:r>
          </w:p>
        </w:tc>
        <w:tc>
          <w:tcPr>
            <w:tcW w:w="1736" w:type="dxa"/>
            <w:shd w:val="pct5" w:color="000000" w:fill="FFFFFF"/>
            <w:vAlign w:val="bottom"/>
          </w:tcPr>
          <w:p w14:paraId="393A1027" w14:textId="1A6426D5" w:rsidR="00836F9B" w:rsidRPr="009A2A5B" w:rsidRDefault="00AE5528" w:rsidP="001E4C31">
            <w:pPr>
              <w:keepNext/>
              <w:jc w:val="center"/>
              <w:rPr>
                <w:rFonts w:cs="Arial"/>
                <w:sz w:val="20"/>
                <w:szCs w:val="20"/>
              </w:rPr>
            </w:pPr>
            <w:r w:rsidRPr="009A2A5B">
              <w:rPr>
                <w:rFonts w:cs="Arial"/>
                <w:sz w:val="20"/>
                <w:szCs w:val="20"/>
              </w:rPr>
              <w:t>Section 1.4.1</w:t>
            </w:r>
          </w:p>
        </w:tc>
      </w:tr>
      <w:tr w:rsidR="009B1863" w:rsidRPr="00783DAC" w14:paraId="393A102F" w14:textId="77777777" w:rsidTr="001E4C31">
        <w:tc>
          <w:tcPr>
            <w:tcW w:w="1772" w:type="dxa"/>
            <w:shd w:val="pct20" w:color="000000" w:fill="FFFFFF"/>
            <w:vAlign w:val="bottom"/>
          </w:tcPr>
          <w:p w14:paraId="393A1029" w14:textId="77777777"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5CFB3E86" w:rsidR="00836F9B" w:rsidRPr="009A2A5B" w:rsidRDefault="00836F9B" w:rsidP="00AE5528">
            <w:pPr>
              <w:keepNext/>
              <w:jc w:val="center"/>
              <w:rPr>
                <w:rFonts w:cs="Arial"/>
                <w:sz w:val="20"/>
                <w:szCs w:val="20"/>
              </w:rPr>
            </w:pPr>
            <w:r w:rsidRPr="009A2A5B">
              <w:rPr>
                <w:rFonts w:cs="Arial"/>
                <w:sz w:val="20"/>
                <w:szCs w:val="20"/>
              </w:rPr>
              <w:t xml:space="preserve">Applies -- No </w:t>
            </w:r>
          </w:p>
        </w:tc>
        <w:tc>
          <w:tcPr>
            <w:tcW w:w="1461" w:type="dxa"/>
            <w:shd w:val="pct20" w:color="000000" w:fill="FFFFFF"/>
            <w:vAlign w:val="bottom"/>
          </w:tcPr>
          <w:p w14:paraId="393A102B" w14:textId="77777777" w:rsidR="00836F9B" w:rsidRPr="009A2A5B" w:rsidRDefault="00836F9B" w:rsidP="001E4C31">
            <w:pPr>
              <w:keepNext/>
              <w:jc w:val="center"/>
              <w:rPr>
                <w:rFonts w:cs="Arial"/>
                <w:sz w:val="20"/>
                <w:szCs w:val="20"/>
              </w:rPr>
            </w:pPr>
          </w:p>
        </w:tc>
        <w:tc>
          <w:tcPr>
            <w:tcW w:w="1399" w:type="dxa"/>
            <w:shd w:val="pct20" w:color="000000" w:fill="FFFFFF"/>
            <w:vAlign w:val="bottom"/>
          </w:tcPr>
          <w:p w14:paraId="393A102C" w14:textId="77777777" w:rsidR="00836F9B" w:rsidRPr="009A2A5B" w:rsidRDefault="00836F9B" w:rsidP="001E4C31">
            <w:pPr>
              <w:keepNext/>
              <w:jc w:val="center"/>
              <w:rPr>
                <w:rFonts w:cs="Arial"/>
                <w:sz w:val="20"/>
                <w:szCs w:val="20"/>
              </w:rPr>
            </w:pPr>
          </w:p>
        </w:tc>
        <w:tc>
          <w:tcPr>
            <w:tcW w:w="1473" w:type="dxa"/>
            <w:shd w:val="pct20" w:color="000000" w:fill="FFFFFF"/>
            <w:vAlign w:val="bottom"/>
          </w:tcPr>
          <w:p w14:paraId="393A102D" w14:textId="1D2AB7DC" w:rsidR="00836F9B" w:rsidRPr="009A2A5B" w:rsidRDefault="00AE5528" w:rsidP="001E4C31">
            <w:pPr>
              <w:keepNext/>
              <w:jc w:val="center"/>
              <w:rPr>
                <w:rFonts w:cs="Arial"/>
                <w:sz w:val="20"/>
                <w:szCs w:val="20"/>
              </w:rPr>
            </w:pPr>
            <w:r w:rsidRPr="009A2A5B">
              <w:rPr>
                <w:rFonts w:cs="Arial"/>
                <w:sz w:val="20"/>
                <w:szCs w:val="20"/>
              </w:rPr>
              <w:t>1.0</w:t>
            </w:r>
          </w:p>
        </w:tc>
        <w:tc>
          <w:tcPr>
            <w:tcW w:w="1736" w:type="dxa"/>
            <w:shd w:val="pct20" w:color="000000" w:fill="FFFFFF"/>
            <w:vAlign w:val="bottom"/>
          </w:tcPr>
          <w:p w14:paraId="393A102E" w14:textId="0F327121" w:rsidR="00836F9B" w:rsidRPr="009A2A5B" w:rsidRDefault="00AE5528" w:rsidP="001E4C31">
            <w:pPr>
              <w:keepNext/>
              <w:jc w:val="center"/>
              <w:rPr>
                <w:rFonts w:cs="Arial"/>
                <w:sz w:val="20"/>
                <w:szCs w:val="20"/>
              </w:rPr>
            </w:pPr>
            <w:r w:rsidRPr="009A2A5B">
              <w:rPr>
                <w:rFonts w:cs="Arial"/>
                <w:sz w:val="20"/>
                <w:szCs w:val="20"/>
              </w:rPr>
              <w:t>Section 1.4.1</w:t>
            </w:r>
          </w:p>
        </w:tc>
      </w:tr>
      <w:tr w:rsidR="009B1863" w:rsidRPr="00783DAC" w14:paraId="393A1036" w14:textId="77777777" w:rsidTr="001E4C31">
        <w:tc>
          <w:tcPr>
            <w:tcW w:w="1772" w:type="dxa"/>
            <w:shd w:val="pct5" w:color="000000" w:fill="FFFFFF"/>
            <w:vAlign w:val="bottom"/>
          </w:tcPr>
          <w:p w14:paraId="393A1030" w14:textId="77777777" w:rsidR="00836F9B" w:rsidRPr="001E4C31" w:rsidRDefault="00836F9B"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3FB34F6F" w:rsidR="00836F9B" w:rsidRPr="009A2A5B" w:rsidRDefault="00836F9B" w:rsidP="001E4C31">
            <w:pPr>
              <w:jc w:val="center"/>
              <w:rPr>
                <w:rFonts w:cs="Arial"/>
                <w:i/>
                <w:sz w:val="20"/>
                <w:szCs w:val="20"/>
              </w:rPr>
            </w:pPr>
          </w:p>
        </w:tc>
        <w:tc>
          <w:tcPr>
            <w:tcW w:w="1461" w:type="dxa"/>
            <w:shd w:val="pct5" w:color="000000" w:fill="FFFFFF"/>
            <w:vAlign w:val="bottom"/>
          </w:tcPr>
          <w:p w14:paraId="393A1032" w14:textId="77777777" w:rsidR="00836F9B" w:rsidRPr="009A2A5B" w:rsidRDefault="00836F9B" w:rsidP="001E4C31">
            <w:pPr>
              <w:jc w:val="center"/>
              <w:rPr>
                <w:rFonts w:cs="Arial"/>
                <w:i/>
                <w:sz w:val="20"/>
                <w:szCs w:val="20"/>
              </w:rPr>
            </w:pPr>
          </w:p>
        </w:tc>
        <w:tc>
          <w:tcPr>
            <w:tcW w:w="1399" w:type="dxa"/>
            <w:shd w:val="pct5" w:color="000000" w:fill="FFFFFF"/>
            <w:vAlign w:val="bottom"/>
          </w:tcPr>
          <w:p w14:paraId="393A1033" w14:textId="77777777" w:rsidR="00836F9B" w:rsidRPr="009A2A5B" w:rsidRDefault="00836F9B" w:rsidP="001E4C31">
            <w:pPr>
              <w:jc w:val="center"/>
              <w:rPr>
                <w:rFonts w:cs="Arial"/>
                <w:i/>
                <w:sz w:val="20"/>
                <w:szCs w:val="20"/>
              </w:rPr>
            </w:pPr>
          </w:p>
        </w:tc>
        <w:tc>
          <w:tcPr>
            <w:tcW w:w="1473" w:type="dxa"/>
            <w:shd w:val="pct5" w:color="000000" w:fill="FFFFFF"/>
            <w:vAlign w:val="bottom"/>
          </w:tcPr>
          <w:p w14:paraId="393A1034" w14:textId="0ADC4798" w:rsidR="00836F9B" w:rsidRPr="009A2A5B" w:rsidRDefault="00AE5528" w:rsidP="001E4C31">
            <w:pPr>
              <w:jc w:val="center"/>
              <w:rPr>
                <w:rFonts w:cs="Arial"/>
                <w:i/>
                <w:sz w:val="20"/>
                <w:szCs w:val="20"/>
              </w:rPr>
            </w:pPr>
            <w:r w:rsidRPr="009A2A5B">
              <w:rPr>
                <w:rFonts w:cs="Arial"/>
                <w:i/>
                <w:sz w:val="20"/>
                <w:szCs w:val="20"/>
              </w:rPr>
              <w:t>0</w:t>
            </w:r>
          </w:p>
        </w:tc>
        <w:tc>
          <w:tcPr>
            <w:tcW w:w="1736" w:type="dxa"/>
            <w:shd w:val="pct5" w:color="000000" w:fill="FFFFFF"/>
            <w:vAlign w:val="bottom"/>
          </w:tcPr>
          <w:p w14:paraId="393A1035" w14:textId="77777777" w:rsidR="00836F9B" w:rsidRPr="009A2A5B" w:rsidRDefault="00836F9B" w:rsidP="001E4C31">
            <w:pPr>
              <w:jc w:val="center"/>
              <w:rPr>
                <w:rFonts w:cs="Arial"/>
                <w:i/>
                <w:sz w:val="20"/>
                <w:szCs w:val="20"/>
              </w:rPr>
            </w:pPr>
            <w:r w:rsidRPr="009A2A5B">
              <w:rPr>
                <w:rFonts w:cs="Arial"/>
                <w:i/>
                <w:sz w:val="20"/>
                <w:szCs w:val="20"/>
              </w:rPr>
              <w:t>Section 1.4.5</w:t>
            </w:r>
          </w:p>
        </w:tc>
      </w:tr>
    </w:tbl>
    <w:p w14:paraId="393A104E" w14:textId="2BB80655" w:rsidR="009B1863" w:rsidRPr="006D1019" w:rsidRDefault="001A3026" w:rsidP="006D1019">
      <w:pPr>
        <w:pStyle w:val="Heading1"/>
      </w:pPr>
      <w:r>
        <w:rPr>
          <w:sz w:val="20"/>
          <w:szCs w:val="20"/>
        </w:rPr>
        <w:br w:type="page"/>
      </w:r>
      <w:bookmarkStart w:id="64" w:name="_Toc304800210"/>
      <w:bookmarkStart w:id="65" w:name="_Toc324340489"/>
      <w:bookmarkStart w:id="66" w:name="_Toc396897867"/>
      <w:proofErr w:type="gramStart"/>
      <w:r w:rsidR="00CF3FF0" w:rsidRPr="00CF3FF0">
        <w:lastRenderedPageBreak/>
        <w:t xml:space="preserve">Section </w:t>
      </w:r>
      <w:r w:rsidR="00C069A2" w:rsidRPr="00CF3FF0">
        <w:t>2</w:t>
      </w:r>
      <w:r w:rsidR="003129E8" w:rsidRPr="00CF3FF0">
        <w:t>.</w:t>
      </w:r>
      <w:proofErr w:type="gramEnd"/>
      <w:r w:rsidR="00C069A2" w:rsidRPr="00CF3FF0">
        <w:t xml:space="preserve"> Calculation Methods</w:t>
      </w:r>
      <w:bookmarkStart w:id="67" w:name="_Toc304800211"/>
      <w:bookmarkStart w:id="68" w:name="_Toc324318365"/>
      <w:bookmarkStart w:id="69" w:name="_Toc324340494"/>
      <w:bookmarkEnd w:id="64"/>
      <w:bookmarkEnd w:id="65"/>
      <w:bookmarkEnd w:id="66"/>
    </w:p>
    <w:p w14:paraId="393A1059" w14:textId="6745B1F4" w:rsidR="00126A4E" w:rsidRPr="000F2364" w:rsidRDefault="00C069A2" w:rsidP="000F2364">
      <w:pPr>
        <w:pStyle w:val="Heading2"/>
      </w:pPr>
      <w:bookmarkStart w:id="70" w:name="_Toc396897868"/>
      <w:r>
        <w:t xml:space="preserve">2.1 </w:t>
      </w:r>
      <w:r w:rsidR="007878B9">
        <w:t xml:space="preserve">Electric </w:t>
      </w:r>
      <w:r>
        <w:t>Energy Savings Estimation Methodologies</w:t>
      </w:r>
      <w:bookmarkEnd w:id="67"/>
      <w:bookmarkEnd w:id="68"/>
      <w:bookmarkEnd w:id="69"/>
      <w:bookmarkEnd w:id="70"/>
    </w:p>
    <w:p w14:paraId="5AC3BCB0" w14:textId="77777777" w:rsidR="00AE5528" w:rsidRDefault="00AE5528" w:rsidP="00126A4E">
      <w:pPr>
        <w:rPr>
          <w:i/>
        </w:rPr>
      </w:pPr>
    </w:p>
    <w:p w14:paraId="4DD7AB8B" w14:textId="183DEEBD" w:rsidR="006D1019" w:rsidRPr="005F5D83" w:rsidRDefault="006D1019" w:rsidP="00126A4E">
      <w:r w:rsidRPr="005F5D83">
        <w:t xml:space="preserve">The average savings for was determined by the </w:t>
      </w:r>
      <w:proofErr w:type="spellStart"/>
      <w:r w:rsidRPr="005F5D83">
        <w:t>Itron</w:t>
      </w:r>
      <w:proofErr w:type="spellEnd"/>
      <w:r w:rsidRPr="005F5D83">
        <w:t xml:space="preserve"> 2010-2012 CPUC HEES Impact Evaluation. The average savings per survey is 3.1% of annual billed electrical usage. The average annual billed usage comes from an </w:t>
      </w:r>
      <w:proofErr w:type="spellStart"/>
      <w:r w:rsidRPr="005F5D83">
        <w:t>O</w:t>
      </w:r>
      <w:r w:rsidR="00A5587B">
        <w:t>p</w:t>
      </w:r>
      <w:r w:rsidRPr="005F5D83">
        <w:t>ower</w:t>
      </w:r>
      <w:proofErr w:type="spellEnd"/>
      <w:r w:rsidRPr="005F5D83">
        <w:t xml:space="preserve"> study of PG&amp;E billing data. The average annual billed usage for residential customers is 9461 KWh/yr. </w:t>
      </w:r>
    </w:p>
    <w:p w14:paraId="0ACE25AA" w14:textId="0163A064" w:rsidR="002764BF" w:rsidRDefault="002764BF" w:rsidP="002764BF">
      <w:pPr>
        <w:pStyle w:val="Heading3"/>
        <w:jc w:val="center"/>
      </w:pPr>
      <w:bookmarkStart w:id="71" w:name="_Toc396897869"/>
      <w:r>
        <w:t>Unit Energy Savings Calculations</w:t>
      </w:r>
      <w:bookmarkEnd w:id="71"/>
    </w:p>
    <w:p w14:paraId="2187B3E4" w14:textId="77777777" w:rsidR="002764BF" w:rsidRPr="00086594" w:rsidRDefault="002764BF" w:rsidP="00126A4E">
      <w:pPr>
        <w:rPr>
          <w:i/>
        </w:rPr>
      </w:pPr>
    </w:p>
    <w:p w14:paraId="00690AEF" w14:textId="14A7B34D" w:rsidR="00581E9A" w:rsidRPr="00581E9A" w:rsidRDefault="00581E9A" w:rsidP="00581E9A">
      <w:pPr>
        <w:rPr>
          <w:rFonts w:cs="Arial"/>
          <w:b/>
          <w:sz w:val="20"/>
          <w:szCs w:val="20"/>
        </w:rPr>
      </w:pPr>
      <m:oMathPara>
        <m:oMathParaPr>
          <m:jc m:val="left"/>
        </m:oMathParaPr>
        <m:oMath>
          <m:r>
            <m:rPr>
              <m:sty m:val="bi"/>
            </m:rPr>
            <w:rPr>
              <w:rFonts w:ascii="Cambria Math" w:hAnsi="Cambria Math" w:cs="Arial"/>
              <w:sz w:val="20"/>
              <w:szCs w:val="20"/>
            </w:rPr>
            <m:t>Unit Energy Savings (UES)=Average Savings*Average Electrical Usage of Participants</m:t>
          </m:r>
        </m:oMath>
      </m:oMathPara>
    </w:p>
    <w:p w14:paraId="3F6D0F46" w14:textId="06029471" w:rsidR="00F21912" w:rsidRPr="00581E9A" w:rsidRDefault="00F21912" w:rsidP="00581E9A">
      <w:pPr>
        <w:rPr>
          <w:rFonts w:cs="Arial"/>
          <w:b/>
          <w:sz w:val="20"/>
          <w:szCs w:val="20"/>
        </w:rPr>
      </w:pPr>
    </w:p>
    <w:p w14:paraId="03C5AB82" w14:textId="1F956F02" w:rsidR="001C3864" w:rsidRPr="00581E9A" w:rsidRDefault="00581E9A" w:rsidP="00126A4E">
      <w:pPr>
        <w:rPr>
          <w:rFonts w:cs="Arial"/>
          <w:b/>
          <w:sz w:val="20"/>
          <w:szCs w:val="20"/>
        </w:rPr>
      </w:pPr>
      <m:oMathPara>
        <m:oMathParaPr>
          <m:jc m:val="left"/>
        </m:oMathParaPr>
        <m:oMath>
          <m:r>
            <m:rPr>
              <m:sty m:val="bi"/>
            </m:rPr>
            <w:rPr>
              <w:rFonts w:ascii="Cambria Math" w:hAnsi="Cambria Math" w:cs="Arial"/>
              <w:sz w:val="20"/>
              <w:szCs w:val="20"/>
            </w:rPr>
            <m:t xml:space="preserve">Unit Energy Savings (UES)=3.1% X 9461 </m:t>
          </m:r>
          <m:f>
            <m:fPr>
              <m:ctrlPr>
                <w:rPr>
                  <w:rFonts w:ascii="Cambria Math" w:hAnsi="Cambria Math" w:cs="Arial"/>
                  <w:b/>
                  <w:i/>
                  <w:sz w:val="20"/>
                  <w:szCs w:val="20"/>
                </w:rPr>
              </m:ctrlPr>
            </m:fPr>
            <m:num>
              <m:r>
                <m:rPr>
                  <m:sty m:val="bi"/>
                </m:rPr>
                <w:rPr>
                  <w:rFonts w:ascii="Cambria Math" w:hAnsi="Cambria Math" w:cs="Arial"/>
                  <w:sz w:val="20"/>
                  <w:szCs w:val="20"/>
                </w:rPr>
                <m:t>kWh</m:t>
              </m:r>
            </m:num>
            <m:den>
              <m:r>
                <m:rPr>
                  <m:sty m:val="bi"/>
                </m:rPr>
                <w:rPr>
                  <w:rFonts w:ascii="Cambria Math" w:hAnsi="Cambria Math" w:cs="Arial"/>
                  <w:sz w:val="20"/>
                  <w:szCs w:val="20"/>
                </w:rPr>
                <m:t>yr</m:t>
              </m:r>
            </m:den>
          </m:f>
          <m:r>
            <m:rPr>
              <m:sty m:val="bi"/>
            </m:rPr>
            <w:rPr>
              <w:rFonts w:ascii="Cambria Math" w:hAnsi="Cambria Math" w:cs="Arial"/>
              <w:sz w:val="20"/>
              <w:szCs w:val="20"/>
            </w:rPr>
            <m:t xml:space="preserve">=293 </m:t>
          </m:r>
          <m:f>
            <m:fPr>
              <m:ctrlPr>
                <w:rPr>
                  <w:rFonts w:ascii="Cambria Math" w:hAnsi="Cambria Math" w:cs="Arial"/>
                  <w:b/>
                  <w:i/>
                  <w:sz w:val="20"/>
                  <w:szCs w:val="20"/>
                </w:rPr>
              </m:ctrlPr>
            </m:fPr>
            <m:num>
              <m:r>
                <m:rPr>
                  <m:sty m:val="bi"/>
                </m:rPr>
                <w:rPr>
                  <w:rFonts w:ascii="Cambria Math" w:hAnsi="Cambria Math" w:cs="Arial"/>
                  <w:sz w:val="20"/>
                  <w:szCs w:val="20"/>
                </w:rPr>
                <m:t>kWh</m:t>
              </m:r>
            </m:num>
            <m:den>
              <m:r>
                <m:rPr>
                  <m:sty m:val="bi"/>
                </m:rPr>
                <w:rPr>
                  <w:rFonts w:ascii="Cambria Math" w:hAnsi="Cambria Math" w:cs="Arial"/>
                  <w:sz w:val="20"/>
                  <w:szCs w:val="20"/>
                </w:rPr>
                <m:t>yr</m:t>
              </m:r>
            </m:den>
          </m:f>
          <m:r>
            <m:rPr>
              <m:sty m:val="bi"/>
            </m:rPr>
            <w:rPr>
              <w:rFonts w:ascii="Cambria Math" w:hAnsi="Cambria Math" w:cs="Arial"/>
              <w:sz w:val="20"/>
              <w:szCs w:val="20"/>
            </w:rPr>
            <m:t xml:space="preserve"> savings. </m:t>
          </m:r>
        </m:oMath>
      </m:oMathPara>
    </w:p>
    <w:p w14:paraId="6BDEE2D9" w14:textId="0BAFBE88" w:rsidR="00F21912" w:rsidRDefault="00F21912" w:rsidP="00126A4E">
      <w:pPr>
        <w:rPr>
          <w:rFonts w:cs="Arial"/>
          <w:sz w:val="20"/>
          <w:szCs w:val="20"/>
        </w:rPr>
      </w:pPr>
    </w:p>
    <w:p w14:paraId="393A106E" w14:textId="21B5A7F6" w:rsidR="00126A4E" w:rsidRPr="00430775" w:rsidRDefault="00126A4E" w:rsidP="00CF3FF0">
      <w:pPr>
        <w:rPr>
          <w:rFonts w:cs="Arial"/>
          <w:b/>
          <w:sz w:val="20"/>
          <w:szCs w:val="20"/>
        </w:rPr>
      </w:pPr>
    </w:p>
    <w:p w14:paraId="393A106F" w14:textId="77777777" w:rsidR="00C069A2" w:rsidRDefault="0030550A" w:rsidP="002E0043">
      <w:pPr>
        <w:pStyle w:val="Heading2"/>
        <w:keepNext w:val="0"/>
      </w:pPr>
      <w:bookmarkStart w:id="72" w:name="_Toc304800212"/>
      <w:bookmarkStart w:id="73" w:name="_Toc324318366"/>
      <w:bookmarkStart w:id="74" w:name="_Toc324340495"/>
      <w:bookmarkStart w:id="75" w:name="_Toc396897870"/>
      <w:r>
        <w:t>2.2. Demand R</w:t>
      </w:r>
      <w:r w:rsidR="00C069A2">
        <w:t>eduction Estimation Methodologies</w:t>
      </w:r>
      <w:bookmarkEnd w:id="72"/>
      <w:bookmarkEnd w:id="73"/>
      <w:bookmarkEnd w:id="74"/>
      <w:bookmarkEnd w:id="75"/>
    </w:p>
    <w:p w14:paraId="393A1071" w14:textId="77777777" w:rsidR="00CF3FF0" w:rsidRDefault="00CF3FF0" w:rsidP="00EB46D0">
      <w:pPr>
        <w:rPr>
          <w:rFonts w:cs="Arial"/>
          <w:sz w:val="20"/>
          <w:szCs w:val="20"/>
          <w:highlight w:val="yellow"/>
        </w:rPr>
      </w:pPr>
    </w:p>
    <w:p w14:paraId="393A1072" w14:textId="0F9F76D4" w:rsidR="00844B27" w:rsidRPr="00C97298" w:rsidRDefault="00F21912" w:rsidP="00CF3FF0">
      <w:pPr>
        <w:numPr>
          <w:ilvl w:val="0"/>
          <w:numId w:val="15"/>
        </w:numPr>
        <w:tabs>
          <w:tab w:val="clear" w:pos="1440"/>
          <w:tab w:val="num" w:pos="360"/>
        </w:tabs>
        <w:ind w:left="360"/>
        <w:rPr>
          <w:rFonts w:cs="Arial"/>
          <w:i/>
          <w:szCs w:val="22"/>
        </w:rPr>
      </w:pPr>
      <w:r w:rsidRPr="00C97298">
        <w:rPr>
          <w:rFonts w:cs="Arial"/>
          <w:szCs w:val="22"/>
        </w:rPr>
        <w:t>T</w:t>
      </w:r>
      <w:r w:rsidR="00844B27" w:rsidRPr="00C97298">
        <w:rPr>
          <w:rFonts w:cs="Arial"/>
          <w:szCs w:val="22"/>
        </w:rPr>
        <w:t>here is no anticipated demand reduction associated with this measure</w:t>
      </w:r>
      <w:r w:rsidR="002764BF" w:rsidRPr="00C97298">
        <w:rPr>
          <w:rFonts w:cs="Arial"/>
          <w:szCs w:val="22"/>
        </w:rPr>
        <w:t>.</w:t>
      </w:r>
    </w:p>
    <w:p w14:paraId="393A108E" w14:textId="77777777" w:rsidR="00542990" w:rsidRPr="00CF3FF0" w:rsidRDefault="00542990" w:rsidP="003F3DED">
      <w:pPr>
        <w:ind w:left="720"/>
        <w:rPr>
          <w:rFonts w:cs="Arial"/>
          <w:i/>
          <w:sz w:val="20"/>
          <w:szCs w:val="20"/>
        </w:rPr>
      </w:pPr>
    </w:p>
    <w:p w14:paraId="393A108F" w14:textId="77777777" w:rsidR="007878B9" w:rsidRPr="00BF0332" w:rsidRDefault="00276ED1" w:rsidP="00BF0332">
      <w:pPr>
        <w:pStyle w:val="Heading2"/>
      </w:pPr>
      <w:bookmarkStart w:id="76" w:name="_Toc304800213"/>
      <w:bookmarkStart w:id="77" w:name="_Toc324318367"/>
      <w:bookmarkStart w:id="78" w:name="_Toc324340496"/>
      <w:bookmarkStart w:id="79" w:name="_Toc396897871"/>
      <w:r w:rsidRPr="00BF0332">
        <w:t xml:space="preserve">2.3. </w:t>
      </w:r>
      <w:r w:rsidR="007878B9" w:rsidRPr="00BF0332">
        <w:t>Gas Energy Savings Estimation Methodologies</w:t>
      </w:r>
      <w:bookmarkEnd w:id="76"/>
      <w:bookmarkEnd w:id="77"/>
      <w:bookmarkEnd w:id="78"/>
      <w:bookmarkEnd w:id="79"/>
    </w:p>
    <w:p w14:paraId="393A1091" w14:textId="77777777" w:rsidR="009A5CE8" w:rsidRPr="009A5CE8" w:rsidRDefault="009A5CE8" w:rsidP="00844B27">
      <w:pPr>
        <w:rPr>
          <w:rFonts w:cs="Arial"/>
          <w:sz w:val="20"/>
          <w:szCs w:val="20"/>
          <w:highlight w:val="yellow"/>
        </w:rPr>
      </w:pPr>
    </w:p>
    <w:p w14:paraId="393A1092" w14:textId="4E912FDC" w:rsidR="00CF3FF0" w:rsidRPr="00C97298" w:rsidRDefault="005D6266" w:rsidP="00F21912">
      <w:pPr>
        <w:numPr>
          <w:ilvl w:val="0"/>
          <w:numId w:val="16"/>
        </w:numPr>
        <w:tabs>
          <w:tab w:val="clear" w:pos="1440"/>
        </w:tabs>
        <w:ind w:left="360"/>
        <w:rPr>
          <w:rFonts w:cs="Arial"/>
          <w:szCs w:val="22"/>
        </w:rPr>
      </w:pPr>
      <w:r w:rsidRPr="00C97298">
        <w:rPr>
          <w:rFonts w:cs="Arial"/>
          <w:szCs w:val="22"/>
        </w:rPr>
        <w:t xml:space="preserve">There </w:t>
      </w:r>
      <w:proofErr w:type="gramStart"/>
      <w:r w:rsidRPr="00C97298">
        <w:rPr>
          <w:rFonts w:cs="Arial"/>
          <w:szCs w:val="22"/>
        </w:rPr>
        <w:t>a</w:t>
      </w:r>
      <w:r w:rsidR="00844B27" w:rsidRPr="00C97298">
        <w:rPr>
          <w:rFonts w:cs="Arial"/>
          <w:szCs w:val="22"/>
        </w:rPr>
        <w:t>re</w:t>
      </w:r>
      <w:proofErr w:type="gramEnd"/>
      <w:r w:rsidR="00844B27" w:rsidRPr="00C97298">
        <w:rPr>
          <w:rFonts w:cs="Arial"/>
          <w:szCs w:val="22"/>
        </w:rPr>
        <w:t xml:space="preserve"> no gas</w:t>
      </w:r>
      <w:r w:rsidR="00D91AE6" w:rsidRPr="00C97298">
        <w:rPr>
          <w:rFonts w:cs="Arial"/>
          <w:szCs w:val="22"/>
        </w:rPr>
        <w:t xml:space="preserve"> </w:t>
      </w:r>
      <w:r w:rsidR="00844B27" w:rsidRPr="00C97298">
        <w:rPr>
          <w:rFonts w:cs="Arial"/>
          <w:szCs w:val="22"/>
        </w:rPr>
        <w:t>energy savings associated with this measure</w:t>
      </w:r>
      <w:r w:rsidR="002764BF" w:rsidRPr="00C97298">
        <w:rPr>
          <w:rFonts w:cs="Arial"/>
          <w:szCs w:val="22"/>
        </w:rPr>
        <w:t>.</w:t>
      </w:r>
      <w:r w:rsidR="00044570" w:rsidRPr="00C97298">
        <w:rPr>
          <w:rFonts w:cs="Arial"/>
          <w:szCs w:val="22"/>
        </w:rPr>
        <w:t xml:space="preserve"> </w:t>
      </w:r>
    </w:p>
    <w:p w14:paraId="4709FCAD" w14:textId="77777777" w:rsidR="00057A23" w:rsidRDefault="00057A23" w:rsidP="00CF3FF0">
      <w:pPr>
        <w:rPr>
          <w:rFonts w:cs="Arial"/>
          <w:sz w:val="20"/>
          <w:szCs w:val="20"/>
        </w:rPr>
        <w:sectPr w:rsidR="00057A23" w:rsidSect="000F2364">
          <w:endnotePr>
            <w:numFmt w:val="decimal"/>
          </w:endnotePr>
          <w:type w:val="continuous"/>
          <w:pgSz w:w="12240" w:h="15840"/>
          <w:pgMar w:top="1440" w:right="1440" w:bottom="1440" w:left="1440" w:header="720" w:footer="720" w:gutter="0"/>
          <w:pgNumType w:start="2"/>
          <w:cols w:space="720"/>
          <w:docGrid w:linePitch="360"/>
        </w:sectPr>
      </w:pPr>
    </w:p>
    <w:p w14:paraId="393A1093" w14:textId="406A3F44" w:rsidR="00CF3FF0" w:rsidRPr="00CF3FF0" w:rsidRDefault="00CF3FF0" w:rsidP="00CF3FF0">
      <w:pPr>
        <w:rPr>
          <w:rFonts w:cs="Arial"/>
          <w:sz w:val="20"/>
          <w:szCs w:val="20"/>
        </w:rPr>
      </w:pPr>
    </w:p>
    <w:p w14:paraId="393A10A5" w14:textId="77777777" w:rsidR="00B7164C" w:rsidRPr="007A4D97" w:rsidRDefault="00C069A2" w:rsidP="00D20486">
      <w:pPr>
        <w:pStyle w:val="Heading1"/>
        <w:rPr>
          <w:i/>
          <w:sz w:val="28"/>
          <w:szCs w:val="28"/>
        </w:rPr>
      </w:pPr>
      <w:bookmarkStart w:id="80" w:name="_Toc304800214"/>
      <w:bookmarkStart w:id="81" w:name="_Toc324318368"/>
      <w:bookmarkStart w:id="82" w:name="_Toc324340497"/>
      <w:bookmarkStart w:id="83" w:name="_Toc396897872"/>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80"/>
      <w:bookmarkEnd w:id="81"/>
      <w:bookmarkEnd w:id="82"/>
      <w:bookmarkEnd w:id="83"/>
      <w:r w:rsidR="00844B27" w:rsidRPr="007A4D97">
        <w:rPr>
          <w:i/>
          <w:sz w:val="28"/>
          <w:szCs w:val="28"/>
        </w:rPr>
        <w:t xml:space="preserve"> </w:t>
      </w:r>
    </w:p>
    <w:p w14:paraId="19B6B8CA" w14:textId="77777777" w:rsidR="00057A23" w:rsidRDefault="00B66898" w:rsidP="00057A23">
      <w:pPr>
        <w:autoSpaceDE w:val="0"/>
        <w:autoSpaceDN w:val="0"/>
      </w:pPr>
      <w:r w:rsidRPr="009943A0">
        <w:rPr>
          <w:rFonts w:cs="Arial"/>
          <w:sz w:val="20"/>
          <w:szCs w:val="20"/>
        </w:rPr>
        <w:t xml:space="preserve"> </w:t>
      </w:r>
      <w:r w:rsidR="00057A23">
        <w:t>Load Shapes are a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93A10AD" w14:textId="66B01041" w:rsidR="008840FA" w:rsidRPr="009943A0" w:rsidRDefault="008840FA" w:rsidP="00423B48">
      <w:pPr>
        <w:pStyle w:val="Reminders"/>
        <w:rPr>
          <w:rFonts w:ascii="Arial" w:hAnsi="Arial" w:cs="Arial"/>
          <w:color w:val="auto"/>
          <w:sz w:val="20"/>
          <w:szCs w:val="20"/>
        </w:rPr>
      </w:pPr>
    </w:p>
    <w:p w14:paraId="393A10AE" w14:textId="77777777" w:rsidR="00B7164C" w:rsidRPr="007A4D97" w:rsidRDefault="00BF0332" w:rsidP="0087599D">
      <w:pPr>
        <w:pStyle w:val="Heading2"/>
      </w:pPr>
      <w:bookmarkStart w:id="84" w:name="_Toc173742996"/>
      <w:bookmarkStart w:id="85" w:name="_Toc304800215"/>
      <w:bookmarkStart w:id="86" w:name="_Toc324318369"/>
      <w:bookmarkStart w:id="87" w:name="_Toc324340498"/>
      <w:bookmarkStart w:id="88" w:name="_Toc396897873"/>
      <w:r w:rsidRPr="007A4D97">
        <w:t>3.1 Base Case</w:t>
      </w:r>
      <w:r w:rsidR="00B7164C" w:rsidRPr="007A4D97">
        <w:t xml:space="preserve"> Load Shapes</w:t>
      </w:r>
      <w:bookmarkEnd w:id="84"/>
      <w:bookmarkEnd w:id="85"/>
      <w:bookmarkEnd w:id="86"/>
      <w:bookmarkEnd w:id="87"/>
      <w:bookmarkEnd w:id="88"/>
    </w:p>
    <w:p w14:paraId="393A10AF" w14:textId="005E78F3" w:rsidR="008840FA" w:rsidRPr="00057A23" w:rsidRDefault="008840FA" w:rsidP="008840FA">
      <w:pPr>
        <w:rPr>
          <w:rFonts w:ascii="Calibri" w:hAnsi="Calibri" w:cs="Calibri"/>
          <w:color w:val="000000"/>
          <w:szCs w:val="22"/>
        </w:rPr>
      </w:pPr>
      <w:bookmarkStart w:id="89"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B66898">
        <w:rPr>
          <w:rFonts w:cs="Arial"/>
          <w:sz w:val="20"/>
          <w:szCs w:val="20"/>
        </w:rPr>
        <w:t>T</w:t>
      </w:r>
      <w:r w:rsidRPr="007A4D97">
        <w:rPr>
          <w:rFonts w:cs="Arial"/>
          <w:sz w:val="20"/>
          <w:szCs w:val="20"/>
        </w:rPr>
        <w:t xml:space="preserve">he closest load shape chosen for this measure is the </w:t>
      </w:r>
      <w:r w:rsidR="00A5587B">
        <w:rPr>
          <w:rFonts w:ascii="Calibri" w:hAnsi="Calibri" w:cs="Calibri"/>
          <w:color w:val="000000"/>
          <w:szCs w:val="22"/>
        </w:rPr>
        <w:t xml:space="preserve">DEER: </w:t>
      </w:r>
      <w:proofErr w:type="spellStart"/>
      <w:r w:rsidR="00A5587B">
        <w:rPr>
          <w:rFonts w:ascii="Calibri" w:hAnsi="Calibri" w:cs="Calibri"/>
          <w:color w:val="000000"/>
          <w:szCs w:val="22"/>
        </w:rPr>
        <w:t>Indoor_CFL_Ltg</w:t>
      </w:r>
      <w:proofErr w:type="spellEnd"/>
      <w:r w:rsidR="00057A23" w:rsidRPr="00057A23">
        <w:rPr>
          <w:rFonts w:ascii="Calibri" w:hAnsi="Calibri" w:cs="Calibri"/>
          <w:color w:val="000000"/>
          <w:szCs w:val="22"/>
        </w:rPr>
        <w:t xml:space="preserve">. </w:t>
      </w:r>
      <w:proofErr w:type="gramStart"/>
      <w:r w:rsidR="00057A23" w:rsidRPr="00057A23">
        <w:rPr>
          <w:rFonts w:ascii="Calibri" w:hAnsi="Calibri" w:cs="Calibri"/>
          <w:color w:val="000000"/>
          <w:szCs w:val="22"/>
        </w:rPr>
        <w:t>Lighting</w:t>
      </w:r>
      <w:r w:rsidR="00057A23">
        <w:rPr>
          <w:rFonts w:ascii="Calibri" w:hAnsi="Calibri" w:cs="Calibri"/>
          <w:color w:val="000000"/>
          <w:szCs w:val="22"/>
        </w:rPr>
        <w:t xml:space="preserve">  </w:t>
      </w:r>
      <w:r w:rsidRPr="007A4D97">
        <w:rPr>
          <w:rFonts w:cs="Arial"/>
          <w:sz w:val="20"/>
          <w:szCs w:val="20"/>
        </w:rPr>
        <w:t>load</w:t>
      </w:r>
      <w:proofErr w:type="gramEnd"/>
      <w:r w:rsidRPr="007A4D97">
        <w:rPr>
          <w:rFonts w:cs="Arial"/>
          <w:sz w:val="20"/>
          <w:szCs w:val="20"/>
        </w:rPr>
        <w:t xml:space="preserve"> shape.</w:t>
      </w:r>
      <w:r w:rsidR="00437BE1">
        <w:rPr>
          <w:rFonts w:cs="Arial"/>
          <w:sz w:val="20"/>
          <w:szCs w:val="20"/>
        </w:rPr>
        <w:t xml:space="preserve"> </w:t>
      </w:r>
      <w:r w:rsidRPr="007A4D97">
        <w:rPr>
          <w:rFonts w:cs="Arial"/>
          <w:sz w:val="20"/>
          <w:szCs w:val="20"/>
        </w:rPr>
        <w:t xml:space="preserve">See </w:t>
      </w:r>
      <w:r w:rsidR="00057A23">
        <w:rPr>
          <w:rFonts w:cs="Arial"/>
          <w:sz w:val="20"/>
          <w:szCs w:val="20"/>
        </w:rPr>
        <w:t>5</w:t>
      </w:r>
      <w:r w:rsidRPr="007A4D97">
        <w:rPr>
          <w:rFonts w:cs="Arial"/>
          <w:sz w:val="20"/>
          <w:szCs w:val="20"/>
        </w:rPr>
        <w:t xml:space="preserve"> for a list of all Building Types and Load Shapes.</w:t>
      </w:r>
      <w:r w:rsidR="00437BE1">
        <w:rPr>
          <w:rFonts w:cs="Arial"/>
          <w:sz w:val="20"/>
          <w:szCs w:val="20"/>
        </w:rPr>
        <w:t xml:space="preserve"> </w:t>
      </w:r>
      <w:r w:rsidRPr="007A4D97">
        <w:rPr>
          <w:rFonts w:cs="Arial"/>
          <w:sz w:val="20"/>
          <w:szCs w:val="20"/>
        </w:rPr>
        <w:t>See the KEMA report [31] for a more thorough discussion regarding the load shapes for this measure.</w:t>
      </w:r>
    </w:p>
    <w:p w14:paraId="393A10B0" w14:textId="77777777" w:rsidR="00B66898" w:rsidRDefault="00B66898" w:rsidP="007F2147">
      <w:pPr>
        <w:pStyle w:val="Caption"/>
        <w:rPr>
          <w:rFonts w:cs="Arial"/>
        </w:rPr>
      </w:pPr>
    </w:p>
    <w:p w14:paraId="393A10B1" w14:textId="77777777" w:rsidR="008840FA" w:rsidRPr="007A4D97" w:rsidRDefault="008840FA" w:rsidP="008840FA">
      <w:pPr>
        <w:pStyle w:val="Caption"/>
        <w:jc w:val="center"/>
        <w:rPr>
          <w:rFonts w:cs="Arial"/>
          <w:b w:val="0"/>
        </w:rPr>
      </w:pPr>
      <w:bookmarkStart w:id="90" w:name="_Toc392687364"/>
      <w:r w:rsidRPr="007A4D97">
        <w:rPr>
          <w:rFonts w:cs="Arial"/>
        </w:rPr>
        <w:t xml:space="preserve">Table </w:t>
      </w:r>
      <w:r w:rsidRPr="007A4D97">
        <w:rPr>
          <w:rFonts w:cs="Arial"/>
        </w:rPr>
        <w:fldChar w:fldCharType="begin"/>
      </w:r>
      <w:r w:rsidRPr="007A4D97">
        <w:rPr>
          <w:rFonts w:cs="Arial"/>
        </w:rPr>
        <w:instrText xml:space="preserve"> SEQ Table \* ARABIC </w:instrText>
      </w:r>
      <w:r w:rsidRPr="007A4D97">
        <w:rPr>
          <w:rFonts w:cs="Arial"/>
        </w:rPr>
        <w:fldChar w:fldCharType="separate"/>
      </w:r>
      <w:r w:rsidR="00C31A3A">
        <w:rPr>
          <w:rFonts w:cs="Arial"/>
          <w:noProof/>
        </w:rPr>
        <w:t>3</w:t>
      </w:r>
      <w:r w:rsidRPr="007A4D97">
        <w:rPr>
          <w:rFonts w:cs="Arial"/>
        </w:rPr>
        <w:fldChar w:fldCharType="end"/>
      </w:r>
      <w:r w:rsidRPr="007A4D97">
        <w:rPr>
          <w:rFonts w:cs="Arial"/>
        </w:rPr>
        <w:t xml:space="preserve"> </w:t>
      </w:r>
      <w:r w:rsidR="00A95AB5">
        <w:rPr>
          <w:rFonts w:cs="Arial"/>
        </w:rPr>
        <w:t xml:space="preserve">Base Case </w:t>
      </w:r>
      <w:r w:rsidRPr="007A4D97">
        <w:rPr>
          <w:rFonts w:cs="Arial"/>
        </w:rPr>
        <w:t>Building Types and Load Shapes</w:t>
      </w:r>
      <w:bookmarkEnd w:id="9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393A10B5" w14:textId="77777777" w:rsidTr="001E4C31">
        <w:tc>
          <w:tcPr>
            <w:tcW w:w="1760" w:type="pct"/>
            <w:shd w:val="clear" w:color="auto" w:fill="262626"/>
            <w:vAlign w:val="bottom"/>
          </w:tcPr>
          <w:p w14:paraId="393A10B2"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14:paraId="393A10B3"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262626"/>
            <w:vAlign w:val="bottom"/>
          </w:tcPr>
          <w:p w14:paraId="393A10B4"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14:paraId="393A10B9" w14:textId="77777777" w:rsidTr="00A320F2">
        <w:tc>
          <w:tcPr>
            <w:tcW w:w="1760" w:type="pct"/>
            <w:shd w:val="pct5" w:color="000000" w:fill="FFFFFF"/>
            <w:vAlign w:val="center"/>
          </w:tcPr>
          <w:p w14:paraId="393A10B6" w14:textId="645500B5" w:rsidR="008840FA" w:rsidRPr="00A320F2" w:rsidRDefault="00A320F2" w:rsidP="00A320F2">
            <w:pPr>
              <w:jc w:val="center"/>
              <w:rPr>
                <w:rFonts w:cs="Arial"/>
                <w:sz w:val="20"/>
                <w:szCs w:val="20"/>
              </w:rPr>
            </w:pPr>
            <w:r w:rsidRPr="00A320F2">
              <w:rPr>
                <w:rFonts w:cs="Arial"/>
                <w:sz w:val="20"/>
                <w:szCs w:val="20"/>
              </w:rPr>
              <w:t>Residential</w:t>
            </w:r>
          </w:p>
        </w:tc>
        <w:tc>
          <w:tcPr>
            <w:tcW w:w="1729" w:type="pct"/>
            <w:shd w:val="pct5" w:color="000000" w:fill="FFFFFF"/>
            <w:vAlign w:val="center"/>
          </w:tcPr>
          <w:p w14:paraId="393A10B7" w14:textId="09336728" w:rsidR="008840FA" w:rsidRPr="00A320F2" w:rsidRDefault="008840FA" w:rsidP="00A320F2">
            <w:pPr>
              <w:jc w:val="center"/>
              <w:rPr>
                <w:rFonts w:cs="Arial"/>
                <w:sz w:val="20"/>
                <w:szCs w:val="20"/>
              </w:rPr>
            </w:pPr>
            <w:r w:rsidRPr="00A320F2">
              <w:rPr>
                <w:rFonts w:cs="Arial"/>
                <w:sz w:val="20"/>
                <w:szCs w:val="20"/>
              </w:rPr>
              <w:t>RES</w:t>
            </w:r>
          </w:p>
        </w:tc>
        <w:tc>
          <w:tcPr>
            <w:tcW w:w="1511" w:type="pct"/>
            <w:shd w:val="pct5" w:color="000000" w:fill="FFFFFF"/>
            <w:vAlign w:val="bottom"/>
          </w:tcPr>
          <w:p w14:paraId="393A10B8" w14:textId="2AFB28F1" w:rsidR="008840FA" w:rsidRPr="00057A23" w:rsidRDefault="00A5587B" w:rsidP="00057A23">
            <w:pPr>
              <w:jc w:val="center"/>
              <w:rPr>
                <w:rFonts w:ascii="Calibri" w:hAnsi="Calibri" w:cs="Calibri"/>
                <w:color w:val="000000"/>
                <w:szCs w:val="22"/>
              </w:rPr>
            </w:pPr>
            <w:proofErr w:type="spellStart"/>
            <w:r>
              <w:rPr>
                <w:rFonts w:ascii="Calibri" w:hAnsi="Calibri" w:cs="Calibri"/>
                <w:color w:val="000000"/>
                <w:szCs w:val="22"/>
              </w:rPr>
              <w:t>DEER:Indoor_CFL_Ltg</w:t>
            </w:r>
            <w:proofErr w:type="spellEnd"/>
            <w:r>
              <w:rPr>
                <w:rFonts w:ascii="Calibri" w:hAnsi="Calibri" w:cs="Calibri"/>
                <w:color w:val="000000"/>
                <w:szCs w:val="22"/>
              </w:rPr>
              <w:t>.</w:t>
            </w:r>
          </w:p>
        </w:tc>
      </w:tr>
    </w:tbl>
    <w:p w14:paraId="393A10BF" w14:textId="77777777" w:rsidR="00B7164C" w:rsidRDefault="00B7164C" w:rsidP="00D20486">
      <w:pPr>
        <w:pStyle w:val="Heading2"/>
        <w:keepNext w:val="0"/>
      </w:pPr>
      <w:bookmarkStart w:id="91" w:name="_Toc304800216"/>
      <w:bookmarkStart w:id="92" w:name="_Toc324318370"/>
      <w:bookmarkStart w:id="93" w:name="_Toc324340499"/>
      <w:bookmarkStart w:id="94" w:name="_Toc396897874"/>
      <w:r w:rsidRPr="007A4D97">
        <w:t>3.2 Measure Load Shapes</w:t>
      </w:r>
      <w:bookmarkEnd w:id="89"/>
      <w:bookmarkEnd w:id="91"/>
      <w:bookmarkEnd w:id="92"/>
      <w:bookmarkEnd w:id="93"/>
      <w:bookmarkEnd w:id="94"/>
    </w:p>
    <w:p w14:paraId="69CFA3AA" w14:textId="77777777" w:rsidR="00057A23" w:rsidRPr="00057A23" w:rsidRDefault="00057A23" w:rsidP="00057A23"/>
    <w:p w14:paraId="393A10C0" w14:textId="6759599C" w:rsidR="00F47D9D" w:rsidRPr="007A4D97" w:rsidRDefault="00B66898" w:rsidP="00F47D9D">
      <w:pPr>
        <w:rPr>
          <w:rFonts w:cs="Arial"/>
          <w:sz w:val="20"/>
          <w:szCs w:val="20"/>
        </w:rPr>
      </w:pPr>
      <w:r w:rsidRPr="00057A23">
        <w:rPr>
          <w:rFonts w:cs="Arial"/>
          <w:sz w:val="20"/>
          <w:szCs w:val="20"/>
        </w:rPr>
        <w:t>There are no measure case loa</w:t>
      </w:r>
      <w:r w:rsidR="00057A23">
        <w:rPr>
          <w:rFonts w:cs="Arial"/>
          <w:sz w:val="20"/>
          <w:szCs w:val="20"/>
        </w:rPr>
        <w:t>d shapes applicable to this measure</w:t>
      </w:r>
      <w:r w:rsidRPr="00057A23">
        <w:rPr>
          <w:rFonts w:cs="Arial"/>
          <w:sz w:val="20"/>
          <w:szCs w:val="20"/>
        </w:rPr>
        <w:t>.</w:t>
      </w:r>
      <w:r w:rsidR="00437BE1" w:rsidRPr="00057A23">
        <w:rPr>
          <w:rFonts w:cs="Arial"/>
          <w:sz w:val="20"/>
          <w:szCs w:val="20"/>
        </w:rPr>
        <w:t xml:space="preserve"> </w:t>
      </w:r>
      <w:r w:rsidRPr="00057A23">
        <w:rPr>
          <w:rFonts w:cs="Arial"/>
          <w:sz w:val="20"/>
          <w:szCs w:val="20"/>
        </w:rPr>
        <w:t>The base case shapes are to be used in the cost avoidance calculation.</w:t>
      </w:r>
      <w:r>
        <w:rPr>
          <w:rFonts w:cs="Arial"/>
          <w:sz w:val="20"/>
          <w:szCs w:val="20"/>
        </w:rPr>
        <w:t xml:space="preserve"> </w:t>
      </w:r>
    </w:p>
    <w:p w14:paraId="7387EBB4" w14:textId="77777777" w:rsidR="00057A23" w:rsidRDefault="00057A23" w:rsidP="002E0043">
      <w:pPr>
        <w:sectPr w:rsidR="00057A23" w:rsidSect="000F2364">
          <w:endnotePr>
            <w:numFmt w:val="decimal"/>
          </w:endnotePr>
          <w:pgSz w:w="12240" w:h="15840"/>
          <w:pgMar w:top="1440" w:right="1440" w:bottom="1440" w:left="1440" w:header="720" w:footer="720" w:gutter="0"/>
          <w:pgNumType w:start="7"/>
          <w:cols w:space="720"/>
          <w:docGrid w:linePitch="360"/>
        </w:sectPr>
      </w:pPr>
    </w:p>
    <w:p w14:paraId="393A10D5" w14:textId="25CE39B0" w:rsidR="00D87EFF" w:rsidRPr="002E0043" w:rsidRDefault="00D87EFF" w:rsidP="002E0043"/>
    <w:p w14:paraId="393A10D6" w14:textId="77777777" w:rsidR="0091058D" w:rsidRDefault="00C069A2" w:rsidP="00663A00">
      <w:pPr>
        <w:pStyle w:val="Heading1"/>
        <w:keepNext w:val="0"/>
      </w:pPr>
      <w:bookmarkStart w:id="95" w:name="_Toc304800217"/>
      <w:bookmarkStart w:id="96" w:name="_Toc324318371"/>
      <w:bookmarkStart w:id="97" w:name="_Toc324340500"/>
      <w:bookmarkStart w:id="98" w:name="_Toc396897875"/>
      <w:proofErr w:type="gramStart"/>
      <w:r>
        <w:t>Section 4</w:t>
      </w:r>
      <w:r w:rsidR="003129E8">
        <w:t>.</w:t>
      </w:r>
      <w:proofErr w:type="gramEnd"/>
      <w:r>
        <w:t xml:space="preserve"> Base Case &amp; Measure Costs</w:t>
      </w:r>
      <w:bookmarkEnd w:id="95"/>
      <w:bookmarkEnd w:id="96"/>
      <w:bookmarkEnd w:id="97"/>
      <w:bookmarkEnd w:id="98"/>
    </w:p>
    <w:p w14:paraId="393A10D7" w14:textId="414FF46D" w:rsidR="00B16BE4" w:rsidRDefault="006D1019" w:rsidP="00B16BE4">
      <w:r>
        <w:t xml:space="preserve">Costs are incurred when the participant chooses to install a measure. A weighted average of measures likely to be installed was developed. These weights were applied to the Incremental Measure Cost of each individual measure. The sum of these individual weighted costs equals $24.65. </w:t>
      </w:r>
    </w:p>
    <w:p w14:paraId="393A10D8" w14:textId="77777777" w:rsidR="00B16BE4" w:rsidRPr="00B16BE4" w:rsidRDefault="00B16BE4" w:rsidP="00B16BE4"/>
    <w:p w14:paraId="393A10EF" w14:textId="77777777" w:rsidR="001B242B" w:rsidRPr="00F55847" w:rsidRDefault="00C069A2" w:rsidP="00D20486">
      <w:pPr>
        <w:pStyle w:val="Heading2"/>
        <w:keepNext w:val="0"/>
      </w:pPr>
      <w:bookmarkStart w:id="99" w:name="_Toc304800218"/>
      <w:bookmarkStart w:id="100" w:name="_Toc324318372"/>
      <w:bookmarkStart w:id="101" w:name="_Toc324340501"/>
      <w:bookmarkStart w:id="102" w:name="_Toc396897876"/>
      <w:r>
        <w:t>4.1 Base Case</w:t>
      </w:r>
      <w:r w:rsidR="00C221D5">
        <w:t>(</w:t>
      </w:r>
      <w:r>
        <w:t>s</w:t>
      </w:r>
      <w:r w:rsidR="00C221D5">
        <w:t>)</w:t>
      </w:r>
      <w:r>
        <w:t xml:space="preserve"> Costs</w:t>
      </w:r>
      <w:bookmarkEnd w:id="99"/>
      <w:bookmarkEnd w:id="100"/>
      <w:bookmarkEnd w:id="101"/>
      <w:bookmarkEnd w:id="102"/>
    </w:p>
    <w:p w14:paraId="393A10F0" w14:textId="0D8B1AC4" w:rsidR="00BD0D15" w:rsidRPr="00DD1C47" w:rsidRDefault="000D5548" w:rsidP="00AB2D9E">
      <w:pPr>
        <w:rPr>
          <w:rFonts w:cs="Arial"/>
          <w:sz w:val="20"/>
          <w:szCs w:val="20"/>
        </w:rPr>
      </w:pPr>
      <w:r>
        <w:rPr>
          <w:rFonts w:cs="Arial"/>
          <w:sz w:val="20"/>
          <w:szCs w:val="20"/>
        </w:rPr>
        <w:t>The base case assumes the existing dwelling and there is no base case costs.</w:t>
      </w:r>
    </w:p>
    <w:p w14:paraId="393A10F1" w14:textId="77777777" w:rsidR="00BD0D15" w:rsidRDefault="00BD0D15" w:rsidP="00AB2D9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0F9" w14:textId="77777777" w:rsidTr="00A01631">
        <w:tc>
          <w:tcPr>
            <w:tcW w:w="1028" w:type="dxa"/>
            <w:shd w:val="clear" w:color="auto" w:fill="auto"/>
          </w:tcPr>
          <w:p w14:paraId="393A10F2" w14:textId="77777777"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14:paraId="393A10F3" w14:textId="77777777"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14:paraId="393A10F4" w14:textId="77777777"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14:paraId="393A10F5" w14:textId="77777777"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14:paraId="393A10F6" w14:textId="77777777"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14:paraId="393A10F7" w14:textId="77777777"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14:paraId="393A10F8" w14:textId="77777777"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14:paraId="393A1109" w14:textId="77777777" w:rsidTr="00F1342F">
        <w:tc>
          <w:tcPr>
            <w:tcW w:w="1028" w:type="dxa"/>
            <w:shd w:val="clear" w:color="auto" w:fill="auto"/>
          </w:tcPr>
          <w:p w14:paraId="393A1102" w14:textId="77777777" w:rsidR="00DD1C47" w:rsidRPr="00A01631" w:rsidRDefault="00DD1C47" w:rsidP="00AB2D9E">
            <w:pPr>
              <w:rPr>
                <w:rFonts w:cs="Arial"/>
                <w:i/>
                <w:sz w:val="20"/>
                <w:szCs w:val="20"/>
              </w:rPr>
            </w:pPr>
          </w:p>
        </w:tc>
        <w:tc>
          <w:tcPr>
            <w:tcW w:w="1420" w:type="dxa"/>
            <w:shd w:val="clear" w:color="auto" w:fill="auto"/>
          </w:tcPr>
          <w:p w14:paraId="393A1103" w14:textId="77777777" w:rsidR="00DD1C47" w:rsidRPr="00A01631" w:rsidRDefault="00430775" w:rsidP="00AB2D9E">
            <w:pPr>
              <w:rPr>
                <w:rFonts w:cs="Arial"/>
                <w:i/>
                <w:sz w:val="20"/>
                <w:szCs w:val="20"/>
              </w:rPr>
            </w:pPr>
            <w:r w:rsidRPr="00F1342F">
              <w:rPr>
                <w:rFonts w:cs="Arial"/>
                <w:sz w:val="20"/>
                <w:szCs w:val="20"/>
              </w:rPr>
              <w:t>ROB</w:t>
            </w:r>
          </w:p>
        </w:tc>
        <w:tc>
          <w:tcPr>
            <w:tcW w:w="1620" w:type="dxa"/>
            <w:shd w:val="clear" w:color="auto" w:fill="auto"/>
          </w:tcPr>
          <w:p w14:paraId="393A1104" w14:textId="2C5BE335" w:rsidR="00DD1C47" w:rsidRPr="00A01631" w:rsidRDefault="000D5548" w:rsidP="000D5548">
            <w:pPr>
              <w:jc w:val="center"/>
              <w:rPr>
                <w:rFonts w:cs="Arial"/>
                <w:i/>
                <w:sz w:val="20"/>
                <w:szCs w:val="20"/>
              </w:rPr>
            </w:pPr>
            <w:r>
              <w:rPr>
                <w:rFonts w:cs="Arial"/>
                <w:i/>
                <w:sz w:val="20"/>
                <w:szCs w:val="20"/>
              </w:rPr>
              <w:t>Existing</w:t>
            </w:r>
          </w:p>
        </w:tc>
        <w:tc>
          <w:tcPr>
            <w:tcW w:w="1440" w:type="dxa"/>
            <w:shd w:val="clear" w:color="auto" w:fill="auto"/>
            <w:vAlign w:val="center"/>
          </w:tcPr>
          <w:p w14:paraId="393A1105" w14:textId="59231BE7" w:rsidR="00DD1C47" w:rsidRPr="00A01631" w:rsidRDefault="000D5548" w:rsidP="00F1342F">
            <w:pPr>
              <w:jc w:val="center"/>
              <w:rPr>
                <w:rFonts w:cs="Arial"/>
                <w:i/>
                <w:sz w:val="20"/>
                <w:szCs w:val="20"/>
              </w:rPr>
            </w:pPr>
            <w:r>
              <w:rPr>
                <w:rFonts w:cs="Arial"/>
                <w:i/>
                <w:sz w:val="20"/>
                <w:szCs w:val="20"/>
              </w:rPr>
              <w:t>0</w:t>
            </w:r>
          </w:p>
        </w:tc>
        <w:tc>
          <w:tcPr>
            <w:tcW w:w="1341" w:type="dxa"/>
            <w:shd w:val="clear" w:color="auto" w:fill="auto"/>
            <w:vAlign w:val="center"/>
          </w:tcPr>
          <w:p w14:paraId="393A1106" w14:textId="32F241D0" w:rsidR="00DD1C47" w:rsidRPr="00A01631" w:rsidRDefault="000D5548" w:rsidP="00F1342F">
            <w:pPr>
              <w:jc w:val="center"/>
              <w:rPr>
                <w:rFonts w:cs="Arial"/>
                <w:i/>
                <w:sz w:val="20"/>
                <w:szCs w:val="20"/>
              </w:rPr>
            </w:pPr>
            <w:r>
              <w:rPr>
                <w:rFonts w:cs="Arial"/>
                <w:i/>
                <w:sz w:val="20"/>
                <w:szCs w:val="20"/>
              </w:rPr>
              <w:t>0</w:t>
            </w:r>
          </w:p>
        </w:tc>
        <w:tc>
          <w:tcPr>
            <w:tcW w:w="1513" w:type="dxa"/>
            <w:shd w:val="clear" w:color="auto" w:fill="auto"/>
            <w:vAlign w:val="center"/>
          </w:tcPr>
          <w:p w14:paraId="393A1107" w14:textId="12D39AB0" w:rsidR="00DD1C47" w:rsidRPr="00A01631" w:rsidRDefault="000D5548" w:rsidP="00F1342F">
            <w:pPr>
              <w:jc w:val="center"/>
              <w:rPr>
                <w:rFonts w:cs="Arial"/>
                <w:i/>
                <w:sz w:val="20"/>
                <w:szCs w:val="20"/>
              </w:rPr>
            </w:pPr>
            <w:r>
              <w:rPr>
                <w:rFonts w:cs="Arial"/>
                <w:i/>
                <w:sz w:val="20"/>
                <w:szCs w:val="20"/>
              </w:rPr>
              <w:t>0</w:t>
            </w:r>
          </w:p>
        </w:tc>
        <w:tc>
          <w:tcPr>
            <w:tcW w:w="1214" w:type="dxa"/>
            <w:shd w:val="clear" w:color="auto" w:fill="auto"/>
            <w:vAlign w:val="center"/>
          </w:tcPr>
          <w:p w14:paraId="393A1108" w14:textId="4A708174" w:rsidR="00DD1C47" w:rsidRPr="00A01631" w:rsidRDefault="000D5548" w:rsidP="00F1342F">
            <w:pPr>
              <w:jc w:val="center"/>
              <w:rPr>
                <w:rFonts w:cs="Arial"/>
                <w:i/>
                <w:sz w:val="20"/>
                <w:szCs w:val="20"/>
              </w:rPr>
            </w:pPr>
            <w:r>
              <w:rPr>
                <w:rFonts w:cs="Arial"/>
                <w:i/>
                <w:sz w:val="20"/>
                <w:szCs w:val="20"/>
              </w:rPr>
              <w:t>0</w:t>
            </w:r>
          </w:p>
        </w:tc>
      </w:tr>
    </w:tbl>
    <w:p w14:paraId="393A1112" w14:textId="77777777" w:rsidR="00BD0D15" w:rsidRPr="00DD1C47" w:rsidRDefault="00DD1C47" w:rsidP="00AB2D9E">
      <w:pPr>
        <w:rPr>
          <w:rFonts w:cs="Arial"/>
          <w:i/>
          <w:sz w:val="20"/>
          <w:szCs w:val="20"/>
        </w:rPr>
      </w:pPr>
      <w:r w:rsidRPr="00DD1C47">
        <w:rPr>
          <w:rFonts w:cs="Arial"/>
          <w:i/>
          <w:sz w:val="20"/>
          <w:szCs w:val="20"/>
        </w:rPr>
        <w:t>All costs are noted as $ per measure unit</w:t>
      </w:r>
    </w:p>
    <w:p w14:paraId="393A1113" w14:textId="77777777" w:rsidR="00BD0D15" w:rsidRDefault="00BD0D15" w:rsidP="00AB2D9E">
      <w:pPr>
        <w:rPr>
          <w:i/>
        </w:rPr>
      </w:pPr>
    </w:p>
    <w:p w14:paraId="393A1115" w14:textId="77777777" w:rsidR="00C069A2" w:rsidRDefault="00663A00" w:rsidP="002E0043">
      <w:pPr>
        <w:pStyle w:val="Heading2"/>
        <w:keepNext w:val="0"/>
      </w:pPr>
      <w:bookmarkStart w:id="103" w:name="_Toc304800219"/>
      <w:bookmarkStart w:id="104" w:name="_Toc324318373"/>
      <w:bookmarkStart w:id="105" w:name="_Toc324340502"/>
      <w:bookmarkStart w:id="106" w:name="_Toc396897877"/>
      <w:r>
        <w:t>4.2 Meas</w:t>
      </w:r>
      <w:r w:rsidR="00C069A2">
        <w:t xml:space="preserve">ure </w:t>
      </w:r>
      <w:r w:rsidR="00930877">
        <w:t xml:space="preserve">Case </w:t>
      </w:r>
      <w:r w:rsidR="00C069A2">
        <w:t>Costs</w:t>
      </w:r>
      <w:bookmarkEnd w:id="103"/>
      <w:bookmarkEnd w:id="104"/>
      <w:bookmarkEnd w:id="105"/>
      <w:bookmarkEnd w:id="106"/>
      <w:r w:rsidR="00930877">
        <w:t xml:space="preserve"> </w:t>
      </w:r>
    </w:p>
    <w:p w14:paraId="393A1116" w14:textId="4410BA0B" w:rsidR="00DD1C47" w:rsidRPr="00DD1C47" w:rsidRDefault="00C6425A" w:rsidP="00DD1C47">
      <w:pPr>
        <w:rPr>
          <w:rFonts w:cs="Arial"/>
          <w:sz w:val="20"/>
          <w:szCs w:val="20"/>
        </w:rPr>
      </w:pPr>
      <w:r>
        <w:rPr>
          <w:rFonts w:cs="Arial"/>
          <w:sz w:val="20"/>
          <w:szCs w:val="20"/>
        </w:rPr>
        <w:t xml:space="preserve">Measure costs are based on the likely types of simple actions participants would take on their own. In this case, the Gross Measure Cost and the Incremental Measure Cost are the same. </w:t>
      </w:r>
    </w:p>
    <w:p w14:paraId="393A1117" w14:textId="77777777" w:rsidR="00DD1C47"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F" w14:textId="77777777" w:rsidTr="00E76B5D">
        <w:tc>
          <w:tcPr>
            <w:tcW w:w="1028" w:type="dxa"/>
            <w:shd w:val="clear" w:color="auto" w:fill="auto"/>
          </w:tcPr>
          <w:p w14:paraId="393A1128" w14:textId="77777777" w:rsidR="00DD1C47" w:rsidRPr="00A01631" w:rsidRDefault="00DD1C47" w:rsidP="003F57BD">
            <w:pPr>
              <w:rPr>
                <w:rFonts w:cs="Arial"/>
                <w:i/>
                <w:sz w:val="20"/>
                <w:szCs w:val="20"/>
              </w:rPr>
            </w:pPr>
          </w:p>
        </w:tc>
        <w:tc>
          <w:tcPr>
            <w:tcW w:w="1420" w:type="dxa"/>
            <w:shd w:val="clear" w:color="auto" w:fill="auto"/>
          </w:tcPr>
          <w:p w14:paraId="393A1129" w14:textId="77777777" w:rsidR="00DD1C47" w:rsidRPr="00A01631" w:rsidRDefault="006B7EDD" w:rsidP="003F57BD">
            <w:pPr>
              <w:rPr>
                <w:rFonts w:cs="Arial"/>
                <w:i/>
                <w:sz w:val="20"/>
                <w:szCs w:val="20"/>
              </w:rPr>
            </w:pPr>
            <w:r w:rsidRPr="00E76B5D">
              <w:rPr>
                <w:rFonts w:cs="Arial"/>
                <w:sz w:val="20"/>
                <w:szCs w:val="20"/>
              </w:rPr>
              <w:t>ROB</w:t>
            </w:r>
          </w:p>
        </w:tc>
        <w:tc>
          <w:tcPr>
            <w:tcW w:w="1620" w:type="dxa"/>
            <w:shd w:val="clear" w:color="auto" w:fill="auto"/>
          </w:tcPr>
          <w:p w14:paraId="393A112A" w14:textId="7DDF3A12" w:rsidR="00F1342F" w:rsidRPr="00A01631" w:rsidRDefault="00F1342F" w:rsidP="003F57BD">
            <w:pPr>
              <w:rPr>
                <w:rFonts w:cs="Arial"/>
                <w:i/>
                <w:sz w:val="20"/>
                <w:szCs w:val="20"/>
              </w:rPr>
            </w:pPr>
            <w:r>
              <w:rPr>
                <w:rFonts w:cs="Arial"/>
                <w:i/>
                <w:sz w:val="20"/>
                <w:szCs w:val="20"/>
              </w:rPr>
              <w:t>Existing</w:t>
            </w:r>
          </w:p>
        </w:tc>
        <w:tc>
          <w:tcPr>
            <w:tcW w:w="1440" w:type="dxa"/>
            <w:shd w:val="clear" w:color="auto" w:fill="auto"/>
            <w:vAlign w:val="center"/>
          </w:tcPr>
          <w:p w14:paraId="393A112B" w14:textId="38B94D43" w:rsidR="00B301AF" w:rsidRPr="00A01631" w:rsidRDefault="00B301AF" w:rsidP="00E76B5D">
            <w:pPr>
              <w:jc w:val="center"/>
              <w:rPr>
                <w:rFonts w:cs="Arial"/>
                <w:i/>
                <w:sz w:val="20"/>
                <w:szCs w:val="20"/>
              </w:rPr>
            </w:pPr>
            <w:r>
              <w:rPr>
                <w:rFonts w:cs="Arial"/>
                <w:i/>
                <w:sz w:val="20"/>
                <w:szCs w:val="20"/>
              </w:rPr>
              <w:t>24.65</w:t>
            </w:r>
          </w:p>
        </w:tc>
        <w:tc>
          <w:tcPr>
            <w:tcW w:w="1341" w:type="dxa"/>
            <w:shd w:val="clear" w:color="auto" w:fill="auto"/>
            <w:vAlign w:val="center"/>
          </w:tcPr>
          <w:p w14:paraId="393A112C" w14:textId="310E909E" w:rsidR="00DD1C47" w:rsidRPr="00A01631" w:rsidRDefault="00E76B5D" w:rsidP="00E76B5D">
            <w:pPr>
              <w:jc w:val="center"/>
              <w:rPr>
                <w:rFonts w:cs="Arial"/>
                <w:i/>
                <w:sz w:val="20"/>
                <w:szCs w:val="20"/>
              </w:rPr>
            </w:pPr>
            <w:r>
              <w:rPr>
                <w:rFonts w:cs="Arial"/>
                <w:i/>
                <w:sz w:val="20"/>
                <w:szCs w:val="20"/>
              </w:rPr>
              <w:t>0</w:t>
            </w:r>
          </w:p>
        </w:tc>
        <w:tc>
          <w:tcPr>
            <w:tcW w:w="1513" w:type="dxa"/>
            <w:shd w:val="clear" w:color="auto" w:fill="auto"/>
            <w:vAlign w:val="center"/>
          </w:tcPr>
          <w:p w14:paraId="393A112D" w14:textId="27F304DE" w:rsidR="00DD1C47" w:rsidRPr="00A01631" w:rsidRDefault="00E76B5D" w:rsidP="00E76B5D">
            <w:pPr>
              <w:jc w:val="center"/>
              <w:rPr>
                <w:rFonts w:cs="Arial"/>
                <w:i/>
                <w:sz w:val="20"/>
                <w:szCs w:val="20"/>
              </w:rPr>
            </w:pPr>
            <w:r>
              <w:rPr>
                <w:rFonts w:cs="Arial"/>
                <w:i/>
                <w:sz w:val="20"/>
                <w:szCs w:val="20"/>
              </w:rPr>
              <w:t>0</w:t>
            </w:r>
          </w:p>
        </w:tc>
        <w:tc>
          <w:tcPr>
            <w:tcW w:w="1214" w:type="dxa"/>
            <w:shd w:val="clear" w:color="auto" w:fill="auto"/>
            <w:vAlign w:val="center"/>
          </w:tcPr>
          <w:p w14:paraId="393A112E" w14:textId="6C9381E6" w:rsidR="00DD1C47" w:rsidRPr="00A01631" w:rsidRDefault="00B301AF" w:rsidP="00E76B5D">
            <w:pPr>
              <w:jc w:val="center"/>
              <w:rPr>
                <w:rFonts w:cs="Arial"/>
                <w:i/>
                <w:sz w:val="20"/>
                <w:szCs w:val="20"/>
              </w:rPr>
            </w:pPr>
            <w:r>
              <w:rPr>
                <w:rFonts w:cs="Arial"/>
                <w:i/>
                <w:sz w:val="20"/>
                <w:szCs w:val="20"/>
              </w:rPr>
              <w:t>24.65</w:t>
            </w:r>
          </w:p>
        </w:tc>
      </w:tr>
    </w:tbl>
    <w:p w14:paraId="393A1138" w14:textId="538F3A38"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393A1139" w14:textId="77777777" w:rsidR="00DD1C47" w:rsidRDefault="00DD1C47" w:rsidP="00DD1C47">
      <w:pPr>
        <w:rPr>
          <w:i/>
        </w:rPr>
      </w:pPr>
    </w:p>
    <w:p w14:paraId="393A113C" w14:textId="77777777" w:rsidR="0030550A" w:rsidRDefault="0030550A" w:rsidP="002E0043">
      <w:pPr>
        <w:pStyle w:val="Heading2"/>
        <w:keepNext w:val="0"/>
      </w:pPr>
      <w:bookmarkStart w:id="107" w:name="_Toc304800220"/>
      <w:bookmarkStart w:id="108" w:name="_Toc324318374"/>
      <w:bookmarkStart w:id="109" w:name="_Toc324340503"/>
      <w:bookmarkStart w:id="110" w:name="_Toc396897878"/>
      <w:r>
        <w:t>4.3 Incremental &amp; Full Measure Costs</w:t>
      </w:r>
      <w:bookmarkEnd w:id="107"/>
      <w:bookmarkEnd w:id="108"/>
      <w:bookmarkEnd w:id="109"/>
      <w:bookmarkEnd w:id="11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11" w:name="_Toc324318375"/>
      <w:bookmarkStart w:id="112" w:name="_Toc324340504"/>
      <w:bookmarkStart w:id="113" w:name="_Toc396897879"/>
      <w:r>
        <w:rPr>
          <w:i/>
        </w:rPr>
        <w:t>4.3.1 Full</w:t>
      </w:r>
      <w:r w:rsidR="003F57BD" w:rsidRPr="003F57BD">
        <w:rPr>
          <w:i/>
        </w:rPr>
        <w:t xml:space="preserve"> Measure Cost</w:t>
      </w:r>
      <w:bookmarkEnd w:id="111"/>
      <w:bookmarkEnd w:id="112"/>
      <w:bookmarkEnd w:id="113"/>
    </w:p>
    <w:p w14:paraId="393A115C" w14:textId="4555E421"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r w:rsidR="00E44DCE">
        <w:rPr>
          <w:rFonts w:cs="Arial"/>
          <w:sz w:val="20"/>
          <w:szCs w:val="20"/>
        </w:rPr>
        <w:t>In this case Full Measure Cost is equal to In</w:t>
      </w:r>
      <w:r w:rsidR="00B301AF">
        <w:rPr>
          <w:rFonts w:cs="Arial"/>
          <w:sz w:val="20"/>
          <w:szCs w:val="20"/>
        </w:rPr>
        <w:t>cremental Measure Cost of $24.65</w:t>
      </w:r>
      <w:r w:rsidR="00E44DCE">
        <w:rPr>
          <w:rFonts w:cs="Arial"/>
          <w:sz w:val="20"/>
          <w:szCs w:val="20"/>
        </w:rPr>
        <w:t xml:space="preserve">. </w:t>
      </w:r>
    </w:p>
    <w:p w14:paraId="393A115D" w14:textId="77777777" w:rsidR="00F32479" w:rsidRDefault="00F32479" w:rsidP="00F32479">
      <w:pPr>
        <w:rPr>
          <w:rFonts w:cs="Arial"/>
          <w:sz w:val="20"/>
          <w:szCs w:val="20"/>
          <w:highlight w:val="yellow"/>
        </w:rPr>
      </w:pP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14" w:name="_Toc324318376"/>
      <w:bookmarkStart w:id="115" w:name="_Toc324340505"/>
      <w:bookmarkStart w:id="116" w:name="_Toc304800221"/>
      <w:bookmarkStart w:id="117" w:name="_Toc396897880"/>
      <w:r>
        <w:rPr>
          <w:i/>
        </w:rPr>
        <w:t xml:space="preserve">4.3.2 </w:t>
      </w:r>
      <w:r w:rsidR="00A47BFE" w:rsidRPr="00A47BFE">
        <w:rPr>
          <w:i/>
        </w:rPr>
        <w:t>Incremental Measure Costs</w:t>
      </w:r>
      <w:bookmarkEnd w:id="114"/>
      <w:bookmarkEnd w:id="115"/>
      <w:bookmarkEnd w:id="117"/>
    </w:p>
    <w:p w14:paraId="393A1193" w14:textId="7D7E6DDE" w:rsidR="002F3610" w:rsidRDefault="00ED3B31" w:rsidP="00E44DCE">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00E44DCE">
        <w:rPr>
          <w:rFonts w:cs="Arial"/>
          <w:sz w:val="20"/>
          <w:szCs w:val="20"/>
        </w:rPr>
        <w:t xml:space="preserve">The Incremental Costs for survey participant’s </w:t>
      </w:r>
      <w:r w:rsidR="00B301AF">
        <w:rPr>
          <w:rFonts w:cs="Arial"/>
          <w:sz w:val="20"/>
          <w:szCs w:val="20"/>
        </w:rPr>
        <w:t>actions were estimated at $24.65</w:t>
      </w:r>
      <w:r w:rsidR="00E44DCE">
        <w:rPr>
          <w:rFonts w:cs="Arial"/>
          <w:sz w:val="20"/>
          <w:szCs w:val="20"/>
        </w:rPr>
        <w:t xml:space="preserve">. The DEER approach was used to adjust this for the various climate zones. </w:t>
      </w:r>
      <w:r w:rsidR="00E44DCE">
        <w:rPr>
          <w:rFonts w:cs="Arial"/>
          <w:sz w:val="20"/>
          <w:szCs w:val="20"/>
        </w:rPr>
        <w:lastRenderedPageBreak/>
        <w:t xml:space="preserve">Detailed calculations may be found in the embedded excel spreadsheet [F]. The incremental cost per recommendations taken is calculated by the equation below. </w:t>
      </w:r>
    </w:p>
    <w:p w14:paraId="336DB152" w14:textId="77777777" w:rsidR="00E44DCE" w:rsidRDefault="00E44DCE" w:rsidP="00E44DCE">
      <w:pPr>
        <w:rPr>
          <w:rFonts w:cs="Arial"/>
          <w:sz w:val="20"/>
          <w:szCs w:val="20"/>
        </w:rPr>
      </w:pPr>
    </w:p>
    <w:p w14:paraId="16744E22" w14:textId="49416D83" w:rsidR="00E44DCE" w:rsidRDefault="009F63BC" w:rsidP="009F63BC">
      <w:pPr>
        <w:jc w:val="center"/>
        <w:rPr>
          <w:rFonts w:cs="Arial"/>
          <w:sz w:val="20"/>
          <w:szCs w:val="20"/>
        </w:rPr>
      </w:pPr>
      <w:r>
        <w:rPr>
          <w:rFonts w:cs="Arial"/>
          <w:sz w:val="20"/>
          <w:szCs w:val="20"/>
        </w:rPr>
        <w:t xml:space="preserve">Weighted Ave. IMC= </w:t>
      </w:r>
      <w:proofErr w:type="gramStart"/>
      <w:r>
        <w:rPr>
          <w:rFonts w:cs="Arial"/>
          <w:sz w:val="20"/>
          <w:szCs w:val="20"/>
        </w:rPr>
        <w:t>∑[</w:t>
      </w:r>
      <w:proofErr w:type="spellStart"/>
      <w:proofErr w:type="gramEnd"/>
      <w:r>
        <w:rPr>
          <w:rFonts w:cs="Arial"/>
          <w:sz w:val="20"/>
          <w:szCs w:val="20"/>
        </w:rPr>
        <w:t>R</w:t>
      </w:r>
      <w:r>
        <w:rPr>
          <w:rFonts w:cs="Arial"/>
          <w:sz w:val="20"/>
          <w:szCs w:val="20"/>
          <w:vertAlign w:val="subscript"/>
        </w:rPr>
        <w:t>factor</w:t>
      </w:r>
      <w:proofErr w:type="spellEnd"/>
      <w:r>
        <w:rPr>
          <w:rFonts w:cs="Arial"/>
          <w:sz w:val="20"/>
          <w:szCs w:val="20"/>
        </w:rPr>
        <w:t>(</w:t>
      </w:r>
      <w:proofErr w:type="spellStart"/>
      <w:r>
        <w:rPr>
          <w:rFonts w:cs="Arial"/>
          <w:sz w:val="20"/>
          <w:szCs w:val="20"/>
        </w:rPr>
        <w:t>IMC</w:t>
      </w:r>
      <w:r>
        <w:rPr>
          <w:rFonts w:cs="Arial"/>
          <w:sz w:val="20"/>
          <w:szCs w:val="20"/>
          <w:vertAlign w:val="subscript"/>
        </w:rPr>
        <w:t>recommendation</w:t>
      </w:r>
      <w:proofErr w:type="spellEnd"/>
      <w:r>
        <w:rPr>
          <w:rFonts w:cs="Arial"/>
          <w:sz w:val="20"/>
          <w:szCs w:val="20"/>
        </w:rPr>
        <w:t>)]</w:t>
      </w:r>
    </w:p>
    <w:p w14:paraId="6E130CDC" w14:textId="77777777" w:rsidR="009F63BC" w:rsidRPr="009F63BC" w:rsidRDefault="009F63BC" w:rsidP="009F63BC">
      <w:pPr>
        <w:jc w:val="center"/>
        <w:rPr>
          <w:rFonts w:cs="Arial"/>
          <w:sz w:val="20"/>
          <w:szCs w:val="20"/>
          <w:vertAlign w:val="subscript"/>
        </w:rPr>
      </w:pPr>
    </w:p>
    <w:p w14:paraId="06E63576" w14:textId="64BAFFAE" w:rsidR="00E44DCE" w:rsidRDefault="00E44DCE" w:rsidP="00E44DCE">
      <w:pPr>
        <w:rPr>
          <w:rFonts w:cs="Arial"/>
          <w:sz w:val="20"/>
          <w:szCs w:val="20"/>
        </w:rPr>
      </w:pPr>
      <w:r>
        <w:rPr>
          <w:rFonts w:cs="Arial"/>
          <w:sz w:val="20"/>
          <w:szCs w:val="20"/>
        </w:rPr>
        <w:t xml:space="preserve">Where, </w:t>
      </w:r>
    </w:p>
    <w:p w14:paraId="489DB1CE" w14:textId="26EEA374" w:rsidR="00E44DCE" w:rsidRDefault="00E44DCE" w:rsidP="00E44DCE">
      <w:pPr>
        <w:rPr>
          <w:rFonts w:cs="Arial"/>
          <w:sz w:val="20"/>
          <w:szCs w:val="20"/>
        </w:rPr>
      </w:pPr>
      <w:r>
        <w:rPr>
          <w:rFonts w:cs="Arial"/>
          <w:sz w:val="20"/>
          <w:szCs w:val="20"/>
        </w:rPr>
        <w:t>Weighted Ave IMC= Adjusted IMC dependent on recommendations taken due to HEES</w:t>
      </w:r>
    </w:p>
    <w:p w14:paraId="74EF99DD" w14:textId="526469FC" w:rsidR="00E44DCE" w:rsidRDefault="00E44DCE" w:rsidP="00E44DCE">
      <w:pPr>
        <w:rPr>
          <w:rFonts w:cs="Arial"/>
          <w:sz w:val="20"/>
          <w:szCs w:val="20"/>
        </w:rPr>
      </w:pPr>
      <w:proofErr w:type="spellStart"/>
      <w:r>
        <w:rPr>
          <w:rFonts w:cs="Arial"/>
          <w:sz w:val="20"/>
          <w:szCs w:val="20"/>
        </w:rPr>
        <w:t>R</w:t>
      </w:r>
      <w:r>
        <w:rPr>
          <w:rFonts w:cs="Arial"/>
          <w:sz w:val="20"/>
          <w:szCs w:val="20"/>
          <w:vertAlign w:val="subscript"/>
        </w:rPr>
        <w:t>factor</w:t>
      </w:r>
      <w:proofErr w:type="spellEnd"/>
      <w:r>
        <w:rPr>
          <w:rFonts w:cs="Arial"/>
          <w:sz w:val="20"/>
          <w:szCs w:val="20"/>
          <w:vertAlign w:val="subscript"/>
        </w:rPr>
        <w:t xml:space="preserve">, </w:t>
      </w:r>
      <w:r>
        <w:rPr>
          <w:rFonts w:cs="Arial"/>
          <w:sz w:val="20"/>
          <w:szCs w:val="20"/>
        </w:rPr>
        <w:t>%= (factor of recommendation taken) / (total recommendations taken)</w:t>
      </w:r>
    </w:p>
    <w:p w14:paraId="0D92C38B" w14:textId="10B1B357" w:rsidR="00E44DCE" w:rsidRDefault="00E44DCE" w:rsidP="00E44DCE">
      <w:pPr>
        <w:rPr>
          <w:rFonts w:cs="Arial"/>
          <w:sz w:val="20"/>
          <w:szCs w:val="20"/>
        </w:rPr>
      </w:pPr>
      <w:proofErr w:type="spellStart"/>
      <w:r>
        <w:rPr>
          <w:rFonts w:cs="Arial"/>
          <w:sz w:val="20"/>
          <w:szCs w:val="20"/>
        </w:rPr>
        <w:t>IMC</w:t>
      </w:r>
      <w:r>
        <w:rPr>
          <w:rFonts w:cs="Arial"/>
          <w:sz w:val="20"/>
          <w:szCs w:val="20"/>
          <w:vertAlign w:val="subscript"/>
        </w:rPr>
        <w:t>recommendation</w:t>
      </w:r>
      <w:proofErr w:type="spellEnd"/>
      <w:r w:rsidR="009F63BC">
        <w:rPr>
          <w:rFonts w:cs="Arial"/>
          <w:sz w:val="20"/>
          <w:szCs w:val="20"/>
        </w:rPr>
        <w:t>=Incremental cost per recommendation</w:t>
      </w:r>
    </w:p>
    <w:p w14:paraId="00A9E48D" w14:textId="77777777" w:rsidR="009F63BC" w:rsidRDefault="009F63BC" w:rsidP="00E44DCE">
      <w:pPr>
        <w:rPr>
          <w:rFonts w:cs="Arial"/>
          <w:sz w:val="20"/>
          <w:szCs w:val="20"/>
        </w:rPr>
      </w:pPr>
    </w:p>
    <w:p w14:paraId="0C39DA57" w14:textId="2279F065" w:rsidR="009F63BC" w:rsidRPr="009F63BC" w:rsidRDefault="009F63BC" w:rsidP="00E44DCE">
      <w:pPr>
        <w:rPr>
          <w:rFonts w:cs="Arial"/>
          <w:i/>
          <w:sz w:val="20"/>
          <w:szCs w:val="20"/>
        </w:rPr>
      </w:pPr>
      <w:r>
        <w:rPr>
          <w:rFonts w:cs="Arial"/>
          <w:sz w:val="20"/>
          <w:szCs w:val="20"/>
        </w:rPr>
        <w:t xml:space="preserve">The weighted Incremental Cost is the calculated cost per recommendation. The audit consists of behavioral recommendations that are cost-free and measure recommendations that have an equipment cost. </w:t>
      </w:r>
    </w:p>
    <w:p w14:paraId="393A1194" w14:textId="77777777" w:rsidR="002F3610" w:rsidRDefault="002F3610" w:rsidP="00ED3B31">
      <w:pPr>
        <w:ind w:firstLine="720"/>
        <w:rPr>
          <w:rFonts w:cs="Arial"/>
          <w:i/>
          <w:sz w:val="20"/>
          <w:szCs w:val="20"/>
        </w:rPr>
      </w:pPr>
    </w:p>
    <w:p w14:paraId="393A1195" w14:textId="77777777"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393A119C" w14:textId="77777777" w:rsidTr="00A01631">
        <w:tc>
          <w:tcPr>
            <w:tcW w:w="758"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8"/>
            </w:r>
          </w:p>
        </w:tc>
        <w:tc>
          <w:tcPr>
            <w:tcW w:w="737" w:type="pct"/>
            <w:shd w:val="clear" w:color="auto" w:fill="auto"/>
          </w:tcPr>
          <w:p w14:paraId="393A119A" w14:textId="557C4637"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14:paraId="393A119B" w14:textId="5CF5D6C7" w:rsidR="002F3610" w:rsidRPr="00A01631" w:rsidRDefault="002F3610" w:rsidP="002F3610">
            <w:pPr>
              <w:rPr>
                <w:rFonts w:cs="Arial"/>
                <w:b/>
                <w:sz w:val="20"/>
                <w:szCs w:val="20"/>
              </w:rPr>
            </w:pPr>
            <w:r w:rsidRPr="00A01631">
              <w:rPr>
                <w:rFonts w:cs="Arial"/>
                <w:b/>
                <w:sz w:val="20"/>
                <w:szCs w:val="20"/>
              </w:rPr>
              <w:t>Incremental Measure Cost</w:t>
            </w:r>
            <w:r w:rsidR="00B42F07">
              <w:rPr>
                <w:rStyle w:val="EndnoteReference"/>
                <w:rFonts w:cs="Arial"/>
                <w:b/>
                <w:sz w:val="20"/>
                <w:szCs w:val="20"/>
              </w:rPr>
              <w:endnoteReference w:id="9"/>
            </w:r>
          </w:p>
        </w:tc>
      </w:tr>
      <w:tr w:rsidR="002F3610" w:rsidRPr="00A01631" w14:paraId="393A11AA" w14:textId="77777777" w:rsidTr="00A01631">
        <w:tc>
          <w:tcPr>
            <w:tcW w:w="758" w:type="pct"/>
            <w:shd w:val="clear" w:color="auto" w:fill="auto"/>
          </w:tcPr>
          <w:p w14:paraId="393A11A4" w14:textId="77777777" w:rsidR="002F3610" w:rsidRPr="00A01631" w:rsidRDefault="002F3610" w:rsidP="002F3610">
            <w:pPr>
              <w:rPr>
                <w:rFonts w:cs="Arial"/>
                <w:b/>
                <w:sz w:val="20"/>
                <w:szCs w:val="20"/>
              </w:rPr>
            </w:pPr>
          </w:p>
        </w:tc>
        <w:tc>
          <w:tcPr>
            <w:tcW w:w="968" w:type="pct"/>
            <w:shd w:val="clear" w:color="auto" w:fill="auto"/>
          </w:tcPr>
          <w:p w14:paraId="393A11A5" w14:textId="77777777" w:rsidR="002F3610" w:rsidRPr="00A01631" w:rsidRDefault="002F3610" w:rsidP="002F3610">
            <w:pPr>
              <w:rPr>
                <w:rFonts w:cs="Arial"/>
                <w:b/>
                <w:sz w:val="20"/>
                <w:szCs w:val="20"/>
              </w:rPr>
            </w:pPr>
            <w:r w:rsidRPr="00E44DCE">
              <w:rPr>
                <w:rFonts w:cs="Arial"/>
                <w:sz w:val="20"/>
                <w:szCs w:val="20"/>
              </w:rPr>
              <w:t>ROB</w:t>
            </w:r>
          </w:p>
        </w:tc>
        <w:tc>
          <w:tcPr>
            <w:tcW w:w="838" w:type="pct"/>
            <w:shd w:val="clear" w:color="auto" w:fill="auto"/>
          </w:tcPr>
          <w:p w14:paraId="393A11A6" w14:textId="6BE13EB1" w:rsidR="002F3610" w:rsidRPr="00A01631" w:rsidRDefault="009F63BC" w:rsidP="009F63BC">
            <w:pPr>
              <w:jc w:val="center"/>
              <w:rPr>
                <w:rFonts w:cs="Arial"/>
                <w:b/>
                <w:sz w:val="20"/>
                <w:szCs w:val="20"/>
              </w:rPr>
            </w:pPr>
            <w:r>
              <w:rPr>
                <w:rFonts w:cs="Arial"/>
                <w:b/>
                <w:sz w:val="20"/>
                <w:szCs w:val="20"/>
              </w:rPr>
              <w:t>0</w:t>
            </w:r>
          </w:p>
        </w:tc>
        <w:tc>
          <w:tcPr>
            <w:tcW w:w="739" w:type="pct"/>
            <w:shd w:val="clear" w:color="auto" w:fill="auto"/>
          </w:tcPr>
          <w:p w14:paraId="393A11A7" w14:textId="20DE130B" w:rsidR="002F3610" w:rsidRPr="00A01631" w:rsidRDefault="009F63BC" w:rsidP="00B301AF">
            <w:pPr>
              <w:jc w:val="center"/>
              <w:rPr>
                <w:rFonts w:cs="Arial"/>
                <w:b/>
                <w:sz w:val="20"/>
                <w:szCs w:val="20"/>
              </w:rPr>
            </w:pPr>
            <w:r>
              <w:rPr>
                <w:rFonts w:cs="Arial"/>
                <w:b/>
                <w:sz w:val="20"/>
                <w:szCs w:val="20"/>
              </w:rPr>
              <w:t>$</w:t>
            </w:r>
            <w:r w:rsidR="00B301AF">
              <w:rPr>
                <w:rFonts w:cs="Arial"/>
                <w:b/>
                <w:sz w:val="20"/>
                <w:szCs w:val="20"/>
              </w:rPr>
              <w:t>24.65</w:t>
            </w:r>
          </w:p>
        </w:tc>
        <w:tc>
          <w:tcPr>
            <w:tcW w:w="737" w:type="pct"/>
            <w:shd w:val="clear" w:color="auto" w:fill="auto"/>
          </w:tcPr>
          <w:p w14:paraId="393A11A8" w14:textId="01C0DEAF" w:rsidR="002F3610" w:rsidRPr="00A01631" w:rsidRDefault="00B301AF" w:rsidP="009F63BC">
            <w:pPr>
              <w:jc w:val="center"/>
              <w:rPr>
                <w:rFonts w:cs="Arial"/>
                <w:b/>
                <w:sz w:val="20"/>
                <w:szCs w:val="20"/>
              </w:rPr>
            </w:pPr>
            <w:r>
              <w:rPr>
                <w:rFonts w:cs="Arial"/>
                <w:b/>
                <w:sz w:val="20"/>
                <w:szCs w:val="20"/>
              </w:rPr>
              <w:t>$24.65</w:t>
            </w:r>
          </w:p>
        </w:tc>
        <w:tc>
          <w:tcPr>
            <w:tcW w:w="960" w:type="pct"/>
            <w:shd w:val="clear" w:color="auto" w:fill="auto"/>
          </w:tcPr>
          <w:p w14:paraId="393A11A9" w14:textId="0AE3176C" w:rsidR="00B301AF" w:rsidRPr="00A01631" w:rsidRDefault="00B301AF" w:rsidP="00123D98">
            <w:pPr>
              <w:jc w:val="center"/>
              <w:rPr>
                <w:rFonts w:cs="Arial"/>
                <w:b/>
                <w:sz w:val="20"/>
                <w:szCs w:val="20"/>
              </w:rPr>
            </w:pPr>
            <w:r>
              <w:rPr>
                <w:rFonts w:cs="Arial"/>
                <w:b/>
                <w:sz w:val="20"/>
                <w:szCs w:val="20"/>
              </w:rPr>
              <w:t>$24.65</w:t>
            </w:r>
          </w:p>
        </w:tc>
      </w:tr>
    </w:tbl>
    <w:p w14:paraId="3DFADDA2" w14:textId="6371348D" w:rsidR="005D17A5" w:rsidRPr="000F2364" w:rsidRDefault="005D17A5" w:rsidP="000F2364">
      <w:pPr>
        <w:pStyle w:val="Heading1"/>
        <w:rPr>
          <w:b w:val="0"/>
          <w:bCs w:val="0"/>
          <w:sz w:val="24"/>
        </w:rPr>
      </w:pPr>
      <w:bookmarkStart w:id="120" w:name="_MON_1382719630"/>
      <w:bookmarkStart w:id="121" w:name="_Toc324318378"/>
      <w:bookmarkStart w:id="122" w:name="_Toc324340508"/>
      <w:bookmarkStart w:id="123" w:name="_Toc383442012"/>
      <w:bookmarkStart w:id="124" w:name="_Toc304800222"/>
      <w:bookmarkEnd w:id="116"/>
      <w:bookmarkEnd w:id="120"/>
    </w:p>
    <w:p w14:paraId="1C48AE88" w14:textId="0A4423D9" w:rsidR="00855D7A" w:rsidRPr="005B2D0C" w:rsidRDefault="00855D7A" w:rsidP="005B2D0C"/>
    <w:p w14:paraId="4514591F" w14:textId="77777777" w:rsidR="00535E80" w:rsidRDefault="00535E80" w:rsidP="00535E80">
      <w:pPr>
        <w:rPr>
          <w:rFonts w:cs="Arial"/>
          <w:b/>
          <w:bCs/>
          <w:kern w:val="32"/>
          <w:sz w:val="32"/>
          <w:szCs w:val="32"/>
        </w:rPr>
      </w:pPr>
    </w:p>
    <w:p w14:paraId="38ABD5AD" w14:textId="77777777" w:rsidR="00535E80" w:rsidRDefault="00535E80" w:rsidP="00535E80">
      <w:pPr>
        <w:rPr>
          <w:rFonts w:cs="Arial"/>
          <w:b/>
          <w:bCs/>
          <w:kern w:val="32"/>
          <w:sz w:val="32"/>
          <w:szCs w:val="32"/>
        </w:rPr>
      </w:pPr>
    </w:p>
    <w:p w14:paraId="126498C0" w14:textId="77777777" w:rsidR="00535E80" w:rsidRDefault="00535E80" w:rsidP="00535E80">
      <w:pPr>
        <w:rPr>
          <w:rFonts w:cs="Arial"/>
          <w:b/>
          <w:bCs/>
          <w:kern w:val="32"/>
          <w:sz w:val="32"/>
          <w:szCs w:val="32"/>
        </w:rPr>
      </w:pPr>
    </w:p>
    <w:p w14:paraId="79A71A19" w14:textId="77777777" w:rsidR="00535E80" w:rsidRDefault="00535E80" w:rsidP="00535E80">
      <w:pPr>
        <w:rPr>
          <w:rFonts w:cs="Arial"/>
          <w:b/>
          <w:bCs/>
          <w:kern w:val="32"/>
          <w:sz w:val="32"/>
          <w:szCs w:val="32"/>
        </w:rPr>
      </w:pPr>
    </w:p>
    <w:p w14:paraId="028FCFAE" w14:textId="77777777" w:rsidR="00535E80" w:rsidRDefault="00535E80" w:rsidP="00535E80">
      <w:pPr>
        <w:rPr>
          <w:rFonts w:cs="Arial"/>
          <w:b/>
          <w:bCs/>
          <w:kern w:val="32"/>
          <w:sz w:val="32"/>
          <w:szCs w:val="32"/>
        </w:rPr>
      </w:pPr>
    </w:p>
    <w:p w14:paraId="203F7597" w14:textId="77777777" w:rsidR="00535E80" w:rsidRDefault="00535E80" w:rsidP="00535E80">
      <w:pPr>
        <w:rPr>
          <w:rFonts w:cs="Arial"/>
          <w:b/>
          <w:bCs/>
          <w:kern w:val="32"/>
          <w:sz w:val="32"/>
          <w:szCs w:val="32"/>
        </w:rPr>
      </w:pPr>
    </w:p>
    <w:p w14:paraId="6634FC82" w14:textId="77777777" w:rsidR="00535E80" w:rsidRDefault="00535E80" w:rsidP="00535E80">
      <w:pPr>
        <w:rPr>
          <w:rFonts w:cs="Arial"/>
          <w:b/>
          <w:bCs/>
          <w:kern w:val="32"/>
          <w:sz w:val="32"/>
          <w:szCs w:val="32"/>
        </w:rPr>
      </w:pPr>
    </w:p>
    <w:p w14:paraId="45C947C5" w14:textId="77777777" w:rsidR="00535E80" w:rsidRDefault="00535E80" w:rsidP="00535E80">
      <w:pPr>
        <w:rPr>
          <w:rFonts w:cs="Arial"/>
          <w:b/>
          <w:bCs/>
          <w:kern w:val="32"/>
          <w:sz w:val="32"/>
          <w:szCs w:val="32"/>
        </w:rPr>
      </w:pPr>
    </w:p>
    <w:p w14:paraId="226EEC0A" w14:textId="77777777" w:rsidR="00535E80" w:rsidRDefault="00535E80" w:rsidP="00535E80">
      <w:pPr>
        <w:rPr>
          <w:rFonts w:cs="Arial"/>
          <w:b/>
          <w:bCs/>
          <w:kern w:val="32"/>
          <w:sz w:val="32"/>
          <w:szCs w:val="32"/>
        </w:rPr>
      </w:pPr>
    </w:p>
    <w:p w14:paraId="20C1AE19" w14:textId="77777777" w:rsidR="00535E80" w:rsidRDefault="00535E80" w:rsidP="00535E80">
      <w:pPr>
        <w:rPr>
          <w:rFonts w:cs="Arial"/>
          <w:b/>
          <w:bCs/>
          <w:kern w:val="32"/>
          <w:sz w:val="32"/>
          <w:szCs w:val="32"/>
        </w:rPr>
      </w:pPr>
    </w:p>
    <w:p w14:paraId="3E5A7CDD" w14:textId="77777777" w:rsidR="00535E80" w:rsidRDefault="00535E80" w:rsidP="00535E80">
      <w:pPr>
        <w:rPr>
          <w:rFonts w:cs="Arial"/>
          <w:b/>
          <w:bCs/>
          <w:kern w:val="32"/>
          <w:sz w:val="32"/>
          <w:szCs w:val="32"/>
        </w:rPr>
      </w:pPr>
    </w:p>
    <w:p w14:paraId="4F748B60" w14:textId="77777777" w:rsidR="00535E80" w:rsidRDefault="00535E80" w:rsidP="00535E80">
      <w:pPr>
        <w:rPr>
          <w:rFonts w:cs="Arial"/>
          <w:b/>
          <w:bCs/>
          <w:kern w:val="32"/>
          <w:sz w:val="32"/>
          <w:szCs w:val="32"/>
        </w:rPr>
      </w:pPr>
    </w:p>
    <w:p w14:paraId="402D8ACD" w14:textId="77777777" w:rsidR="00535E80" w:rsidRDefault="00535E80" w:rsidP="00535E80">
      <w:pPr>
        <w:rPr>
          <w:rFonts w:cs="Arial"/>
          <w:b/>
          <w:bCs/>
          <w:kern w:val="32"/>
          <w:sz w:val="32"/>
          <w:szCs w:val="32"/>
        </w:rPr>
      </w:pPr>
    </w:p>
    <w:p w14:paraId="714B046C" w14:textId="77777777" w:rsidR="00535E80" w:rsidRDefault="00535E80" w:rsidP="00535E80">
      <w:pPr>
        <w:rPr>
          <w:rFonts w:cs="Arial"/>
          <w:b/>
          <w:bCs/>
          <w:kern w:val="32"/>
          <w:sz w:val="32"/>
          <w:szCs w:val="32"/>
        </w:rPr>
      </w:pPr>
    </w:p>
    <w:p w14:paraId="1C8ED3AA" w14:textId="77777777" w:rsidR="00535E80" w:rsidRDefault="00535E80" w:rsidP="00535E80">
      <w:pPr>
        <w:rPr>
          <w:rFonts w:cs="Arial"/>
          <w:b/>
          <w:bCs/>
          <w:kern w:val="32"/>
          <w:sz w:val="32"/>
          <w:szCs w:val="32"/>
        </w:rPr>
      </w:pPr>
    </w:p>
    <w:p w14:paraId="7E111054" w14:textId="77777777" w:rsidR="00535E80" w:rsidRDefault="00535E80" w:rsidP="00535E80">
      <w:pPr>
        <w:rPr>
          <w:rFonts w:cs="Arial"/>
          <w:b/>
          <w:bCs/>
          <w:kern w:val="32"/>
          <w:sz w:val="32"/>
          <w:szCs w:val="32"/>
        </w:rPr>
      </w:pPr>
    </w:p>
    <w:p w14:paraId="5F869B6C" w14:textId="77777777" w:rsidR="00535E80" w:rsidRDefault="00535E80" w:rsidP="00535E80">
      <w:pPr>
        <w:rPr>
          <w:rFonts w:cs="Arial"/>
          <w:b/>
          <w:bCs/>
          <w:kern w:val="32"/>
          <w:sz w:val="32"/>
          <w:szCs w:val="32"/>
        </w:rPr>
      </w:pPr>
    </w:p>
    <w:p w14:paraId="50D9E118" w14:textId="77777777" w:rsidR="00535E80" w:rsidRDefault="00535E80" w:rsidP="00535E80">
      <w:pPr>
        <w:rPr>
          <w:rFonts w:cs="Arial"/>
          <w:b/>
          <w:bCs/>
          <w:kern w:val="32"/>
          <w:sz w:val="32"/>
          <w:szCs w:val="32"/>
        </w:rPr>
      </w:pPr>
    </w:p>
    <w:p w14:paraId="79193DD0" w14:textId="77777777" w:rsidR="00535E80" w:rsidRDefault="00535E80" w:rsidP="00535E80">
      <w:pPr>
        <w:rPr>
          <w:rFonts w:cs="Arial"/>
          <w:b/>
          <w:bCs/>
          <w:kern w:val="32"/>
          <w:sz w:val="32"/>
          <w:szCs w:val="32"/>
        </w:rPr>
      </w:pPr>
    </w:p>
    <w:p w14:paraId="0A87EA1E" w14:textId="77777777" w:rsidR="00535E80" w:rsidRDefault="00535E80" w:rsidP="00535E80">
      <w:pPr>
        <w:rPr>
          <w:rFonts w:cs="Arial"/>
          <w:b/>
          <w:bCs/>
          <w:kern w:val="32"/>
          <w:sz w:val="32"/>
          <w:szCs w:val="32"/>
        </w:rPr>
      </w:pPr>
    </w:p>
    <w:p w14:paraId="432F48B8" w14:textId="77777777" w:rsidR="00535E80" w:rsidRDefault="00535E80" w:rsidP="00535E80">
      <w:pPr>
        <w:rPr>
          <w:rFonts w:cs="Arial"/>
          <w:b/>
          <w:bCs/>
          <w:kern w:val="32"/>
          <w:sz w:val="32"/>
          <w:szCs w:val="32"/>
        </w:rPr>
      </w:pPr>
    </w:p>
    <w:p w14:paraId="35696C75" w14:textId="61BCCB53" w:rsidR="00535E80" w:rsidRDefault="00535E80" w:rsidP="00535E80">
      <w:pPr>
        <w:rPr>
          <w:rFonts w:cs="Arial"/>
          <w:b/>
          <w:bCs/>
          <w:kern w:val="32"/>
          <w:sz w:val="32"/>
          <w:szCs w:val="32"/>
        </w:rPr>
      </w:pPr>
    </w:p>
    <w:p w14:paraId="33286E03" w14:textId="77777777" w:rsidR="00535E80" w:rsidRDefault="00535E80" w:rsidP="00535E80">
      <w:pPr>
        <w:rPr>
          <w:rFonts w:cs="Arial"/>
          <w:b/>
          <w:bCs/>
          <w:kern w:val="32"/>
          <w:sz w:val="32"/>
          <w:szCs w:val="32"/>
        </w:rPr>
      </w:pPr>
    </w:p>
    <w:p w14:paraId="393A153A" w14:textId="77777777" w:rsidR="006B4563" w:rsidRDefault="000966CC" w:rsidP="000966CC">
      <w:pPr>
        <w:pStyle w:val="Heading1"/>
      </w:pPr>
      <w:bookmarkStart w:id="125" w:name="_Toc324318383"/>
      <w:bookmarkStart w:id="126" w:name="_Toc324340513"/>
      <w:bookmarkStart w:id="127" w:name="_Toc396897881"/>
      <w:bookmarkEnd w:id="121"/>
      <w:bookmarkEnd w:id="122"/>
      <w:bookmarkEnd w:id="123"/>
      <w:r>
        <w:t>References</w:t>
      </w:r>
      <w:bookmarkEnd w:id="125"/>
      <w:bookmarkEnd w:id="126"/>
      <w:bookmarkEnd w:id="127"/>
      <w:r w:rsidR="00844B27">
        <w:t xml:space="preserve"> </w:t>
      </w:r>
    </w:p>
    <w:bookmarkEnd w:id="124"/>
    <w:p w14:paraId="66DE5B67" w14:textId="77777777" w:rsidR="007E6C79" w:rsidRPr="007E6C79" w:rsidRDefault="007E6C79" w:rsidP="007E6C79">
      <w:pPr>
        <w:rPr>
          <w:rFonts w:asciiTheme="minorHAnsi" w:eastAsiaTheme="minorHAnsi" w:hAnsiTheme="minorHAnsi" w:cstheme="minorBidi"/>
          <w:szCs w:val="22"/>
        </w:rPr>
      </w:pPr>
      <w:r w:rsidRPr="007E6C79">
        <w:rPr>
          <w:rFonts w:eastAsiaTheme="minorHAnsi" w:cs="Arial"/>
          <w:i/>
          <w:sz w:val="20"/>
          <w:szCs w:val="20"/>
          <w:u w:val="single"/>
        </w:rPr>
        <w:t>DEER2011_NTGR_2012-05-16.xls</w:t>
      </w:r>
      <w:r w:rsidRPr="007E6C79">
        <w:rPr>
          <w:rFonts w:eastAsiaTheme="minorHAnsi" w:cs="Arial"/>
          <w:sz w:val="20"/>
          <w:szCs w:val="20"/>
        </w:rPr>
        <w:t xml:space="preserve"> </w:t>
      </w:r>
      <w:proofErr w:type="gramStart"/>
      <w:r w:rsidRPr="007E6C79">
        <w:rPr>
          <w:rFonts w:eastAsiaTheme="minorHAnsi" w:cs="Arial"/>
          <w:sz w:val="20"/>
          <w:szCs w:val="20"/>
        </w:rPr>
        <w:t xml:space="preserve">from  </w:t>
      </w:r>
      <w:r w:rsidRPr="007E6C79">
        <w:rPr>
          <w:rFonts w:cs="Arial"/>
          <w:bCs/>
          <w:color w:val="333333"/>
          <w:kern w:val="36"/>
          <w:sz w:val="20"/>
          <w:szCs w:val="20"/>
          <w:lang w:val="en-GB"/>
        </w:rPr>
        <w:t>DEER</w:t>
      </w:r>
      <w:proofErr w:type="gramEnd"/>
      <w:r w:rsidRPr="007E6C79">
        <w:rPr>
          <w:rFonts w:cs="Arial"/>
          <w:bCs/>
          <w:color w:val="333333"/>
          <w:kern w:val="36"/>
          <w:sz w:val="20"/>
          <w:szCs w:val="20"/>
          <w:lang w:val="en-GB"/>
        </w:rPr>
        <w:t xml:space="preserve"> Database for Energy-Efficient Resources; </w:t>
      </w:r>
      <w:r w:rsidRPr="007E6C79">
        <w:rPr>
          <w:rFonts w:cs="Arial"/>
          <w:bCs/>
          <w:color w:val="333333"/>
          <w:sz w:val="20"/>
          <w:szCs w:val="20"/>
          <w:lang w:val="en-GB"/>
        </w:rPr>
        <w:t>Version 2011 4.01 found at :</w:t>
      </w:r>
      <w:hyperlink r:id="rId25" w:history="1">
        <w:r w:rsidRPr="007E6C79">
          <w:rPr>
            <w:rFonts w:asciiTheme="minorHAnsi" w:eastAsiaTheme="minorHAnsi" w:hAnsiTheme="minorHAnsi" w:cstheme="minorBidi"/>
            <w:color w:val="006699"/>
            <w:szCs w:val="22"/>
            <w:u w:val="single"/>
          </w:rPr>
          <w:t>http://www.deeresources.com/index.php?option=com_content&amp;view=article&amp;id=68&amp;Itemid=60</w:t>
        </w:r>
      </w:hyperlink>
    </w:p>
    <w:p w14:paraId="5C9D04AE" w14:textId="6795ABC1" w:rsidR="007E6C79" w:rsidRPr="00C97298" w:rsidRDefault="007E6C79" w:rsidP="000966CC">
      <w:pPr>
        <w:rPr>
          <w:rFonts w:eastAsiaTheme="minorHAnsi" w:cs="Arial"/>
          <w:color w:val="333333"/>
          <w:sz w:val="21"/>
          <w:szCs w:val="21"/>
          <w:lang w:val="en-GB"/>
        </w:rPr>
      </w:pPr>
      <w:r w:rsidRPr="007E6C79">
        <w:rPr>
          <w:rFonts w:eastAsiaTheme="minorHAnsi" w:cs="Arial"/>
          <w:sz w:val="20"/>
          <w:szCs w:val="20"/>
        </w:rPr>
        <w:t xml:space="preserve">Under: </w:t>
      </w:r>
      <w:r w:rsidRPr="007E6C79">
        <w:rPr>
          <w:rFonts w:eastAsiaTheme="minorHAnsi" w:cs="Arial"/>
          <w:color w:val="333333"/>
          <w:sz w:val="21"/>
          <w:szCs w:val="21"/>
          <w:lang w:val="en-GB"/>
        </w:rPr>
        <w:t xml:space="preserve">DEER2011 Update Documentation linked at: </w:t>
      </w:r>
      <w:hyperlink r:id="rId26" w:history="1">
        <w:r w:rsidRPr="007E6C79">
          <w:rPr>
            <w:rFonts w:eastAsiaTheme="minorHAnsi" w:cs="Arial"/>
            <w:color w:val="006699"/>
            <w:sz w:val="21"/>
            <w:szCs w:val="21"/>
            <w:u w:val="single"/>
            <w:lang w:val="en-GB"/>
          </w:rPr>
          <w:t>DEER2011 Update Net-To-Gross table</w:t>
        </w:r>
      </w:hyperlink>
      <w:r w:rsidRPr="007E6C79">
        <w:rPr>
          <w:rFonts w:eastAsiaTheme="minorHAnsi" w:cs="Arial"/>
          <w:color w:val="333333"/>
          <w:sz w:val="21"/>
          <w:szCs w:val="21"/>
          <w:lang w:val="en-GB"/>
        </w:rPr>
        <w:t> </w:t>
      </w:r>
    </w:p>
    <w:p w14:paraId="461938C0" w14:textId="35386B49" w:rsidR="002764BF" w:rsidRDefault="007E6C79" w:rsidP="007E6C79">
      <w:pPr>
        <w:spacing w:line="276" w:lineRule="auto"/>
        <w:rPr>
          <w:rFonts w:eastAsiaTheme="minorHAnsi" w:cs="Arial"/>
          <w:color w:val="006699"/>
          <w:sz w:val="20"/>
          <w:szCs w:val="20"/>
          <w:u w:val="single"/>
        </w:rPr>
      </w:pPr>
      <w:r w:rsidRPr="007E6C79">
        <w:rPr>
          <w:rFonts w:cs="Arial"/>
          <w:bCs/>
          <w:color w:val="333333"/>
          <w:kern w:val="36"/>
          <w:sz w:val="20"/>
          <w:szCs w:val="20"/>
          <w:lang w:val="en-GB"/>
        </w:rPr>
        <w:t xml:space="preserve">DEER Database for Energy-Efficient Resources; </w:t>
      </w:r>
      <w:r w:rsidRPr="007E6C79">
        <w:rPr>
          <w:rFonts w:cs="Arial"/>
          <w:bCs/>
          <w:color w:val="333333"/>
          <w:sz w:val="20"/>
          <w:szCs w:val="20"/>
          <w:lang w:val="en-GB"/>
        </w:rPr>
        <w:t xml:space="preserve">Version 2011 4.01 </w:t>
      </w:r>
      <w:proofErr w:type="gramStart"/>
      <w:r w:rsidRPr="007E6C79">
        <w:rPr>
          <w:rFonts w:cs="Arial"/>
          <w:bCs/>
          <w:color w:val="333333"/>
          <w:sz w:val="20"/>
          <w:szCs w:val="20"/>
          <w:lang w:val="en-GB"/>
        </w:rPr>
        <w:t>found at :</w:t>
      </w:r>
      <w:proofErr w:type="gramEnd"/>
      <w:hyperlink r:id="rId27" w:history="1">
        <w:r w:rsidRPr="007E6C79">
          <w:rPr>
            <w:rFonts w:eastAsiaTheme="minorHAnsi" w:cs="Arial"/>
            <w:color w:val="006699"/>
            <w:sz w:val="20"/>
            <w:szCs w:val="20"/>
            <w:u w:val="single"/>
          </w:rPr>
          <w:t>http://www.deeresources.com/index.php?option=com_content&amp;view=article&amp;id=68&amp;Itemid=60</w:t>
        </w:r>
      </w:hyperlink>
    </w:p>
    <w:p w14:paraId="178C7019" w14:textId="26C01C2D" w:rsidR="007E6C79" w:rsidRPr="007E6C79" w:rsidRDefault="007E6C79" w:rsidP="007E6C79">
      <w:pPr>
        <w:spacing w:line="276" w:lineRule="auto"/>
        <w:rPr>
          <w:rFonts w:eastAsiaTheme="minorHAnsi" w:cs="Arial"/>
          <w:sz w:val="20"/>
          <w:szCs w:val="20"/>
        </w:rPr>
      </w:pPr>
      <w:r w:rsidRPr="007E6C79">
        <w:rPr>
          <w:rFonts w:eastAsiaTheme="minorHAnsi" w:cs="Arial"/>
          <w:sz w:val="20"/>
          <w:szCs w:val="20"/>
        </w:rPr>
        <w:t xml:space="preserve">READI Tool Version </w:t>
      </w:r>
      <w:r w:rsidR="00C97298">
        <w:rPr>
          <w:rFonts w:eastAsiaTheme="minorHAnsi" w:cs="Arial"/>
          <w:sz w:val="20"/>
          <w:szCs w:val="20"/>
        </w:rPr>
        <w:t>2.0.2</w:t>
      </w:r>
    </w:p>
    <w:sectPr w:rsidR="007E6C79" w:rsidRPr="007E6C79" w:rsidSect="0022525C">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926CB" w14:textId="77777777" w:rsidR="00922273" w:rsidRDefault="00922273">
      <w:r>
        <w:separator/>
      </w:r>
    </w:p>
    <w:p w14:paraId="095240B2" w14:textId="77777777" w:rsidR="00922273" w:rsidRDefault="00922273"/>
  </w:endnote>
  <w:endnote w:type="continuationSeparator" w:id="0">
    <w:p w14:paraId="1C3D8DB3" w14:textId="77777777" w:rsidR="00922273" w:rsidRDefault="00922273">
      <w:r>
        <w:continuationSeparator/>
      </w:r>
    </w:p>
    <w:p w14:paraId="0071D17D" w14:textId="77777777" w:rsidR="00922273" w:rsidRDefault="00922273"/>
  </w:endnote>
  <w:endnote w:id="1">
    <w:p w14:paraId="393A15BF" w14:textId="49888EBE" w:rsidR="00922273" w:rsidRDefault="00922273">
      <w:pPr>
        <w:pStyle w:val="EndnoteText"/>
      </w:pPr>
      <w:r>
        <w:rPr>
          <w:rStyle w:val="EndnoteReference"/>
        </w:rPr>
        <w:endnoteRef/>
      </w:r>
      <w:r>
        <w:t xml:space="preserve"> </w:t>
      </w:r>
      <w:r w:rsidRPr="00784500">
        <w:rPr>
          <w:rFonts w:cs="Arial"/>
        </w:rPr>
        <w:t>The DEER Measure Cost Data Users Guide</w:t>
      </w:r>
      <w:r>
        <w:rPr>
          <w:rFonts w:cs="Arial"/>
        </w:rPr>
        <w:t xml:space="preserve"> found on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14:paraId="3B194140" w14:textId="0FD1B248" w:rsidR="00922273" w:rsidRPr="00D2283C" w:rsidRDefault="00922273">
      <w:pPr>
        <w:pStyle w:val="EndnoteText"/>
      </w:pPr>
      <w:r>
        <w:rPr>
          <w:rStyle w:val="EndnoteReference"/>
        </w:rPr>
        <w:endnoteRef/>
      </w:r>
      <w:r>
        <w:t xml:space="preserve"> CPUC Energy Division DEER14 (</w:t>
      </w:r>
      <w:r w:rsidRPr="008171FC">
        <w:t>Database for Energy-Efficient Resources</w:t>
      </w:r>
      <w:r>
        <w:t>)</w:t>
      </w:r>
      <w:r w:rsidRPr="008171FC">
        <w:t xml:space="preserve"> </w:t>
      </w:r>
      <w:r>
        <w:t xml:space="preserve">database found using </w:t>
      </w:r>
      <w:proofErr w:type="spellStart"/>
      <w:r>
        <w:t>READi</w:t>
      </w:r>
      <w:proofErr w:type="spellEnd"/>
      <w:r>
        <w:t xml:space="preserve"> v2.0.2 at </w:t>
      </w:r>
      <w:hyperlink r:id="rId1" w:history="1">
        <w:r w:rsidRPr="005376F2">
          <w:rPr>
            <w:rStyle w:val="Hyperlink"/>
            <w:rFonts w:cs="Arial"/>
          </w:rPr>
          <w:t>www.deeresources.com</w:t>
        </w:r>
      </w:hyperlink>
      <w:r>
        <w:rPr>
          <w:rStyle w:val="Hyperlink"/>
          <w:rFonts w:cs="Arial"/>
        </w:rPr>
        <w:t xml:space="preserve"> </w:t>
      </w:r>
    </w:p>
  </w:endnote>
  <w:endnote w:id="3">
    <w:p w14:paraId="393A15C0" w14:textId="78B007A3" w:rsidR="00922273" w:rsidRDefault="00922273">
      <w:pPr>
        <w:pStyle w:val="EndnoteText"/>
      </w:pPr>
      <w:r w:rsidRPr="00C80E3F">
        <w:rPr>
          <w:rStyle w:val="EndnoteReference"/>
          <w:rFonts w:cs="Arial"/>
        </w:rPr>
        <w:endnoteRef/>
      </w:r>
      <w:r>
        <w:t xml:space="preserve"> </w:t>
      </w:r>
      <w:proofErr w:type="spellStart"/>
      <w:r w:rsidRPr="006F50FD">
        <w:t>Itron</w:t>
      </w:r>
      <w:proofErr w:type="spellEnd"/>
      <w:r w:rsidRPr="006F50FD">
        <w:t>, Inc. --2010-2012 CPUC HEES Impact Evaluation Final Report</w:t>
      </w:r>
      <w:r>
        <w:t xml:space="preserve"> </w:t>
      </w:r>
    </w:p>
  </w:endnote>
  <w:endnote w:id="4">
    <w:p w14:paraId="74B89299" w14:textId="6EF1EA7D" w:rsidR="00922273" w:rsidRDefault="00922273">
      <w:pPr>
        <w:pStyle w:val="EndnoteText"/>
      </w:pPr>
      <w:r>
        <w:rPr>
          <w:rStyle w:val="EndnoteReference"/>
        </w:rPr>
        <w:endnoteRef/>
      </w:r>
      <w:r>
        <w:t xml:space="preserve"> Ibid, pg.ES-1</w:t>
      </w:r>
    </w:p>
  </w:endnote>
  <w:endnote w:id="5">
    <w:p w14:paraId="60646F82" w14:textId="77777777" w:rsidR="00922273" w:rsidRDefault="00922273" w:rsidP="006F50FD">
      <w:pPr>
        <w:pStyle w:val="EndnoteText"/>
      </w:pPr>
      <w:r>
        <w:rPr>
          <w:rStyle w:val="EndnoteReference"/>
        </w:rPr>
        <w:endnoteRef/>
      </w:r>
      <w:r>
        <w:t xml:space="preserve"> Ibid, </w:t>
      </w:r>
      <w:proofErr w:type="spellStart"/>
      <w:r>
        <w:t>pg</w:t>
      </w:r>
      <w:proofErr w:type="spellEnd"/>
      <w:r>
        <w:t xml:space="preserve"> ES-1</w:t>
      </w:r>
    </w:p>
  </w:endnote>
  <w:endnote w:id="6">
    <w:p w14:paraId="696DF802" w14:textId="03049078" w:rsidR="00922273" w:rsidRDefault="00922273">
      <w:pPr>
        <w:pStyle w:val="EndnoteText"/>
      </w:pPr>
      <w:r>
        <w:rPr>
          <w:rStyle w:val="EndnoteReference"/>
        </w:rPr>
        <w:endnoteRef/>
      </w:r>
      <w:r>
        <w:t xml:space="preserve"> Ibid, </w:t>
      </w:r>
      <w:proofErr w:type="spellStart"/>
      <w:r>
        <w:t>pg</w:t>
      </w:r>
      <w:proofErr w:type="spellEnd"/>
      <w:r>
        <w:t xml:space="preserve"> ES-13</w:t>
      </w:r>
    </w:p>
  </w:endnote>
  <w:endnote w:id="7">
    <w:p w14:paraId="4CFD67F9" w14:textId="1524393F" w:rsidR="00922273" w:rsidRDefault="00922273">
      <w:pPr>
        <w:pStyle w:val="EndnoteText"/>
      </w:pPr>
      <w:r>
        <w:rPr>
          <w:rStyle w:val="EndnoteReference"/>
        </w:rPr>
        <w:endnoteRef/>
      </w:r>
      <w:r>
        <w:t xml:space="preserve"> Ibid, </w:t>
      </w:r>
      <w:proofErr w:type="spellStart"/>
      <w:r>
        <w:t>pg</w:t>
      </w:r>
      <w:proofErr w:type="spellEnd"/>
      <w:r>
        <w:t xml:space="preserve"> ES-17</w:t>
      </w:r>
    </w:p>
  </w:endnote>
  <w:endnote w:id="8">
    <w:p w14:paraId="6C0313C3" w14:textId="2E635ECB" w:rsidR="00922273" w:rsidRDefault="00922273">
      <w:pPr>
        <w:pStyle w:val="EndnoteText"/>
      </w:pPr>
      <w:r>
        <w:rPr>
          <w:rStyle w:val="EndnoteReference"/>
        </w:rPr>
        <w:endnoteRef/>
      </w:r>
      <w:r>
        <w:t xml:space="preserve"> SCE, Measure Cost Revision 5 revised for PG&amp;E by S.L. Blanc 2012</w:t>
      </w:r>
      <w:bookmarkStart w:id="118" w:name="_MON_1398083315"/>
      <w:bookmarkStart w:id="119" w:name="_MON_1382719778"/>
      <w:bookmarkEnd w:id="118"/>
      <w:bookmarkEnd w:id="119"/>
    </w:p>
  </w:endnote>
  <w:endnote w:id="9">
    <w:p w14:paraId="5E3D7585" w14:textId="2638BED7" w:rsidR="00922273" w:rsidRDefault="00922273">
      <w:pPr>
        <w:pStyle w:val="EndnoteText"/>
      </w:pPr>
      <w:r>
        <w:rPr>
          <w:rStyle w:val="EndnoteReference"/>
        </w:rPr>
        <w:endnoteRef/>
      </w:r>
      <w:r>
        <w:t xml:space="preserve"> SCE, Cost calculation spreadsheet revised for PG&amp;E by G.F. Geer 2014</w:t>
      </w:r>
    </w:p>
    <w:p w14:paraId="491E5889" w14:textId="77777777" w:rsidR="00922273" w:rsidRDefault="0092227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922273" w:rsidRDefault="0092227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922273" w:rsidRDefault="009222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922273" w:rsidRPr="00846195" w:rsidRDefault="0092227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922273" w:rsidRDefault="00922273"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922273" w:rsidRDefault="00922273" w:rsidP="00D7047A">
    <w:pPr>
      <w:pStyle w:val="Footer"/>
      <w:rPr>
        <w:b/>
        <w:sz w:val="20"/>
        <w:szCs w:val="20"/>
      </w:rPr>
    </w:pPr>
    <w:r>
      <w:rPr>
        <w:b/>
        <w:sz w:val="20"/>
        <w:szCs w:val="20"/>
      </w:rPr>
      <w:t>Pacific Gas &amp; Electric Company</w:t>
    </w:r>
  </w:p>
  <w:p w14:paraId="393A15AB" w14:textId="77777777" w:rsidR="00922273" w:rsidRPr="00844B27" w:rsidRDefault="00922273"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PGECOALL106(2).docx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50B404D6" w:rsidR="00922273" w:rsidRPr="002E0E3F" w:rsidRDefault="00922273" w:rsidP="00274A7E">
    <w:pPr>
      <w:pStyle w:val="Footer"/>
      <w:jc w:val="right"/>
      <w:rPr>
        <w:rFonts w:cs="Arial"/>
        <w:b/>
        <w:sz w:val="36"/>
        <w:szCs w:val="36"/>
      </w:rPr>
    </w:pPr>
    <w:r>
      <w:rPr>
        <w:rFonts w:cs="Arial"/>
        <w:b/>
        <w:sz w:val="36"/>
        <w:szCs w:val="36"/>
      </w:rPr>
      <w:t>A</w:t>
    </w:r>
    <w:r w:rsidR="00F635A1">
      <w:rPr>
        <w:rFonts w:cs="Arial"/>
        <w:b/>
        <w:sz w:val="36"/>
        <w:szCs w:val="36"/>
      </w:rPr>
      <w:t>ugust 27</w:t>
    </w:r>
    <w:r>
      <w:rPr>
        <w:rFonts w:cs="Arial"/>
        <w:b/>
        <w:sz w:val="36"/>
        <w:szCs w:val="36"/>
      </w:rPr>
      <w:t xml:space="preserve">, 2014 </w:t>
    </w:r>
  </w:p>
  <w:p w14:paraId="393A15AE" w14:textId="77777777" w:rsidR="00922273" w:rsidRDefault="0092227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922273" w:rsidRDefault="0092227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922273" w:rsidRDefault="0092227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613622A1" w:rsidR="00922273" w:rsidRDefault="00922273" w:rsidP="00C747DF">
    <w:pPr>
      <w:pStyle w:val="Footer"/>
      <w:pBdr>
        <w:top w:val="single" w:sz="4" w:space="1" w:color="auto"/>
      </w:pBdr>
      <w:tabs>
        <w:tab w:val="clear" w:pos="4320"/>
        <w:tab w:val="clear" w:pos="8640"/>
        <w:tab w:val="right" w:pos="9360"/>
      </w:tabs>
      <w:rPr>
        <w:b/>
        <w:sz w:val="20"/>
        <w:szCs w:val="20"/>
      </w:rPr>
    </w:pPr>
    <w:r w:rsidRPr="003C67F3">
      <w:rPr>
        <w:b/>
        <w:sz w:val="20"/>
        <w:szCs w:val="20"/>
      </w:rPr>
      <w:t>PGE</w:t>
    </w:r>
    <w:r w:rsidRPr="003C67F3">
      <w:rPr>
        <w:b/>
        <w:i/>
        <w:sz w:val="20"/>
        <w:szCs w:val="20"/>
      </w:rPr>
      <w:t>COALL106</w:t>
    </w:r>
    <w:r w:rsidRPr="003C67F3">
      <w:rPr>
        <w:b/>
        <w:sz w:val="20"/>
        <w:szCs w:val="20"/>
      </w:rPr>
      <w:t xml:space="preserve"> Residential Audits, Revision 0</w:t>
    </w:r>
    <w:r>
      <w:rPr>
        <w:b/>
        <w:color w:val="FF0000"/>
        <w:sz w:val="20"/>
        <w:szCs w:val="20"/>
      </w:rPr>
      <w:tab/>
    </w:r>
    <w:r>
      <w:rPr>
        <w:b/>
        <w:sz w:val="20"/>
        <w:szCs w:val="20"/>
      </w:rPr>
      <w:t>7/11/14</w:t>
    </w:r>
  </w:p>
  <w:p w14:paraId="393A15B5" w14:textId="77777777" w:rsidR="00922273" w:rsidRDefault="00922273" w:rsidP="00D7047A">
    <w:pPr>
      <w:pStyle w:val="Footer"/>
      <w:rPr>
        <w:b/>
        <w:sz w:val="20"/>
        <w:szCs w:val="20"/>
      </w:rPr>
    </w:pPr>
    <w:r>
      <w:rPr>
        <w:b/>
        <w:sz w:val="20"/>
        <w:szCs w:val="20"/>
      </w:rPr>
      <w:t>Pacific Gas &amp; Electric Company</w:t>
    </w:r>
  </w:p>
  <w:p w14:paraId="393A15B6" w14:textId="347F3E59" w:rsidR="00922273" w:rsidRPr="00AF1D1E" w:rsidRDefault="00922273" w:rsidP="00C747DF">
    <w:pPr>
      <w:pStyle w:val="Footer"/>
      <w:tabs>
        <w:tab w:val="clear" w:pos="4320"/>
        <w:tab w:val="clear" w:pos="8640"/>
        <w:tab w:val="right" w:pos="9360"/>
      </w:tabs>
      <w:rPr>
        <w:b/>
        <w:sz w:val="20"/>
        <w:szCs w:val="20"/>
      </w:rPr>
    </w:pPr>
    <w:r w:rsidRPr="00AF1D1E">
      <w:rPr>
        <w:b/>
        <w:sz w:val="20"/>
        <w:szCs w:val="20"/>
      </w:rPr>
      <w:fldChar w:fldCharType="begin"/>
    </w:r>
    <w:r w:rsidRPr="00AF1D1E">
      <w:rPr>
        <w:b/>
        <w:sz w:val="20"/>
        <w:szCs w:val="20"/>
      </w:rPr>
      <w:instrText xml:space="preserve"> FILENAME </w:instrText>
    </w:r>
    <w:r w:rsidRPr="00AF1D1E">
      <w:rPr>
        <w:b/>
        <w:sz w:val="20"/>
        <w:szCs w:val="20"/>
      </w:rPr>
      <w:fldChar w:fldCharType="separate"/>
    </w:r>
    <w:r>
      <w:rPr>
        <w:b/>
        <w:noProof/>
        <w:sz w:val="20"/>
        <w:szCs w:val="20"/>
      </w:rPr>
      <w:t>PGECOALL106(2).docx</w:t>
    </w:r>
    <w:r w:rsidRPr="00AF1D1E">
      <w:rPr>
        <w:b/>
        <w:sz w:val="20"/>
        <w:szCs w:val="20"/>
      </w:rPr>
      <w:fldChar w:fldCharType="end"/>
    </w:r>
    <w:r w:rsidRPr="00AF1D1E">
      <w:rPr>
        <w:b/>
        <w:sz w:val="20"/>
        <w:szCs w:val="20"/>
      </w:rPr>
      <w:t xml:space="preserve"> </w:t>
    </w:r>
    <w:r>
      <w:rPr>
        <w:b/>
        <w:color w:val="0000FF"/>
        <w:sz w:val="20"/>
        <w:szCs w:val="20"/>
      </w:rPr>
      <w:tab/>
    </w:r>
    <w:r w:rsidRPr="00AF1D1E">
      <w:rPr>
        <w:b/>
        <w:sz w:val="20"/>
        <w:szCs w:val="20"/>
      </w:rPr>
      <w:fldChar w:fldCharType="begin"/>
    </w:r>
    <w:r w:rsidRPr="00AF1D1E">
      <w:rPr>
        <w:b/>
        <w:sz w:val="20"/>
        <w:szCs w:val="20"/>
      </w:rPr>
      <w:instrText xml:space="preserve"> PAGE  \* roman  \* MERGEFORMAT </w:instrText>
    </w:r>
    <w:r w:rsidRPr="00AF1D1E">
      <w:rPr>
        <w:b/>
        <w:sz w:val="20"/>
        <w:szCs w:val="20"/>
      </w:rPr>
      <w:fldChar w:fldCharType="separate"/>
    </w:r>
    <w:r w:rsidR="00F635A1">
      <w:rPr>
        <w:b/>
        <w:noProof/>
        <w:sz w:val="20"/>
        <w:szCs w:val="20"/>
      </w:rPr>
      <w:t>ii</w:t>
    </w:r>
    <w:r w:rsidRPr="00AF1D1E">
      <w:rPr>
        <w:b/>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922273" w:rsidRPr="002E0E3F" w:rsidRDefault="00922273" w:rsidP="00D7047A">
    <w:pPr>
      <w:pStyle w:val="Footer"/>
      <w:jc w:val="right"/>
      <w:rPr>
        <w:rFonts w:cs="Arial"/>
        <w:b/>
        <w:sz w:val="36"/>
        <w:szCs w:val="36"/>
      </w:rPr>
    </w:pPr>
    <w:r>
      <w:rPr>
        <w:rFonts w:cs="Arial"/>
        <w:b/>
        <w:sz w:val="36"/>
        <w:szCs w:val="36"/>
      </w:rPr>
      <w:t>Date of Last Revision</w:t>
    </w:r>
  </w:p>
  <w:p w14:paraId="393A15B9" w14:textId="77777777" w:rsidR="00922273" w:rsidRDefault="0092227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FE37C" w14:textId="4665D751" w:rsidR="00922273" w:rsidRDefault="00922273" w:rsidP="00C747DF">
    <w:pPr>
      <w:pStyle w:val="Footer"/>
      <w:pBdr>
        <w:top w:val="single" w:sz="4" w:space="1" w:color="auto"/>
      </w:pBdr>
      <w:tabs>
        <w:tab w:val="clear" w:pos="4320"/>
        <w:tab w:val="clear" w:pos="8640"/>
        <w:tab w:val="right" w:pos="9360"/>
      </w:tabs>
      <w:rPr>
        <w:b/>
        <w:sz w:val="20"/>
        <w:szCs w:val="20"/>
      </w:rPr>
    </w:pPr>
    <w:r w:rsidRPr="003C67F3">
      <w:rPr>
        <w:b/>
        <w:sz w:val="20"/>
        <w:szCs w:val="20"/>
      </w:rPr>
      <w:t>PGE</w:t>
    </w:r>
    <w:r w:rsidRPr="003C67F3">
      <w:rPr>
        <w:b/>
        <w:i/>
        <w:sz w:val="20"/>
        <w:szCs w:val="20"/>
      </w:rPr>
      <w:t>COALL106</w:t>
    </w:r>
    <w:r>
      <w:rPr>
        <w:b/>
        <w:sz w:val="20"/>
        <w:szCs w:val="20"/>
      </w:rPr>
      <w:t xml:space="preserve"> Home Energy Checkup</w:t>
    </w:r>
    <w:r w:rsidRPr="003C67F3">
      <w:rPr>
        <w:b/>
        <w:sz w:val="20"/>
        <w:szCs w:val="20"/>
      </w:rPr>
      <w:t>, Revision 0</w:t>
    </w:r>
    <w:r>
      <w:rPr>
        <w:b/>
        <w:color w:val="FF0000"/>
        <w:sz w:val="20"/>
        <w:szCs w:val="20"/>
      </w:rPr>
      <w:tab/>
    </w:r>
    <w:r w:rsidRPr="00922273">
      <w:rPr>
        <w:sz w:val="20"/>
        <w:szCs w:val="20"/>
      </w:rPr>
      <w:t>8/19/14</w:t>
    </w:r>
  </w:p>
  <w:p w14:paraId="4BF6FFD0" w14:textId="77777777" w:rsidR="00922273" w:rsidRDefault="00922273" w:rsidP="00D7047A">
    <w:pPr>
      <w:pStyle w:val="Footer"/>
      <w:rPr>
        <w:b/>
        <w:sz w:val="20"/>
        <w:szCs w:val="20"/>
      </w:rPr>
    </w:pPr>
    <w:r>
      <w:rPr>
        <w:b/>
        <w:sz w:val="20"/>
        <w:szCs w:val="20"/>
      </w:rPr>
      <w:t>Pacific Gas &amp; Electric Company</w:t>
    </w:r>
  </w:p>
  <w:p w14:paraId="5DC09A63" w14:textId="77777777" w:rsidR="00922273" w:rsidRDefault="00922273" w:rsidP="00C747DF">
    <w:pPr>
      <w:pStyle w:val="Footer"/>
      <w:tabs>
        <w:tab w:val="clear" w:pos="4320"/>
        <w:tab w:val="clear" w:pos="8640"/>
        <w:tab w:val="right" w:pos="9360"/>
      </w:tabs>
      <w:rPr>
        <w:b/>
        <w:color w:val="0000FF"/>
        <w:sz w:val="20"/>
        <w:szCs w:val="20"/>
      </w:rPr>
    </w:pPr>
    <w:r w:rsidRPr="00AF1D1E">
      <w:rPr>
        <w:b/>
        <w:sz w:val="20"/>
        <w:szCs w:val="20"/>
      </w:rPr>
      <w:fldChar w:fldCharType="begin"/>
    </w:r>
    <w:r w:rsidRPr="00AF1D1E">
      <w:rPr>
        <w:b/>
        <w:sz w:val="20"/>
        <w:szCs w:val="20"/>
      </w:rPr>
      <w:instrText xml:space="preserve"> FILENAME </w:instrText>
    </w:r>
    <w:r w:rsidRPr="00AF1D1E">
      <w:rPr>
        <w:b/>
        <w:sz w:val="20"/>
        <w:szCs w:val="20"/>
      </w:rPr>
      <w:fldChar w:fldCharType="separate"/>
    </w:r>
    <w:r>
      <w:rPr>
        <w:b/>
        <w:noProof/>
        <w:sz w:val="20"/>
        <w:szCs w:val="20"/>
      </w:rPr>
      <w:t>PGECOALL106(2).docx</w:t>
    </w:r>
    <w:r w:rsidRPr="00AF1D1E">
      <w:rPr>
        <w:b/>
        <w:sz w:val="20"/>
        <w:szCs w:val="20"/>
      </w:rPr>
      <w:fldChar w:fldCharType="end"/>
    </w:r>
    <w:r w:rsidRPr="00AF1D1E">
      <w:rPr>
        <w:b/>
        <w:sz w:val="20"/>
        <w:szCs w:val="20"/>
      </w:rPr>
      <w:t xml:space="preserve"> </w:t>
    </w:r>
    <w:r>
      <w:rPr>
        <w:b/>
        <w:color w:val="0000FF"/>
        <w:sz w:val="20"/>
        <w:szCs w:val="20"/>
      </w:rPr>
      <w:tab/>
    </w:r>
    <w:r w:rsidRPr="00AF1D1E">
      <w:rPr>
        <w:b/>
        <w:sz w:val="20"/>
        <w:szCs w:val="20"/>
      </w:rPr>
      <w:fldChar w:fldCharType="begin"/>
    </w:r>
    <w:r w:rsidRPr="00AF1D1E">
      <w:rPr>
        <w:b/>
        <w:sz w:val="20"/>
        <w:szCs w:val="20"/>
      </w:rPr>
      <w:instrText xml:space="preserve"> PAGE  \* roman  \* MERGEFORMAT </w:instrText>
    </w:r>
    <w:r w:rsidRPr="00AF1D1E">
      <w:rPr>
        <w:b/>
        <w:sz w:val="20"/>
        <w:szCs w:val="20"/>
      </w:rPr>
      <w:fldChar w:fldCharType="separate"/>
    </w:r>
    <w:r w:rsidR="00F635A1">
      <w:rPr>
        <w:b/>
        <w:noProof/>
        <w:sz w:val="20"/>
        <w:szCs w:val="20"/>
      </w:rPr>
      <w:t>iii</w:t>
    </w:r>
    <w:r w:rsidRPr="00AF1D1E">
      <w:rPr>
        <w:b/>
        <w:sz w:val="20"/>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F719A" w14:textId="057CFD8A" w:rsidR="00922273" w:rsidRDefault="00922273" w:rsidP="00C747DF">
    <w:pPr>
      <w:pStyle w:val="Footer"/>
      <w:pBdr>
        <w:top w:val="single" w:sz="4" w:space="1" w:color="auto"/>
      </w:pBdr>
      <w:tabs>
        <w:tab w:val="clear" w:pos="4320"/>
        <w:tab w:val="clear" w:pos="8640"/>
        <w:tab w:val="right" w:pos="9360"/>
      </w:tabs>
      <w:rPr>
        <w:b/>
        <w:sz w:val="20"/>
        <w:szCs w:val="20"/>
      </w:rPr>
    </w:pPr>
    <w:r w:rsidRPr="003C67F3">
      <w:rPr>
        <w:b/>
        <w:sz w:val="20"/>
        <w:szCs w:val="20"/>
      </w:rPr>
      <w:t>PGE</w:t>
    </w:r>
    <w:r w:rsidRPr="003C67F3">
      <w:rPr>
        <w:b/>
        <w:i/>
        <w:sz w:val="20"/>
        <w:szCs w:val="20"/>
      </w:rPr>
      <w:t>COALL106</w:t>
    </w:r>
    <w:r>
      <w:rPr>
        <w:b/>
        <w:sz w:val="20"/>
        <w:szCs w:val="20"/>
      </w:rPr>
      <w:t xml:space="preserve"> Home Energy Checkup</w:t>
    </w:r>
    <w:r w:rsidRPr="003C67F3">
      <w:rPr>
        <w:b/>
        <w:sz w:val="20"/>
        <w:szCs w:val="20"/>
      </w:rPr>
      <w:t>, Revision 0</w:t>
    </w:r>
    <w:r>
      <w:rPr>
        <w:b/>
        <w:color w:val="FF0000"/>
        <w:sz w:val="20"/>
        <w:szCs w:val="20"/>
      </w:rPr>
      <w:tab/>
    </w:r>
    <w:r w:rsidRPr="00922273">
      <w:rPr>
        <w:sz w:val="20"/>
        <w:szCs w:val="20"/>
      </w:rPr>
      <w:t>8/19/14</w:t>
    </w:r>
  </w:p>
  <w:p w14:paraId="48A5E9ED" w14:textId="77777777" w:rsidR="00922273" w:rsidRDefault="00922273" w:rsidP="00D7047A">
    <w:pPr>
      <w:pStyle w:val="Footer"/>
      <w:rPr>
        <w:b/>
        <w:sz w:val="20"/>
        <w:szCs w:val="20"/>
      </w:rPr>
    </w:pPr>
    <w:r>
      <w:rPr>
        <w:b/>
        <w:sz w:val="20"/>
        <w:szCs w:val="20"/>
      </w:rPr>
      <w:t>Pacific Gas &amp; Electric Company</w:t>
    </w:r>
  </w:p>
  <w:p w14:paraId="200BFFCB" w14:textId="384278FB" w:rsidR="00922273" w:rsidRDefault="00922273" w:rsidP="00C747DF">
    <w:pPr>
      <w:pStyle w:val="Footer"/>
      <w:tabs>
        <w:tab w:val="clear" w:pos="4320"/>
        <w:tab w:val="clear" w:pos="8640"/>
        <w:tab w:val="right" w:pos="9360"/>
      </w:tabs>
      <w:rPr>
        <w:b/>
        <w:color w:val="0000FF"/>
        <w:sz w:val="20"/>
        <w:szCs w:val="20"/>
      </w:rPr>
    </w:pPr>
    <w:r w:rsidRPr="005F5D83">
      <w:rPr>
        <w:b/>
        <w:sz w:val="20"/>
        <w:szCs w:val="20"/>
      </w:rPr>
      <w:fldChar w:fldCharType="begin"/>
    </w:r>
    <w:r w:rsidRPr="005F5D83">
      <w:rPr>
        <w:b/>
        <w:sz w:val="20"/>
        <w:szCs w:val="20"/>
      </w:rPr>
      <w:instrText xml:space="preserve"> FILENAME </w:instrText>
    </w:r>
    <w:r w:rsidRPr="005F5D83">
      <w:rPr>
        <w:b/>
        <w:sz w:val="20"/>
        <w:szCs w:val="20"/>
      </w:rPr>
      <w:fldChar w:fldCharType="separate"/>
    </w:r>
    <w:r>
      <w:rPr>
        <w:b/>
        <w:noProof/>
        <w:sz w:val="20"/>
        <w:szCs w:val="20"/>
      </w:rPr>
      <w:t>PGECOALL106(2).docx</w:t>
    </w:r>
    <w:r w:rsidRPr="005F5D83">
      <w:rPr>
        <w:b/>
        <w:sz w:val="20"/>
        <w:szCs w:val="20"/>
      </w:rPr>
      <w:fldChar w:fldCharType="end"/>
    </w:r>
    <w:r w:rsidRPr="005F5D83">
      <w:rPr>
        <w:b/>
        <w:sz w:val="20"/>
        <w:szCs w:val="20"/>
      </w:rPr>
      <w:t xml:space="preserve"> </w:t>
    </w:r>
    <w:r w:rsidRPr="005F5D83">
      <w:rPr>
        <w:b/>
        <w:sz w:val="20"/>
        <w:szCs w:val="20"/>
      </w:rPr>
      <w:tab/>
      <w:t xml:space="preserve"> </w:t>
    </w:r>
    <w:r w:rsidRPr="005F5D83">
      <w:rPr>
        <w:b/>
        <w:sz w:val="20"/>
        <w:szCs w:val="20"/>
      </w:rPr>
      <w:fldChar w:fldCharType="begin"/>
    </w:r>
    <w:r w:rsidRPr="005F5D83">
      <w:rPr>
        <w:b/>
        <w:sz w:val="20"/>
        <w:szCs w:val="20"/>
      </w:rPr>
      <w:instrText xml:space="preserve"> PAGE   \* MERGEFORMAT </w:instrText>
    </w:r>
    <w:r w:rsidRPr="005F5D83">
      <w:rPr>
        <w:b/>
        <w:sz w:val="20"/>
        <w:szCs w:val="20"/>
      </w:rPr>
      <w:fldChar w:fldCharType="separate"/>
    </w:r>
    <w:r w:rsidR="00F635A1">
      <w:rPr>
        <w:b/>
        <w:noProof/>
        <w:sz w:val="20"/>
        <w:szCs w:val="20"/>
      </w:rPr>
      <w:t>10</w:t>
    </w:r>
    <w:r w:rsidRPr="005F5D83">
      <w:rPr>
        <w:b/>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31EA8" w14:textId="77777777" w:rsidR="00922273" w:rsidRDefault="00922273">
      <w:r>
        <w:separator/>
      </w:r>
    </w:p>
    <w:p w14:paraId="35DBE095" w14:textId="77777777" w:rsidR="00922273" w:rsidRDefault="00922273"/>
  </w:footnote>
  <w:footnote w:type="continuationSeparator" w:id="0">
    <w:p w14:paraId="6DA754E4" w14:textId="77777777" w:rsidR="00922273" w:rsidRDefault="00922273">
      <w:r>
        <w:continuationSeparator/>
      </w:r>
    </w:p>
    <w:p w14:paraId="4770B2B4" w14:textId="77777777" w:rsidR="00922273" w:rsidRDefault="009222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922273" w:rsidRDefault="00F635A1">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922273" w:rsidRDefault="00922273" w:rsidP="001A573F">
    <w:pPr>
      <w:pStyle w:val="Header"/>
      <w:jc w:val="right"/>
    </w:pPr>
  </w:p>
  <w:p w14:paraId="393A15A5" w14:textId="77777777" w:rsidR="00922273" w:rsidRDefault="0092227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922273" w:rsidRDefault="00F635A1">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922273" w:rsidRDefault="00922273" w:rsidP="001A573F">
    <w:pPr>
      <w:pStyle w:val="Header"/>
      <w:jc w:val="right"/>
    </w:pPr>
  </w:p>
  <w:p w14:paraId="393A15B1" w14:textId="77777777" w:rsidR="00922273" w:rsidRDefault="00922273"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922273" w:rsidRDefault="00F635A1">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CB45E31"/>
    <w:multiLevelType w:val="hybridMultilevel"/>
    <w:tmpl w:val="7632F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CE7E67"/>
    <w:multiLevelType w:val="hybridMultilevel"/>
    <w:tmpl w:val="E8A22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7"/>
  </w:num>
  <w:num w:numId="5">
    <w:abstractNumId w:val="18"/>
  </w:num>
  <w:num w:numId="6">
    <w:abstractNumId w:val="10"/>
  </w:num>
  <w:num w:numId="7">
    <w:abstractNumId w:val="5"/>
  </w:num>
  <w:num w:numId="8">
    <w:abstractNumId w:val="12"/>
  </w:num>
  <w:num w:numId="9">
    <w:abstractNumId w:val="8"/>
  </w:num>
  <w:num w:numId="10">
    <w:abstractNumId w:val="1"/>
  </w:num>
  <w:num w:numId="11">
    <w:abstractNumId w:val="15"/>
  </w:num>
  <w:num w:numId="12">
    <w:abstractNumId w:val="16"/>
  </w:num>
  <w:num w:numId="13">
    <w:abstractNumId w:val="3"/>
  </w:num>
  <w:num w:numId="14">
    <w:abstractNumId w:val="20"/>
  </w:num>
  <w:num w:numId="15">
    <w:abstractNumId w:val="13"/>
  </w:num>
  <w:num w:numId="16">
    <w:abstractNumId w:val="14"/>
  </w:num>
  <w:num w:numId="17">
    <w:abstractNumId w:val="0"/>
  </w:num>
  <w:num w:numId="18">
    <w:abstractNumId w:val="19"/>
  </w:num>
  <w:num w:numId="19">
    <w:abstractNumId w:val="17"/>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676"/>
    <w:rsid w:val="00012F86"/>
    <w:rsid w:val="00014740"/>
    <w:rsid w:val="000170B5"/>
    <w:rsid w:val="00017488"/>
    <w:rsid w:val="00020042"/>
    <w:rsid w:val="0002129F"/>
    <w:rsid w:val="00024A31"/>
    <w:rsid w:val="00024AA9"/>
    <w:rsid w:val="00026F78"/>
    <w:rsid w:val="000272C2"/>
    <w:rsid w:val="0003064A"/>
    <w:rsid w:val="00030C78"/>
    <w:rsid w:val="00032B63"/>
    <w:rsid w:val="000351CB"/>
    <w:rsid w:val="000374A5"/>
    <w:rsid w:val="000378FB"/>
    <w:rsid w:val="00044570"/>
    <w:rsid w:val="00056348"/>
    <w:rsid w:val="000571F6"/>
    <w:rsid w:val="00057A23"/>
    <w:rsid w:val="00057C09"/>
    <w:rsid w:val="0006073E"/>
    <w:rsid w:val="00063FA7"/>
    <w:rsid w:val="0006490F"/>
    <w:rsid w:val="00065A01"/>
    <w:rsid w:val="00066D5B"/>
    <w:rsid w:val="000678A2"/>
    <w:rsid w:val="00067C6F"/>
    <w:rsid w:val="00067EB5"/>
    <w:rsid w:val="000701EB"/>
    <w:rsid w:val="00071448"/>
    <w:rsid w:val="000719AA"/>
    <w:rsid w:val="000749EA"/>
    <w:rsid w:val="0007589E"/>
    <w:rsid w:val="00077161"/>
    <w:rsid w:val="000814B9"/>
    <w:rsid w:val="000842B9"/>
    <w:rsid w:val="00085DF5"/>
    <w:rsid w:val="00086594"/>
    <w:rsid w:val="0008713C"/>
    <w:rsid w:val="00087378"/>
    <w:rsid w:val="0009423E"/>
    <w:rsid w:val="00094E29"/>
    <w:rsid w:val="00095610"/>
    <w:rsid w:val="000966CC"/>
    <w:rsid w:val="00096A4A"/>
    <w:rsid w:val="000A17BE"/>
    <w:rsid w:val="000A2ABA"/>
    <w:rsid w:val="000A2FB3"/>
    <w:rsid w:val="000A48F2"/>
    <w:rsid w:val="000A6839"/>
    <w:rsid w:val="000B0B1E"/>
    <w:rsid w:val="000C0FD3"/>
    <w:rsid w:val="000C25B2"/>
    <w:rsid w:val="000C5B2D"/>
    <w:rsid w:val="000C6D7B"/>
    <w:rsid w:val="000D17B9"/>
    <w:rsid w:val="000D5548"/>
    <w:rsid w:val="000E132D"/>
    <w:rsid w:val="000E22C9"/>
    <w:rsid w:val="000E31B5"/>
    <w:rsid w:val="000F0069"/>
    <w:rsid w:val="000F11DD"/>
    <w:rsid w:val="000F13D2"/>
    <w:rsid w:val="000F2364"/>
    <w:rsid w:val="00113464"/>
    <w:rsid w:val="00115EB1"/>
    <w:rsid w:val="001178BE"/>
    <w:rsid w:val="0012176A"/>
    <w:rsid w:val="00121A22"/>
    <w:rsid w:val="00122F31"/>
    <w:rsid w:val="00123D98"/>
    <w:rsid w:val="001248A3"/>
    <w:rsid w:val="00124F32"/>
    <w:rsid w:val="00126483"/>
    <w:rsid w:val="00126A4E"/>
    <w:rsid w:val="00127CC8"/>
    <w:rsid w:val="0013046A"/>
    <w:rsid w:val="0013080C"/>
    <w:rsid w:val="0013087E"/>
    <w:rsid w:val="00133198"/>
    <w:rsid w:val="00133C60"/>
    <w:rsid w:val="00136D56"/>
    <w:rsid w:val="00145837"/>
    <w:rsid w:val="00146434"/>
    <w:rsid w:val="001465B1"/>
    <w:rsid w:val="00150EC7"/>
    <w:rsid w:val="00155EF5"/>
    <w:rsid w:val="001610CB"/>
    <w:rsid w:val="00164B81"/>
    <w:rsid w:val="00167F2B"/>
    <w:rsid w:val="0017179F"/>
    <w:rsid w:val="00171F0F"/>
    <w:rsid w:val="00172149"/>
    <w:rsid w:val="00175673"/>
    <w:rsid w:val="00176431"/>
    <w:rsid w:val="00183C8E"/>
    <w:rsid w:val="00190BBB"/>
    <w:rsid w:val="00192B77"/>
    <w:rsid w:val="0019390A"/>
    <w:rsid w:val="001946B1"/>
    <w:rsid w:val="00194E14"/>
    <w:rsid w:val="0019608B"/>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864"/>
    <w:rsid w:val="001C3C00"/>
    <w:rsid w:val="001C63A2"/>
    <w:rsid w:val="001D11CE"/>
    <w:rsid w:val="001D16C2"/>
    <w:rsid w:val="001D3F48"/>
    <w:rsid w:val="001D483C"/>
    <w:rsid w:val="001E2A9D"/>
    <w:rsid w:val="001E4C31"/>
    <w:rsid w:val="001E7CA0"/>
    <w:rsid w:val="001F1181"/>
    <w:rsid w:val="001F4083"/>
    <w:rsid w:val="001F60D5"/>
    <w:rsid w:val="001F627F"/>
    <w:rsid w:val="001F7023"/>
    <w:rsid w:val="00200174"/>
    <w:rsid w:val="00202D55"/>
    <w:rsid w:val="00211BAC"/>
    <w:rsid w:val="002154B2"/>
    <w:rsid w:val="002170CB"/>
    <w:rsid w:val="002170D6"/>
    <w:rsid w:val="0022032C"/>
    <w:rsid w:val="002203EA"/>
    <w:rsid w:val="0022055B"/>
    <w:rsid w:val="0022067C"/>
    <w:rsid w:val="002207C3"/>
    <w:rsid w:val="0022428B"/>
    <w:rsid w:val="0022525C"/>
    <w:rsid w:val="002257FA"/>
    <w:rsid w:val="00234C0D"/>
    <w:rsid w:val="00235694"/>
    <w:rsid w:val="0024233E"/>
    <w:rsid w:val="00243BAC"/>
    <w:rsid w:val="00244BD6"/>
    <w:rsid w:val="00245A56"/>
    <w:rsid w:val="002466F4"/>
    <w:rsid w:val="00247DCC"/>
    <w:rsid w:val="00251E83"/>
    <w:rsid w:val="00252352"/>
    <w:rsid w:val="00255067"/>
    <w:rsid w:val="0025738E"/>
    <w:rsid w:val="00257989"/>
    <w:rsid w:val="002628B9"/>
    <w:rsid w:val="00264B03"/>
    <w:rsid w:val="00264BDE"/>
    <w:rsid w:val="002661ED"/>
    <w:rsid w:val="0027474D"/>
    <w:rsid w:val="00274A7E"/>
    <w:rsid w:val="002764BF"/>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4CEE"/>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83E4F"/>
    <w:rsid w:val="00392B5E"/>
    <w:rsid w:val="00392C05"/>
    <w:rsid w:val="00393618"/>
    <w:rsid w:val="00393D41"/>
    <w:rsid w:val="00395845"/>
    <w:rsid w:val="003A1B51"/>
    <w:rsid w:val="003A5C26"/>
    <w:rsid w:val="003A648E"/>
    <w:rsid w:val="003A66D0"/>
    <w:rsid w:val="003A7230"/>
    <w:rsid w:val="003B384E"/>
    <w:rsid w:val="003B51DE"/>
    <w:rsid w:val="003B6B5B"/>
    <w:rsid w:val="003C27C4"/>
    <w:rsid w:val="003C3A3C"/>
    <w:rsid w:val="003C48C5"/>
    <w:rsid w:val="003C5980"/>
    <w:rsid w:val="003C67F3"/>
    <w:rsid w:val="003C6DFA"/>
    <w:rsid w:val="003D04BC"/>
    <w:rsid w:val="003D298F"/>
    <w:rsid w:val="003D36AD"/>
    <w:rsid w:val="003D3F36"/>
    <w:rsid w:val="003D5191"/>
    <w:rsid w:val="003D60B8"/>
    <w:rsid w:val="003E15A5"/>
    <w:rsid w:val="003E24CE"/>
    <w:rsid w:val="003E3441"/>
    <w:rsid w:val="003E3941"/>
    <w:rsid w:val="003E540D"/>
    <w:rsid w:val="003E5A5D"/>
    <w:rsid w:val="003E7422"/>
    <w:rsid w:val="003E7CF9"/>
    <w:rsid w:val="003E7D3D"/>
    <w:rsid w:val="003E7E0A"/>
    <w:rsid w:val="003F0CBE"/>
    <w:rsid w:val="003F3179"/>
    <w:rsid w:val="003F3DED"/>
    <w:rsid w:val="003F57BD"/>
    <w:rsid w:val="003F5B70"/>
    <w:rsid w:val="004018B3"/>
    <w:rsid w:val="0040323C"/>
    <w:rsid w:val="00403FBE"/>
    <w:rsid w:val="00404482"/>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50"/>
    <w:rsid w:val="0044337C"/>
    <w:rsid w:val="00445790"/>
    <w:rsid w:val="00450273"/>
    <w:rsid w:val="004509A5"/>
    <w:rsid w:val="00453CE7"/>
    <w:rsid w:val="004551F3"/>
    <w:rsid w:val="00455856"/>
    <w:rsid w:val="004563F1"/>
    <w:rsid w:val="004602EC"/>
    <w:rsid w:val="004617A6"/>
    <w:rsid w:val="00467FE9"/>
    <w:rsid w:val="004727B6"/>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3F7F"/>
    <w:rsid w:val="004B4489"/>
    <w:rsid w:val="004C4E2A"/>
    <w:rsid w:val="004C536B"/>
    <w:rsid w:val="004C56D1"/>
    <w:rsid w:val="004D0394"/>
    <w:rsid w:val="004D2C76"/>
    <w:rsid w:val="004D58D5"/>
    <w:rsid w:val="004D6B9E"/>
    <w:rsid w:val="004D71AF"/>
    <w:rsid w:val="004D7301"/>
    <w:rsid w:val="004E2777"/>
    <w:rsid w:val="004E3B6F"/>
    <w:rsid w:val="004E4AC2"/>
    <w:rsid w:val="004F1DB8"/>
    <w:rsid w:val="004F21BC"/>
    <w:rsid w:val="004F3EDB"/>
    <w:rsid w:val="004F55EC"/>
    <w:rsid w:val="004F5736"/>
    <w:rsid w:val="004F61DD"/>
    <w:rsid w:val="00502569"/>
    <w:rsid w:val="00503A6A"/>
    <w:rsid w:val="00506204"/>
    <w:rsid w:val="005109F4"/>
    <w:rsid w:val="00511171"/>
    <w:rsid w:val="005136CC"/>
    <w:rsid w:val="00513858"/>
    <w:rsid w:val="00514B37"/>
    <w:rsid w:val="00514EEC"/>
    <w:rsid w:val="005164A6"/>
    <w:rsid w:val="00521874"/>
    <w:rsid w:val="00521920"/>
    <w:rsid w:val="005246B1"/>
    <w:rsid w:val="00530B04"/>
    <w:rsid w:val="00533871"/>
    <w:rsid w:val="00534386"/>
    <w:rsid w:val="00535E80"/>
    <w:rsid w:val="0053683E"/>
    <w:rsid w:val="00537B0D"/>
    <w:rsid w:val="005403E8"/>
    <w:rsid w:val="00542990"/>
    <w:rsid w:val="00542A98"/>
    <w:rsid w:val="00544873"/>
    <w:rsid w:val="005453C5"/>
    <w:rsid w:val="0054599C"/>
    <w:rsid w:val="00545A84"/>
    <w:rsid w:val="00545EB9"/>
    <w:rsid w:val="00551EF3"/>
    <w:rsid w:val="005534D2"/>
    <w:rsid w:val="00554084"/>
    <w:rsid w:val="00557E24"/>
    <w:rsid w:val="00560593"/>
    <w:rsid w:val="0056163A"/>
    <w:rsid w:val="00562217"/>
    <w:rsid w:val="00563BE5"/>
    <w:rsid w:val="00567397"/>
    <w:rsid w:val="00571F2A"/>
    <w:rsid w:val="00574FBD"/>
    <w:rsid w:val="005773BB"/>
    <w:rsid w:val="00581E9A"/>
    <w:rsid w:val="00585C83"/>
    <w:rsid w:val="0058602A"/>
    <w:rsid w:val="00586604"/>
    <w:rsid w:val="00587DDD"/>
    <w:rsid w:val="00590929"/>
    <w:rsid w:val="00591FDD"/>
    <w:rsid w:val="005A1F9D"/>
    <w:rsid w:val="005A3798"/>
    <w:rsid w:val="005A67E5"/>
    <w:rsid w:val="005A7302"/>
    <w:rsid w:val="005B00A6"/>
    <w:rsid w:val="005B2D0C"/>
    <w:rsid w:val="005B64C1"/>
    <w:rsid w:val="005C2844"/>
    <w:rsid w:val="005C2FC1"/>
    <w:rsid w:val="005C7ECF"/>
    <w:rsid w:val="005C7F3F"/>
    <w:rsid w:val="005D17A5"/>
    <w:rsid w:val="005D6266"/>
    <w:rsid w:val="005E17D0"/>
    <w:rsid w:val="005E2187"/>
    <w:rsid w:val="005E4FE9"/>
    <w:rsid w:val="005F19E0"/>
    <w:rsid w:val="005F2E99"/>
    <w:rsid w:val="005F3E96"/>
    <w:rsid w:val="005F57B5"/>
    <w:rsid w:val="005F5D83"/>
    <w:rsid w:val="005F64F4"/>
    <w:rsid w:val="005F7AA1"/>
    <w:rsid w:val="00604FAE"/>
    <w:rsid w:val="00607605"/>
    <w:rsid w:val="0060777E"/>
    <w:rsid w:val="0061001E"/>
    <w:rsid w:val="00610B3C"/>
    <w:rsid w:val="00610FC6"/>
    <w:rsid w:val="00622319"/>
    <w:rsid w:val="00622AFA"/>
    <w:rsid w:val="00623394"/>
    <w:rsid w:val="00623BA1"/>
    <w:rsid w:val="0062416A"/>
    <w:rsid w:val="00625FB3"/>
    <w:rsid w:val="00626129"/>
    <w:rsid w:val="00627288"/>
    <w:rsid w:val="00632A52"/>
    <w:rsid w:val="00633A9C"/>
    <w:rsid w:val="00634414"/>
    <w:rsid w:val="00636012"/>
    <w:rsid w:val="00636987"/>
    <w:rsid w:val="00640BB6"/>
    <w:rsid w:val="006410A9"/>
    <w:rsid w:val="00642FCD"/>
    <w:rsid w:val="006433B2"/>
    <w:rsid w:val="00644D17"/>
    <w:rsid w:val="00645027"/>
    <w:rsid w:val="0064609B"/>
    <w:rsid w:val="00652DD9"/>
    <w:rsid w:val="006543E6"/>
    <w:rsid w:val="006559C8"/>
    <w:rsid w:val="00657405"/>
    <w:rsid w:val="006605C2"/>
    <w:rsid w:val="00660F6F"/>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3A6E"/>
    <w:rsid w:val="006C44B4"/>
    <w:rsid w:val="006D0365"/>
    <w:rsid w:val="006D1019"/>
    <w:rsid w:val="006D2068"/>
    <w:rsid w:val="006D3725"/>
    <w:rsid w:val="006D4AE1"/>
    <w:rsid w:val="006D52D8"/>
    <w:rsid w:val="006D5AAB"/>
    <w:rsid w:val="006E0111"/>
    <w:rsid w:val="006E3C13"/>
    <w:rsid w:val="006E5CB6"/>
    <w:rsid w:val="006F0139"/>
    <w:rsid w:val="006F214B"/>
    <w:rsid w:val="006F28C7"/>
    <w:rsid w:val="006F4AD0"/>
    <w:rsid w:val="006F50FD"/>
    <w:rsid w:val="007001DD"/>
    <w:rsid w:val="0070443C"/>
    <w:rsid w:val="00712407"/>
    <w:rsid w:val="00712477"/>
    <w:rsid w:val="007146E5"/>
    <w:rsid w:val="00721A54"/>
    <w:rsid w:val="00721C75"/>
    <w:rsid w:val="007228DB"/>
    <w:rsid w:val="00722F4C"/>
    <w:rsid w:val="00723862"/>
    <w:rsid w:val="00731859"/>
    <w:rsid w:val="00733275"/>
    <w:rsid w:val="00735A4C"/>
    <w:rsid w:val="00735CB1"/>
    <w:rsid w:val="00740957"/>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57A1"/>
    <w:rsid w:val="007A768C"/>
    <w:rsid w:val="007B2CAC"/>
    <w:rsid w:val="007B2E26"/>
    <w:rsid w:val="007B41C0"/>
    <w:rsid w:val="007B44FB"/>
    <w:rsid w:val="007C0E38"/>
    <w:rsid w:val="007C18E3"/>
    <w:rsid w:val="007C4E08"/>
    <w:rsid w:val="007D0411"/>
    <w:rsid w:val="007D2F4C"/>
    <w:rsid w:val="007D3DFF"/>
    <w:rsid w:val="007D3F38"/>
    <w:rsid w:val="007D4D83"/>
    <w:rsid w:val="007D4DB8"/>
    <w:rsid w:val="007D56B2"/>
    <w:rsid w:val="007D676D"/>
    <w:rsid w:val="007E2197"/>
    <w:rsid w:val="007E3304"/>
    <w:rsid w:val="007E43CE"/>
    <w:rsid w:val="007E6C79"/>
    <w:rsid w:val="007F1E48"/>
    <w:rsid w:val="007F2147"/>
    <w:rsid w:val="007F36E9"/>
    <w:rsid w:val="007F4605"/>
    <w:rsid w:val="007F6C7D"/>
    <w:rsid w:val="008026F6"/>
    <w:rsid w:val="00803F84"/>
    <w:rsid w:val="00806070"/>
    <w:rsid w:val="00806EE8"/>
    <w:rsid w:val="00811D89"/>
    <w:rsid w:val="00814500"/>
    <w:rsid w:val="008171FC"/>
    <w:rsid w:val="0082183D"/>
    <w:rsid w:val="00822F77"/>
    <w:rsid w:val="00833AF7"/>
    <w:rsid w:val="00834023"/>
    <w:rsid w:val="00835579"/>
    <w:rsid w:val="00836F9B"/>
    <w:rsid w:val="00844106"/>
    <w:rsid w:val="00844B27"/>
    <w:rsid w:val="00844D29"/>
    <w:rsid w:val="00846195"/>
    <w:rsid w:val="00846FA0"/>
    <w:rsid w:val="008479B6"/>
    <w:rsid w:val="00851ABA"/>
    <w:rsid w:val="00851E8C"/>
    <w:rsid w:val="00853B76"/>
    <w:rsid w:val="0085588F"/>
    <w:rsid w:val="00855D7A"/>
    <w:rsid w:val="0086002F"/>
    <w:rsid w:val="00863F9D"/>
    <w:rsid w:val="008645F9"/>
    <w:rsid w:val="0086628A"/>
    <w:rsid w:val="00871279"/>
    <w:rsid w:val="00871E30"/>
    <w:rsid w:val="00872913"/>
    <w:rsid w:val="00873964"/>
    <w:rsid w:val="00873F82"/>
    <w:rsid w:val="0087599D"/>
    <w:rsid w:val="00880CA5"/>
    <w:rsid w:val="008817B1"/>
    <w:rsid w:val="00881CAA"/>
    <w:rsid w:val="00881E6C"/>
    <w:rsid w:val="008834BB"/>
    <w:rsid w:val="008840FA"/>
    <w:rsid w:val="00884436"/>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23A9"/>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2273"/>
    <w:rsid w:val="00922FB9"/>
    <w:rsid w:val="009241E2"/>
    <w:rsid w:val="00924681"/>
    <w:rsid w:val="0092622E"/>
    <w:rsid w:val="00930877"/>
    <w:rsid w:val="00945CB0"/>
    <w:rsid w:val="00951188"/>
    <w:rsid w:val="00955732"/>
    <w:rsid w:val="00955CBA"/>
    <w:rsid w:val="00960F2F"/>
    <w:rsid w:val="009634F6"/>
    <w:rsid w:val="00963B5E"/>
    <w:rsid w:val="00963FA0"/>
    <w:rsid w:val="0096491F"/>
    <w:rsid w:val="00967054"/>
    <w:rsid w:val="00972AF4"/>
    <w:rsid w:val="00974E95"/>
    <w:rsid w:val="00975F2D"/>
    <w:rsid w:val="00977BF5"/>
    <w:rsid w:val="0098302D"/>
    <w:rsid w:val="009833EF"/>
    <w:rsid w:val="00987608"/>
    <w:rsid w:val="009943A0"/>
    <w:rsid w:val="009953BC"/>
    <w:rsid w:val="009963D2"/>
    <w:rsid w:val="009A0568"/>
    <w:rsid w:val="009A0AF9"/>
    <w:rsid w:val="009A16BE"/>
    <w:rsid w:val="009A2337"/>
    <w:rsid w:val="009A2A5B"/>
    <w:rsid w:val="009A2E00"/>
    <w:rsid w:val="009A355A"/>
    <w:rsid w:val="009A5CE8"/>
    <w:rsid w:val="009A6E94"/>
    <w:rsid w:val="009A7B5A"/>
    <w:rsid w:val="009A7F79"/>
    <w:rsid w:val="009B1863"/>
    <w:rsid w:val="009B2BDC"/>
    <w:rsid w:val="009B388B"/>
    <w:rsid w:val="009B5F5D"/>
    <w:rsid w:val="009B6201"/>
    <w:rsid w:val="009B6326"/>
    <w:rsid w:val="009B73BA"/>
    <w:rsid w:val="009C10D9"/>
    <w:rsid w:val="009C425A"/>
    <w:rsid w:val="009C5CA7"/>
    <w:rsid w:val="009D03F8"/>
    <w:rsid w:val="009D1DF4"/>
    <w:rsid w:val="009D7A24"/>
    <w:rsid w:val="009E00E4"/>
    <w:rsid w:val="009E0D20"/>
    <w:rsid w:val="009E0F6B"/>
    <w:rsid w:val="009E10F9"/>
    <w:rsid w:val="009E23B7"/>
    <w:rsid w:val="009E27D7"/>
    <w:rsid w:val="009E2964"/>
    <w:rsid w:val="009E5D18"/>
    <w:rsid w:val="009E62F5"/>
    <w:rsid w:val="009E7DCD"/>
    <w:rsid w:val="009F55F9"/>
    <w:rsid w:val="009F5CC0"/>
    <w:rsid w:val="009F5D0E"/>
    <w:rsid w:val="009F63BC"/>
    <w:rsid w:val="009F6F8B"/>
    <w:rsid w:val="009F7164"/>
    <w:rsid w:val="00A01631"/>
    <w:rsid w:val="00A02F0A"/>
    <w:rsid w:val="00A043DF"/>
    <w:rsid w:val="00A1074D"/>
    <w:rsid w:val="00A127DD"/>
    <w:rsid w:val="00A14245"/>
    <w:rsid w:val="00A14E6C"/>
    <w:rsid w:val="00A167EC"/>
    <w:rsid w:val="00A172E6"/>
    <w:rsid w:val="00A24434"/>
    <w:rsid w:val="00A24C8D"/>
    <w:rsid w:val="00A26F15"/>
    <w:rsid w:val="00A30E37"/>
    <w:rsid w:val="00A320F2"/>
    <w:rsid w:val="00A32AE2"/>
    <w:rsid w:val="00A32CCD"/>
    <w:rsid w:val="00A35CF8"/>
    <w:rsid w:val="00A360E7"/>
    <w:rsid w:val="00A400FB"/>
    <w:rsid w:val="00A443D1"/>
    <w:rsid w:val="00A456B3"/>
    <w:rsid w:val="00A477B2"/>
    <w:rsid w:val="00A47BFE"/>
    <w:rsid w:val="00A5087E"/>
    <w:rsid w:val="00A50A8E"/>
    <w:rsid w:val="00A51808"/>
    <w:rsid w:val="00A51D78"/>
    <w:rsid w:val="00A51EA8"/>
    <w:rsid w:val="00A549C3"/>
    <w:rsid w:val="00A5587B"/>
    <w:rsid w:val="00A55DD1"/>
    <w:rsid w:val="00A561A8"/>
    <w:rsid w:val="00A562A6"/>
    <w:rsid w:val="00A5647C"/>
    <w:rsid w:val="00A60A0A"/>
    <w:rsid w:val="00A614C3"/>
    <w:rsid w:val="00A61EEB"/>
    <w:rsid w:val="00A646B3"/>
    <w:rsid w:val="00A64E9E"/>
    <w:rsid w:val="00A7007B"/>
    <w:rsid w:val="00A71623"/>
    <w:rsid w:val="00A71F50"/>
    <w:rsid w:val="00A77CF2"/>
    <w:rsid w:val="00A81CF8"/>
    <w:rsid w:val="00A82C87"/>
    <w:rsid w:val="00A84B87"/>
    <w:rsid w:val="00A84D4B"/>
    <w:rsid w:val="00A8592D"/>
    <w:rsid w:val="00A90D08"/>
    <w:rsid w:val="00A93FFF"/>
    <w:rsid w:val="00A95746"/>
    <w:rsid w:val="00A95AB5"/>
    <w:rsid w:val="00A96D45"/>
    <w:rsid w:val="00A973EE"/>
    <w:rsid w:val="00A974AC"/>
    <w:rsid w:val="00AA18DD"/>
    <w:rsid w:val="00AA1F91"/>
    <w:rsid w:val="00AA5CE1"/>
    <w:rsid w:val="00AB2137"/>
    <w:rsid w:val="00AB2D9E"/>
    <w:rsid w:val="00AB4404"/>
    <w:rsid w:val="00AB44EA"/>
    <w:rsid w:val="00AB68E3"/>
    <w:rsid w:val="00AB723D"/>
    <w:rsid w:val="00AC21EE"/>
    <w:rsid w:val="00AC3B22"/>
    <w:rsid w:val="00AC4101"/>
    <w:rsid w:val="00AC5597"/>
    <w:rsid w:val="00AC6C3F"/>
    <w:rsid w:val="00AD0116"/>
    <w:rsid w:val="00AD1B42"/>
    <w:rsid w:val="00AD4177"/>
    <w:rsid w:val="00AD4664"/>
    <w:rsid w:val="00AD4B84"/>
    <w:rsid w:val="00AE23BE"/>
    <w:rsid w:val="00AE5528"/>
    <w:rsid w:val="00AE5772"/>
    <w:rsid w:val="00AF0AC0"/>
    <w:rsid w:val="00AF1807"/>
    <w:rsid w:val="00AF1D1E"/>
    <w:rsid w:val="00AF4CA9"/>
    <w:rsid w:val="00AF5B52"/>
    <w:rsid w:val="00AF7118"/>
    <w:rsid w:val="00B008BF"/>
    <w:rsid w:val="00B04384"/>
    <w:rsid w:val="00B07460"/>
    <w:rsid w:val="00B16978"/>
    <w:rsid w:val="00B16BE4"/>
    <w:rsid w:val="00B17EBB"/>
    <w:rsid w:val="00B24A6F"/>
    <w:rsid w:val="00B255B7"/>
    <w:rsid w:val="00B278DB"/>
    <w:rsid w:val="00B301AF"/>
    <w:rsid w:val="00B30D4F"/>
    <w:rsid w:val="00B31E54"/>
    <w:rsid w:val="00B3434E"/>
    <w:rsid w:val="00B351FD"/>
    <w:rsid w:val="00B35BFD"/>
    <w:rsid w:val="00B421F2"/>
    <w:rsid w:val="00B42822"/>
    <w:rsid w:val="00B42C54"/>
    <w:rsid w:val="00B42F07"/>
    <w:rsid w:val="00B4395A"/>
    <w:rsid w:val="00B44D59"/>
    <w:rsid w:val="00B4553E"/>
    <w:rsid w:val="00B46773"/>
    <w:rsid w:val="00B47091"/>
    <w:rsid w:val="00B4731E"/>
    <w:rsid w:val="00B47E14"/>
    <w:rsid w:val="00B54256"/>
    <w:rsid w:val="00B545F4"/>
    <w:rsid w:val="00B56303"/>
    <w:rsid w:val="00B64AAB"/>
    <w:rsid w:val="00B64F62"/>
    <w:rsid w:val="00B66898"/>
    <w:rsid w:val="00B71083"/>
    <w:rsid w:val="00B7164C"/>
    <w:rsid w:val="00B73E72"/>
    <w:rsid w:val="00B74832"/>
    <w:rsid w:val="00B74917"/>
    <w:rsid w:val="00B807AB"/>
    <w:rsid w:val="00B80F53"/>
    <w:rsid w:val="00B825A7"/>
    <w:rsid w:val="00B82E26"/>
    <w:rsid w:val="00B845B3"/>
    <w:rsid w:val="00B907A4"/>
    <w:rsid w:val="00B95FBC"/>
    <w:rsid w:val="00B97C44"/>
    <w:rsid w:val="00BA05AE"/>
    <w:rsid w:val="00BA2FA3"/>
    <w:rsid w:val="00BA6418"/>
    <w:rsid w:val="00BA7D18"/>
    <w:rsid w:val="00BB166C"/>
    <w:rsid w:val="00BB3A8F"/>
    <w:rsid w:val="00BC19F6"/>
    <w:rsid w:val="00BC2A83"/>
    <w:rsid w:val="00BC39B1"/>
    <w:rsid w:val="00BD02D0"/>
    <w:rsid w:val="00BD0937"/>
    <w:rsid w:val="00BD0D15"/>
    <w:rsid w:val="00BD5187"/>
    <w:rsid w:val="00BD5425"/>
    <w:rsid w:val="00BD6F74"/>
    <w:rsid w:val="00BE1B26"/>
    <w:rsid w:val="00BE5E74"/>
    <w:rsid w:val="00BF0332"/>
    <w:rsid w:val="00BF5FCC"/>
    <w:rsid w:val="00BF683F"/>
    <w:rsid w:val="00BF773D"/>
    <w:rsid w:val="00C00FA2"/>
    <w:rsid w:val="00C069A2"/>
    <w:rsid w:val="00C069EC"/>
    <w:rsid w:val="00C17416"/>
    <w:rsid w:val="00C1748F"/>
    <w:rsid w:val="00C21237"/>
    <w:rsid w:val="00C221D5"/>
    <w:rsid w:val="00C2280A"/>
    <w:rsid w:val="00C2652B"/>
    <w:rsid w:val="00C274E0"/>
    <w:rsid w:val="00C30598"/>
    <w:rsid w:val="00C31A3A"/>
    <w:rsid w:val="00C346C7"/>
    <w:rsid w:val="00C373FB"/>
    <w:rsid w:val="00C41E61"/>
    <w:rsid w:val="00C45C85"/>
    <w:rsid w:val="00C515CA"/>
    <w:rsid w:val="00C533E6"/>
    <w:rsid w:val="00C56730"/>
    <w:rsid w:val="00C6024F"/>
    <w:rsid w:val="00C60CE3"/>
    <w:rsid w:val="00C63D95"/>
    <w:rsid w:val="00C6425A"/>
    <w:rsid w:val="00C64B94"/>
    <w:rsid w:val="00C66E80"/>
    <w:rsid w:val="00C7133E"/>
    <w:rsid w:val="00C72E70"/>
    <w:rsid w:val="00C739BF"/>
    <w:rsid w:val="00C747DF"/>
    <w:rsid w:val="00C74F44"/>
    <w:rsid w:val="00C768C1"/>
    <w:rsid w:val="00C76C24"/>
    <w:rsid w:val="00C7740D"/>
    <w:rsid w:val="00C80E3F"/>
    <w:rsid w:val="00C87539"/>
    <w:rsid w:val="00C87C20"/>
    <w:rsid w:val="00C90663"/>
    <w:rsid w:val="00C93281"/>
    <w:rsid w:val="00C93DCA"/>
    <w:rsid w:val="00C97298"/>
    <w:rsid w:val="00CA071B"/>
    <w:rsid w:val="00CA5466"/>
    <w:rsid w:val="00CA591D"/>
    <w:rsid w:val="00CA734B"/>
    <w:rsid w:val="00CB0475"/>
    <w:rsid w:val="00CB2C4F"/>
    <w:rsid w:val="00CB3583"/>
    <w:rsid w:val="00CB6A8C"/>
    <w:rsid w:val="00CC34FF"/>
    <w:rsid w:val="00CC44F0"/>
    <w:rsid w:val="00CC6E88"/>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752"/>
    <w:rsid w:val="00D2283C"/>
    <w:rsid w:val="00D228D8"/>
    <w:rsid w:val="00D31439"/>
    <w:rsid w:val="00D32A02"/>
    <w:rsid w:val="00D33677"/>
    <w:rsid w:val="00D34934"/>
    <w:rsid w:val="00D373EC"/>
    <w:rsid w:val="00D4180D"/>
    <w:rsid w:val="00D42875"/>
    <w:rsid w:val="00D42B44"/>
    <w:rsid w:val="00D44A14"/>
    <w:rsid w:val="00D47738"/>
    <w:rsid w:val="00D51A9B"/>
    <w:rsid w:val="00D51D95"/>
    <w:rsid w:val="00D53EC6"/>
    <w:rsid w:val="00D55A00"/>
    <w:rsid w:val="00D56F77"/>
    <w:rsid w:val="00D603E6"/>
    <w:rsid w:val="00D61E9F"/>
    <w:rsid w:val="00D62CC8"/>
    <w:rsid w:val="00D63AC4"/>
    <w:rsid w:val="00D6402F"/>
    <w:rsid w:val="00D64B7B"/>
    <w:rsid w:val="00D67983"/>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C638E"/>
    <w:rsid w:val="00DD0941"/>
    <w:rsid w:val="00DD1C47"/>
    <w:rsid w:val="00DD6B5E"/>
    <w:rsid w:val="00DE21B1"/>
    <w:rsid w:val="00DE4BF6"/>
    <w:rsid w:val="00DE69D0"/>
    <w:rsid w:val="00DE7070"/>
    <w:rsid w:val="00DE77A3"/>
    <w:rsid w:val="00DF02F6"/>
    <w:rsid w:val="00DF21B8"/>
    <w:rsid w:val="00DF27D4"/>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44DCE"/>
    <w:rsid w:val="00E528AF"/>
    <w:rsid w:val="00E53131"/>
    <w:rsid w:val="00E5518E"/>
    <w:rsid w:val="00E56222"/>
    <w:rsid w:val="00E564BA"/>
    <w:rsid w:val="00E566D8"/>
    <w:rsid w:val="00E57743"/>
    <w:rsid w:val="00E577C9"/>
    <w:rsid w:val="00E57A97"/>
    <w:rsid w:val="00E62C06"/>
    <w:rsid w:val="00E62DD3"/>
    <w:rsid w:val="00E66633"/>
    <w:rsid w:val="00E66D8F"/>
    <w:rsid w:val="00E6742D"/>
    <w:rsid w:val="00E71707"/>
    <w:rsid w:val="00E71EF1"/>
    <w:rsid w:val="00E731C6"/>
    <w:rsid w:val="00E740C4"/>
    <w:rsid w:val="00E743F5"/>
    <w:rsid w:val="00E74686"/>
    <w:rsid w:val="00E74750"/>
    <w:rsid w:val="00E76686"/>
    <w:rsid w:val="00E76B5D"/>
    <w:rsid w:val="00E80520"/>
    <w:rsid w:val="00E81BD0"/>
    <w:rsid w:val="00E83C98"/>
    <w:rsid w:val="00E840FE"/>
    <w:rsid w:val="00E84DBD"/>
    <w:rsid w:val="00E879C6"/>
    <w:rsid w:val="00E9128A"/>
    <w:rsid w:val="00E91C15"/>
    <w:rsid w:val="00E93E03"/>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C6A"/>
    <w:rsid w:val="00ED4EC4"/>
    <w:rsid w:val="00ED6C04"/>
    <w:rsid w:val="00ED7D3D"/>
    <w:rsid w:val="00EE188C"/>
    <w:rsid w:val="00EE4094"/>
    <w:rsid w:val="00EE4C9D"/>
    <w:rsid w:val="00EE4D57"/>
    <w:rsid w:val="00EE53FF"/>
    <w:rsid w:val="00EE5E83"/>
    <w:rsid w:val="00EE7092"/>
    <w:rsid w:val="00EF2F5C"/>
    <w:rsid w:val="00EF3A92"/>
    <w:rsid w:val="00EF7590"/>
    <w:rsid w:val="00F024CA"/>
    <w:rsid w:val="00F0354F"/>
    <w:rsid w:val="00F1013F"/>
    <w:rsid w:val="00F10A99"/>
    <w:rsid w:val="00F1342F"/>
    <w:rsid w:val="00F138A2"/>
    <w:rsid w:val="00F154EB"/>
    <w:rsid w:val="00F20632"/>
    <w:rsid w:val="00F21912"/>
    <w:rsid w:val="00F228A2"/>
    <w:rsid w:val="00F23738"/>
    <w:rsid w:val="00F2392E"/>
    <w:rsid w:val="00F26428"/>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412C"/>
    <w:rsid w:val="00F55847"/>
    <w:rsid w:val="00F57142"/>
    <w:rsid w:val="00F5756D"/>
    <w:rsid w:val="00F5771D"/>
    <w:rsid w:val="00F630A2"/>
    <w:rsid w:val="00F635A1"/>
    <w:rsid w:val="00F63E1C"/>
    <w:rsid w:val="00F652AB"/>
    <w:rsid w:val="00F65942"/>
    <w:rsid w:val="00F72AA0"/>
    <w:rsid w:val="00F76A40"/>
    <w:rsid w:val="00F80C07"/>
    <w:rsid w:val="00F853BD"/>
    <w:rsid w:val="00F87264"/>
    <w:rsid w:val="00F908E9"/>
    <w:rsid w:val="00F923A1"/>
    <w:rsid w:val="00F96C94"/>
    <w:rsid w:val="00FA2B8F"/>
    <w:rsid w:val="00FA47E6"/>
    <w:rsid w:val="00FA56D6"/>
    <w:rsid w:val="00FA595F"/>
    <w:rsid w:val="00FA6C24"/>
    <w:rsid w:val="00FA7E7F"/>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35CE"/>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4E4AC2"/>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043DF"/>
    <w:pPr>
      <w:ind w:left="720"/>
      <w:contextualSpacing/>
    </w:pPr>
  </w:style>
  <w:style w:type="character" w:styleId="PlaceholderText">
    <w:name w:val="Placeholder Text"/>
    <w:basedOn w:val="DefaultParagraphFont"/>
    <w:uiPriority w:val="99"/>
    <w:semiHidden/>
    <w:rsid w:val="001C386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4E4AC2"/>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043DF"/>
    <w:pPr>
      <w:ind w:left="720"/>
      <w:contextualSpacing/>
    </w:pPr>
  </w:style>
  <w:style w:type="character" w:styleId="PlaceholderText">
    <w:name w:val="Placeholder Text"/>
    <w:basedOn w:val="DefaultParagraphFont"/>
    <w:uiPriority w:val="99"/>
    <w:semiHidden/>
    <w:rsid w:val="001C38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032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19714354">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47882220">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60977495">
      <w:bodyDiv w:val="1"/>
      <w:marLeft w:val="0"/>
      <w:marRight w:val="0"/>
      <w:marTop w:val="0"/>
      <w:marBottom w:val="0"/>
      <w:divBdr>
        <w:top w:val="none" w:sz="0" w:space="0" w:color="auto"/>
        <w:left w:val="none" w:sz="0" w:space="0" w:color="auto"/>
        <w:bottom w:val="none" w:sz="0" w:space="0" w:color="auto"/>
        <w:right w:val="none" w:sz="0" w:space="0" w:color="auto"/>
      </w:divBdr>
    </w:div>
    <w:div w:id="90460795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18242871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132346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63385299">
      <w:bodyDiv w:val="1"/>
      <w:marLeft w:val="0"/>
      <w:marRight w:val="0"/>
      <w:marTop w:val="0"/>
      <w:marBottom w:val="0"/>
      <w:divBdr>
        <w:top w:val="none" w:sz="0" w:space="0" w:color="auto"/>
        <w:left w:val="none" w:sz="0" w:space="0" w:color="auto"/>
        <w:bottom w:val="none" w:sz="0" w:space="0" w:color="auto"/>
        <w:right w:val="none" w:sz="0" w:space="0" w:color="auto"/>
      </w:divBdr>
    </w:div>
    <w:div w:id="1675067195">
      <w:bodyDiv w:val="1"/>
      <w:marLeft w:val="0"/>
      <w:marRight w:val="0"/>
      <w:marTop w:val="0"/>
      <w:marBottom w:val="0"/>
      <w:divBdr>
        <w:top w:val="none" w:sz="0" w:space="0" w:color="auto"/>
        <w:left w:val="none" w:sz="0" w:space="0" w:color="auto"/>
        <w:bottom w:val="none" w:sz="0" w:space="0" w:color="auto"/>
        <w:right w:val="none" w:sz="0" w:space="0" w:color="auto"/>
      </w:divBdr>
    </w:div>
    <w:div w:id="1698580228">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55107983">
      <w:bodyDiv w:val="1"/>
      <w:marLeft w:val="0"/>
      <w:marRight w:val="0"/>
      <w:marTop w:val="0"/>
      <w:marBottom w:val="0"/>
      <w:divBdr>
        <w:top w:val="none" w:sz="0" w:space="0" w:color="auto"/>
        <w:left w:val="none" w:sz="0" w:space="0" w:color="auto"/>
        <w:bottom w:val="none" w:sz="0" w:space="0" w:color="auto"/>
        <w:right w:val="none" w:sz="0" w:space="0" w:color="auto"/>
      </w:divBdr>
    </w:div>
    <w:div w:id="2063364264">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deeresources.com/DEER2011/download/DEER2011_NTGR_2012-05-16.xls" TargetMode="Externa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deeresources.com/index.php?option=com_content&amp;view=article&amp;id=68&amp;Itemid=6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www.deeresources.com/index.php?option=com_content&amp;view=article&amp;id=68&amp;Itemid=60"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6D083031-6A72-48AA-98E2-E34371998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16</Pages>
  <Words>3419</Words>
  <Characters>19492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22866</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2014-07-25T21:24:00Z</cp:lastPrinted>
  <dcterms:created xsi:type="dcterms:W3CDTF">2014-08-27T17:16:00Z</dcterms:created>
  <dcterms:modified xsi:type="dcterms:W3CDTF">2014-08-27T17:16:00Z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