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77E" w:rsidRDefault="002E577E" w:rsidP="002E577E">
      <w:pPr>
        <w:jc w:val="right"/>
        <w:rPr>
          <w:b/>
          <w:sz w:val="48"/>
          <w:szCs w:val="48"/>
        </w:rPr>
      </w:pPr>
      <w:bookmarkStart w:id="0" w:name="_Toc153189646"/>
      <w:bookmarkStart w:id="1" w:name="_GoBack"/>
      <w:bookmarkEnd w:id="1"/>
      <w:r w:rsidRPr="00447253">
        <w:rPr>
          <w:b/>
          <w:sz w:val="48"/>
          <w:szCs w:val="48"/>
        </w:rPr>
        <w:t xml:space="preserve">Work Paper </w:t>
      </w:r>
      <w:bookmarkEnd w:id="0"/>
      <w:r w:rsidR="00606E8D" w:rsidRPr="00447253">
        <w:rPr>
          <w:b/>
          <w:sz w:val="48"/>
          <w:szCs w:val="48"/>
        </w:rPr>
        <w:t>PGE</w:t>
      </w:r>
      <w:r w:rsidR="00ED638E">
        <w:rPr>
          <w:b/>
          <w:sz w:val="48"/>
          <w:szCs w:val="48"/>
        </w:rPr>
        <w:t>COAGR120</w:t>
      </w:r>
    </w:p>
    <w:p w:rsidR="00954E07" w:rsidRPr="00954E07" w:rsidRDefault="00954E07" w:rsidP="00954E07">
      <w:pPr>
        <w:jc w:val="right"/>
        <w:rPr>
          <w:b/>
          <w:sz w:val="48"/>
          <w:szCs w:val="48"/>
        </w:rPr>
      </w:pPr>
      <w:bookmarkStart w:id="2" w:name="_Toc153189647"/>
      <w:r w:rsidRPr="00954E07">
        <w:rPr>
          <w:b/>
          <w:sz w:val="48"/>
          <w:szCs w:val="48"/>
        </w:rPr>
        <w:t>Agricultural Pump System Overhaul for Pumps Less Than or Equal to 25hp</w:t>
      </w:r>
    </w:p>
    <w:p w:rsidR="002E577E" w:rsidRDefault="002E577E" w:rsidP="002E577E">
      <w:pPr>
        <w:jc w:val="right"/>
        <w:rPr>
          <w:b/>
          <w:sz w:val="48"/>
          <w:szCs w:val="48"/>
        </w:rPr>
      </w:pPr>
      <w:r w:rsidRPr="00447253">
        <w:rPr>
          <w:b/>
          <w:sz w:val="48"/>
          <w:szCs w:val="48"/>
        </w:rPr>
        <w:t>Revision #</w:t>
      </w:r>
      <w:bookmarkEnd w:id="2"/>
      <w:r w:rsidRPr="00447253">
        <w:rPr>
          <w:b/>
          <w:sz w:val="48"/>
          <w:szCs w:val="48"/>
        </w:rPr>
        <w:t xml:space="preserve"> 0</w:t>
      </w:r>
    </w:p>
    <w:p w:rsidR="002E577E" w:rsidRDefault="002E577E" w:rsidP="002E577E">
      <w:pPr>
        <w:jc w:val="right"/>
        <w:rPr>
          <w:b/>
          <w:sz w:val="48"/>
          <w:szCs w:val="48"/>
        </w:rPr>
      </w:pPr>
    </w:p>
    <w:p w:rsidR="002E577E" w:rsidRPr="00447253" w:rsidRDefault="002E577E" w:rsidP="002E577E">
      <w:pPr>
        <w:jc w:val="right"/>
        <w:rPr>
          <w:b/>
          <w:sz w:val="48"/>
          <w:szCs w:val="48"/>
        </w:rPr>
      </w:pPr>
    </w:p>
    <w:p w:rsidR="002E577E" w:rsidRPr="00001B9C" w:rsidRDefault="002E577E" w:rsidP="002E577E">
      <w:pPr>
        <w:rPr>
          <w:color w:val="FF0000"/>
        </w:rPr>
      </w:pPr>
    </w:p>
    <w:p w:rsidR="002E577E" w:rsidRPr="007F5767" w:rsidRDefault="002E577E" w:rsidP="002E577E">
      <w:pPr>
        <w:pBdr>
          <w:bottom w:val="single" w:sz="4" w:space="1" w:color="auto"/>
        </w:pBdr>
        <w:rPr>
          <w:b/>
          <w:sz w:val="36"/>
          <w:szCs w:val="36"/>
        </w:rPr>
      </w:pPr>
      <w:r w:rsidRPr="007F5767">
        <w:rPr>
          <w:b/>
          <w:sz w:val="36"/>
          <w:szCs w:val="36"/>
        </w:rPr>
        <w:t>Pacific Gas &amp; Electric Company</w:t>
      </w:r>
    </w:p>
    <w:p w:rsidR="002E577E" w:rsidRPr="007F5767" w:rsidRDefault="002E577E" w:rsidP="002E577E">
      <w:pPr>
        <w:rPr>
          <w:b/>
          <w:sz w:val="32"/>
          <w:szCs w:val="32"/>
        </w:rPr>
      </w:pPr>
      <w:r w:rsidRPr="007F5767">
        <w:rPr>
          <w:b/>
          <w:sz w:val="32"/>
          <w:szCs w:val="32"/>
        </w:rPr>
        <w:t xml:space="preserve">Customer Energy Solutions </w:t>
      </w:r>
    </w:p>
    <w:p w:rsidR="002E577E" w:rsidRPr="00001B9C" w:rsidRDefault="002E577E" w:rsidP="002E577E">
      <w:pPr>
        <w:ind w:right="-720"/>
        <w:rPr>
          <w:b/>
          <w:color w:val="FF0000"/>
          <w:sz w:val="72"/>
          <w:szCs w:val="72"/>
        </w:rPr>
      </w:pPr>
    </w:p>
    <w:p w:rsidR="002E577E" w:rsidRPr="00001B9C" w:rsidRDefault="002E577E" w:rsidP="002E577E">
      <w:pPr>
        <w:ind w:right="-720"/>
        <w:rPr>
          <w:b/>
          <w:color w:val="FF0000"/>
          <w:sz w:val="72"/>
          <w:szCs w:val="72"/>
        </w:rPr>
      </w:pPr>
    </w:p>
    <w:p w:rsidR="002E577E" w:rsidRPr="00001B9C" w:rsidRDefault="002E577E" w:rsidP="002E577E">
      <w:pPr>
        <w:ind w:right="-720"/>
        <w:rPr>
          <w:b/>
          <w:color w:val="FF0000"/>
          <w:sz w:val="72"/>
          <w:szCs w:val="72"/>
        </w:rPr>
      </w:pPr>
    </w:p>
    <w:p w:rsidR="002E577E" w:rsidRPr="00552CE6" w:rsidRDefault="00954E07" w:rsidP="002E577E">
      <w:pPr>
        <w:ind w:right="-720"/>
        <w:rPr>
          <w:b/>
        </w:rPr>
      </w:pPr>
      <w:r w:rsidRPr="00954E07">
        <w:rPr>
          <w:b/>
          <w:sz w:val="72"/>
          <w:szCs w:val="72"/>
        </w:rPr>
        <w:t>Agricultural Pump System Overhaul for Pumps Less Than or Equal to 25hp</w:t>
      </w:r>
      <w:r w:rsidR="002E577E" w:rsidRPr="00552CE6">
        <w:rPr>
          <w:b/>
          <w:sz w:val="72"/>
          <w:szCs w:val="72"/>
        </w:rPr>
        <w:t xml:space="preserve"> </w:t>
      </w:r>
    </w:p>
    <w:p w:rsidR="002E577E" w:rsidRDefault="002E577E" w:rsidP="002E577E">
      <w:pPr>
        <w:ind w:right="-720"/>
        <w:rPr>
          <w:b/>
        </w:rPr>
      </w:pPr>
      <w:r w:rsidRPr="00552CE6">
        <w:rPr>
          <w:b/>
        </w:rPr>
        <w:t xml:space="preserve">Measure Codes </w:t>
      </w:r>
      <w:r w:rsidR="00606E8D">
        <w:rPr>
          <w:b/>
        </w:rPr>
        <w:t>IR001, IR002, IR003, IR004, IR005</w:t>
      </w:r>
    </w:p>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Pr="00954E07" w:rsidRDefault="00606E8D" w:rsidP="00954E07">
      <w:pPr>
        <w:jc w:val="right"/>
        <w:rPr>
          <w:b/>
          <w:sz w:val="24"/>
        </w:rPr>
      </w:pPr>
      <w:r>
        <w:rPr>
          <w:b/>
          <w:sz w:val="24"/>
        </w:rPr>
        <w:fldChar w:fldCharType="begin"/>
      </w:r>
      <w:r>
        <w:rPr>
          <w:b/>
          <w:sz w:val="24"/>
        </w:rPr>
        <w:instrText xml:space="preserve"> DATE \@ "MMMM d, yyyy" </w:instrText>
      </w:r>
      <w:r>
        <w:rPr>
          <w:b/>
          <w:sz w:val="24"/>
        </w:rPr>
        <w:fldChar w:fldCharType="separate"/>
      </w:r>
      <w:r w:rsidR="00ED638E">
        <w:rPr>
          <w:b/>
          <w:noProof/>
          <w:sz w:val="24"/>
        </w:rPr>
        <w:t>August 13, 2014</w:t>
      </w:r>
      <w:r>
        <w:rPr>
          <w:b/>
          <w:sz w:val="24"/>
        </w:rPr>
        <w:fldChar w:fldCharType="end"/>
      </w:r>
    </w:p>
    <w:p w:rsidR="00CB3583" w:rsidRPr="00001B9C" w:rsidRDefault="00CB3583" w:rsidP="00E35EAA">
      <w:pPr>
        <w:rPr>
          <w:highlight w:val="cyan"/>
        </w:rPr>
      </w:pPr>
    </w:p>
    <w:p w:rsidR="001E2E5B" w:rsidRDefault="001E2E5B" w:rsidP="00E35EAA">
      <w:pPr>
        <w:pStyle w:val="Heading1"/>
        <w:sectPr w:rsidR="001E2E5B" w:rsidSect="00E03431">
          <w:headerReference w:type="even" r:id="rId9"/>
          <w:headerReference w:type="default" r:id="rId10"/>
          <w:footerReference w:type="even" r:id="rId11"/>
          <w:headerReference w:type="first" r:id="rId12"/>
          <w:footerReference w:type="first" r:id="rId13"/>
          <w:endnotePr>
            <w:numFmt w:val="decimal"/>
          </w:endnotePr>
          <w:pgSz w:w="12240" w:h="15840"/>
          <w:pgMar w:top="1440" w:right="1440" w:bottom="1440" w:left="1440" w:header="720" w:footer="720" w:gutter="0"/>
          <w:pgNumType w:fmt="lowerRoman"/>
          <w:cols w:space="720"/>
          <w:docGrid w:linePitch="360"/>
        </w:sectPr>
      </w:pPr>
      <w:bookmarkStart w:id="3" w:name="_Toc326239204"/>
    </w:p>
    <w:p w:rsidR="0012438D" w:rsidRDefault="0012438D" w:rsidP="00E35EAA">
      <w:pPr>
        <w:pStyle w:val="Heading1"/>
      </w:pPr>
      <w:bookmarkStart w:id="4" w:name="_Toc392779995"/>
      <w:r>
        <w:lastRenderedPageBreak/>
        <w:t>At-A-Glance Summary</w:t>
      </w:r>
      <w:bookmarkEnd w:id="3"/>
      <w:r w:rsidR="00F17794">
        <w:t xml:space="preserve"> Table</w:t>
      </w:r>
      <w:bookmarkEnd w:id="4"/>
    </w:p>
    <w:tbl>
      <w:tblPr>
        <w:tblW w:w="0" w:type="auto"/>
        <w:tblBorders>
          <w:insideH w:val="single" w:sz="18" w:space="0" w:color="FFFFFF"/>
          <w:insideV w:val="single" w:sz="18" w:space="0" w:color="FFFFFF"/>
        </w:tblBorders>
        <w:tblLayout w:type="fixed"/>
        <w:tblLook w:val="01E0" w:firstRow="1" w:lastRow="1" w:firstColumn="1" w:lastColumn="1" w:noHBand="0" w:noVBand="0"/>
      </w:tblPr>
      <w:tblGrid>
        <w:gridCol w:w="1673"/>
        <w:gridCol w:w="2330"/>
        <w:gridCol w:w="2331"/>
        <w:gridCol w:w="2330"/>
        <w:gridCol w:w="2331"/>
        <w:gridCol w:w="2331"/>
      </w:tblGrid>
      <w:tr w:rsidR="001C31DE" w:rsidRPr="00805161" w:rsidTr="00AD7A0D">
        <w:trPr>
          <w:trHeight w:val="465"/>
        </w:trPr>
        <w:tc>
          <w:tcPr>
            <w:tcW w:w="1673" w:type="dxa"/>
            <w:shd w:val="pct20" w:color="000000" w:fill="FFFFFF"/>
          </w:tcPr>
          <w:p w:rsidR="001C31DE" w:rsidRPr="00AD7A0D" w:rsidRDefault="001C31DE" w:rsidP="00E35EAA">
            <w:pPr>
              <w:rPr>
                <w:b/>
              </w:rPr>
            </w:pPr>
            <w:r w:rsidRPr="00AD7A0D">
              <w:rPr>
                <w:b/>
              </w:rPr>
              <w:t>Applicable Measure Codes:</w:t>
            </w:r>
          </w:p>
        </w:tc>
        <w:tc>
          <w:tcPr>
            <w:tcW w:w="2330" w:type="dxa"/>
            <w:shd w:val="pct20" w:color="000000" w:fill="FFFFFF"/>
            <w:vAlign w:val="center"/>
          </w:tcPr>
          <w:p w:rsidR="001C31DE" w:rsidRPr="00AD7A0D" w:rsidRDefault="001C31DE" w:rsidP="00AD7A0D">
            <w:pPr>
              <w:jc w:val="center"/>
              <w:rPr>
                <w:b/>
              </w:rPr>
            </w:pPr>
            <w:r w:rsidRPr="00AD7A0D">
              <w:rPr>
                <w:b/>
              </w:rPr>
              <w:t>IR001</w:t>
            </w:r>
          </w:p>
        </w:tc>
        <w:tc>
          <w:tcPr>
            <w:tcW w:w="2331" w:type="dxa"/>
            <w:shd w:val="pct20" w:color="000000" w:fill="FFFFFF"/>
            <w:vAlign w:val="center"/>
          </w:tcPr>
          <w:p w:rsidR="001C31DE" w:rsidRPr="00AD7A0D" w:rsidRDefault="001C31DE" w:rsidP="00AD7A0D">
            <w:pPr>
              <w:jc w:val="center"/>
              <w:rPr>
                <w:b/>
              </w:rPr>
            </w:pPr>
            <w:r w:rsidRPr="00AD7A0D">
              <w:rPr>
                <w:b/>
              </w:rPr>
              <w:t>IR002</w:t>
            </w:r>
          </w:p>
        </w:tc>
        <w:tc>
          <w:tcPr>
            <w:tcW w:w="2330" w:type="dxa"/>
            <w:shd w:val="pct20" w:color="000000" w:fill="FFFFFF"/>
            <w:vAlign w:val="center"/>
          </w:tcPr>
          <w:p w:rsidR="001C31DE" w:rsidRPr="00AD7A0D" w:rsidRDefault="001C31DE" w:rsidP="00AD7A0D">
            <w:pPr>
              <w:jc w:val="center"/>
              <w:rPr>
                <w:b/>
              </w:rPr>
            </w:pPr>
            <w:r w:rsidRPr="00AD7A0D">
              <w:rPr>
                <w:b/>
              </w:rPr>
              <w:t>IR003</w:t>
            </w:r>
          </w:p>
        </w:tc>
        <w:tc>
          <w:tcPr>
            <w:tcW w:w="2331" w:type="dxa"/>
            <w:shd w:val="pct20" w:color="000000" w:fill="FFFFFF"/>
            <w:vAlign w:val="center"/>
          </w:tcPr>
          <w:p w:rsidR="001C31DE" w:rsidRPr="00AD7A0D" w:rsidRDefault="001C31DE" w:rsidP="00AD7A0D">
            <w:pPr>
              <w:jc w:val="center"/>
              <w:rPr>
                <w:b/>
              </w:rPr>
            </w:pPr>
            <w:r w:rsidRPr="00AD7A0D">
              <w:rPr>
                <w:b/>
              </w:rPr>
              <w:t>IR004</w:t>
            </w:r>
          </w:p>
        </w:tc>
        <w:tc>
          <w:tcPr>
            <w:tcW w:w="2331" w:type="dxa"/>
            <w:shd w:val="pct20" w:color="000000" w:fill="FFFFFF"/>
            <w:vAlign w:val="center"/>
          </w:tcPr>
          <w:p w:rsidR="001C31DE" w:rsidRPr="00AD7A0D" w:rsidRDefault="001C31DE" w:rsidP="00AD7A0D">
            <w:pPr>
              <w:jc w:val="center"/>
              <w:rPr>
                <w:b/>
              </w:rPr>
            </w:pPr>
            <w:r w:rsidRPr="00AD7A0D">
              <w:rPr>
                <w:b/>
              </w:rPr>
              <w:t>IR005</w:t>
            </w:r>
          </w:p>
        </w:tc>
      </w:tr>
      <w:tr w:rsidR="001C31DE" w:rsidRPr="00805161" w:rsidTr="00AD7A0D">
        <w:trPr>
          <w:trHeight w:val="465"/>
        </w:trPr>
        <w:tc>
          <w:tcPr>
            <w:tcW w:w="1673" w:type="dxa"/>
            <w:shd w:val="pct5" w:color="000000" w:fill="FFFFFF"/>
          </w:tcPr>
          <w:p w:rsidR="001C31DE" w:rsidRPr="00805161" w:rsidRDefault="001C31DE" w:rsidP="00E35EAA">
            <w:r w:rsidRPr="00805161">
              <w:t xml:space="preserve">Measure Description: </w:t>
            </w:r>
          </w:p>
        </w:tc>
        <w:tc>
          <w:tcPr>
            <w:tcW w:w="2330" w:type="dxa"/>
            <w:shd w:val="pct5" w:color="000000" w:fill="FFFFFF"/>
          </w:tcPr>
          <w:p w:rsidR="001C31DE" w:rsidRPr="008E1F76" w:rsidRDefault="0053048D" w:rsidP="001C31DE">
            <w:r w:rsidRPr="008E1F76">
              <w:t xml:space="preserve">This </w:t>
            </w:r>
            <w:r>
              <w:t>measure</w:t>
            </w:r>
            <w:r w:rsidRPr="008E1F76">
              <w:t xml:space="preserve"> details the overhaul of existing</w:t>
            </w:r>
            <w:r>
              <w:t xml:space="preserve">, inefficient centrifugal booster pumps used for agricultural applications and which have </w:t>
            </w:r>
            <w:r w:rsidRPr="008E1F76">
              <w:t>motors less than or equal to 25 horsepower (</w:t>
            </w:r>
            <w:proofErr w:type="spellStart"/>
            <w:r w:rsidRPr="008E1F76">
              <w:t>hp</w:t>
            </w:r>
            <w:proofErr w:type="spellEnd"/>
            <w:r w:rsidRPr="008E1F76">
              <w:t xml:space="preserve">). The measure is a pump that is overhauled for improved </w:t>
            </w:r>
            <w:r>
              <w:t xml:space="preserve">pumping </w:t>
            </w:r>
            <w:r w:rsidRPr="008E1F76">
              <w:t>efficiency to better match the design of the pump to the actual system operating conditions.</w:t>
            </w:r>
          </w:p>
        </w:tc>
        <w:tc>
          <w:tcPr>
            <w:tcW w:w="2331" w:type="dxa"/>
            <w:shd w:val="pct5" w:color="000000" w:fill="FFFFFF"/>
          </w:tcPr>
          <w:p w:rsidR="001C31DE" w:rsidRPr="008E1F76" w:rsidRDefault="0053048D" w:rsidP="0053048D">
            <w:r w:rsidRPr="008E1F76">
              <w:t xml:space="preserve">This </w:t>
            </w:r>
            <w:r>
              <w:t>measure</w:t>
            </w:r>
            <w:r w:rsidRPr="008E1F76">
              <w:t xml:space="preserve"> details the overhaul of existing</w:t>
            </w:r>
            <w:r>
              <w:t xml:space="preserve">, inefficient submersible well pumps used for agricultural applications and which have </w:t>
            </w:r>
            <w:r w:rsidRPr="008E1F76">
              <w:t>motors less than or equal to 25 horsepower (</w:t>
            </w:r>
            <w:proofErr w:type="spellStart"/>
            <w:r w:rsidRPr="008E1F76">
              <w:t>hp</w:t>
            </w:r>
            <w:proofErr w:type="spellEnd"/>
            <w:r w:rsidRPr="008E1F76">
              <w:t xml:space="preserve">). The measure is a pump that is overhauled for improved </w:t>
            </w:r>
            <w:r>
              <w:t xml:space="preserve">pumping </w:t>
            </w:r>
            <w:r w:rsidRPr="008E1F76">
              <w:t>efficiency to better match the design of the pump to the actual system operating conditions.</w:t>
            </w:r>
          </w:p>
        </w:tc>
        <w:tc>
          <w:tcPr>
            <w:tcW w:w="2330" w:type="dxa"/>
            <w:shd w:val="pct5" w:color="000000" w:fill="FFFFFF"/>
          </w:tcPr>
          <w:p w:rsidR="001C31DE" w:rsidRPr="008E1F76" w:rsidRDefault="0053048D" w:rsidP="00F17794">
            <w:r w:rsidRPr="008E1F76">
              <w:t xml:space="preserve">This </w:t>
            </w:r>
            <w:r>
              <w:t>measure</w:t>
            </w:r>
            <w:r w:rsidRPr="008E1F76">
              <w:t xml:space="preserve"> details the overhaul of existing</w:t>
            </w:r>
            <w:r>
              <w:t xml:space="preserve">, inefficient submersible </w:t>
            </w:r>
            <w:r w:rsidR="00F17794">
              <w:t>booster</w:t>
            </w:r>
            <w:r>
              <w:t xml:space="preserve"> pumps used for agricultural applications and which have </w:t>
            </w:r>
            <w:r w:rsidRPr="008E1F76">
              <w:t>motors less than or equal to 25 horsepower (</w:t>
            </w:r>
            <w:proofErr w:type="spellStart"/>
            <w:r w:rsidRPr="008E1F76">
              <w:t>hp</w:t>
            </w:r>
            <w:proofErr w:type="spellEnd"/>
            <w:r w:rsidRPr="008E1F76">
              <w:t xml:space="preserve">). The measure is a pump that is overhauled for improved </w:t>
            </w:r>
            <w:r>
              <w:t xml:space="preserve">pumping </w:t>
            </w:r>
            <w:r w:rsidRPr="008E1F76">
              <w:t>efficiency to better match the design of the pump to the actual system operating conditions.</w:t>
            </w:r>
          </w:p>
        </w:tc>
        <w:tc>
          <w:tcPr>
            <w:tcW w:w="2331" w:type="dxa"/>
            <w:shd w:val="pct5" w:color="000000" w:fill="FFFFFF"/>
          </w:tcPr>
          <w:p w:rsidR="001C31DE" w:rsidRPr="008E1F76" w:rsidRDefault="00F17794" w:rsidP="002435D9">
            <w:r w:rsidRPr="008E1F76">
              <w:t xml:space="preserve">This </w:t>
            </w:r>
            <w:r>
              <w:t>measure</w:t>
            </w:r>
            <w:r w:rsidRPr="008E1F76">
              <w:t xml:space="preserve"> details the overhaul of existing</w:t>
            </w:r>
            <w:r>
              <w:t xml:space="preserve">, inefficient turbine booster pumps used for agricultural applications and which have </w:t>
            </w:r>
            <w:r w:rsidRPr="008E1F76">
              <w:t>motors less than or equal to 25 horsepower (</w:t>
            </w:r>
            <w:proofErr w:type="spellStart"/>
            <w:r w:rsidRPr="008E1F76">
              <w:t>hp</w:t>
            </w:r>
            <w:proofErr w:type="spellEnd"/>
            <w:r w:rsidRPr="008E1F76">
              <w:t xml:space="preserve">). The measure is a pump that is overhauled for improved </w:t>
            </w:r>
            <w:r>
              <w:t xml:space="preserve">pumping </w:t>
            </w:r>
            <w:r w:rsidRPr="008E1F76">
              <w:t>efficiency to better match the design of the pump to the actual system operating conditions.</w:t>
            </w:r>
          </w:p>
        </w:tc>
        <w:tc>
          <w:tcPr>
            <w:tcW w:w="2331" w:type="dxa"/>
            <w:shd w:val="pct5" w:color="000000" w:fill="FFFFFF"/>
          </w:tcPr>
          <w:p w:rsidR="001C31DE" w:rsidRPr="008E1F76" w:rsidRDefault="00F17794" w:rsidP="002435D9">
            <w:r w:rsidRPr="008E1F76">
              <w:t xml:space="preserve">This </w:t>
            </w:r>
            <w:r>
              <w:t>measure</w:t>
            </w:r>
            <w:r w:rsidRPr="008E1F76">
              <w:t xml:space="preserve"> details the overhaul of existing</w:t>
            </w:r>
            <w:r>
              <w:t xml:space="preserve">, inefficient turbine well pumps used for agricultural applications and which have </w:t>
            </w:r>
            <w:r w:rsidRPr="008E1F76">
              <w:t>motors less than or equal to 25 horsepower (</w:t>
            </w:r>
            <w:proofErr w:type="spellStart"/>
            <w:r w:rsidRPr="008E1F76">
              <w:t>hp</w:t>
            </w:r>
            <w:proofErr w:type="spellEnd"/>
            <w:r w:rsidRPr="008E1F76">
              <w:t xml:space="preserve">). The measure is a pump that is overhauled for improved </w:t>
            </w:r>
            <w:r>
              <w:t xml:space="preserve">pumping </w:t>
            </w:r>
            <w:r w:rsidRPr="008E1F76">
              <w:t>efficiency to better match the design of the pump to the actual system operating conditions.</w:t>
            </w:r>
          </w:p>
        </w:tc>
      </w:tr>
      <w:tr w:rsidR="001C31DE" w:rsidRPr="00805161" w:rsidTr="00AD7A0D">
        <w:trPr>
          <w:trHeight w:val="465"/>
        </w:trPr>
        <w:tc>
          <w:tcPr>
            <w:tcW w:w="1673" w:type="dxa"/>
            <w:shd w:val="pct20" w:color="000000" w:fill="FFFFFF"/>
          </w:tcPr>
          <w:p w:rsidR="001C31DE" w:rsidRPr="00805161" w:rsidRDefault="001C31DE" w:rsidP="00E35EAA">
            <w:r w:rsidRPr="00805161">
              <w:t xml:space="preserve">Energy Impact Common Units: </w:t>
            </w:r>
          </w:p>
        </w:tc>
        <w:tc>
          <w:tcPr>
            <w:tcW w:w="2330" w:type="dxa"/>
            <w:shd w:val="pct20" w:color="000000" w:fill="FFFFFF"/>
            <w:vAlign w:val="center"/>
          </w:tcPr>
          <w:p w:rsidR="001C31DE" w:rsidRPr="008E1F76" w:rsidRDefault="00F17794" w:rsidP="00AD7A0D">
            <w:pPr>
              <w:jc w:val="center"/>
            </w:pPr>
            <w:r>
              <w:t xml:space="preserve">per rated </w:t>
            </w:r>
            <w:proofErr w:type="spellStart"/>
            <w:r>
              <w:t>hp</w:t>
            </w:r>
            <w:proofErr w:type="spellEnd"/>
          </w:p>
        </w:tc>
        <w:tc>
          <w:tcPr>
            <w:tcW w:w="2331" w:type="dxa"/>
            <w:shd w:val="pct20" w:color="000000" w:fill="FFFFFF"/>
            <w:vAlign w:val="center"/>
          </w:tcPr>
          <w:p w:rsidR="001C31DE" w:rsidRPr="008E1F76" w:rsidRDefault="00F17794" w:rsidP="00AD7A0D">
            <w:pPr>
              <w:jc w:val="center"/>
            </w:pPr>
            <w:r>
              <w:t xml:space="preserve">per rated </w:t>
            </w:r>
            <w:proofErr w:type="spellStart"/>
            <w:r>
              <w:t>hp</w:t>
            </w:r>
            <w:proofErr w:type="spellEnd"/>
          </w:p>
        </w:tc>
        <w:tc>
          <w:tcPr>
            <w:tcW w:w="2330" w:type="dxa"/>
            <w:shd w:val="pct20" w:color="000000" w:fill="FFFFFF"/>
            <w:vAlign w:val="center"/>
          </w:tcPr>
          <w:p w:rsidR="001C31DE" w:rsidRPr="008E1F76" w:rsidRDefault="00F17794" w:rsidP="00AD7A0D">
            <w:pPr>
              <w:jc w:val="center"/>
            </w:pPr>
            <w:r>
              <w:t xml:space="preserve">per rated </w:t>
            </w:r>
            <w:proofErr w:type="spellStart"/>
            <w:r>
              <w:t>hp</w:t>
            </w:r>
            <w:proofErr w:type="spellEnd"/>
          </w:p>
        </w:tc>
        <w:tc>
          <w:tcPr>
            <w:tcW w:w="2331" w:type="dxa"/>
            <w:shd w:val="pct20" w:color="000000" w:fill="FFFFFF"/>
            <w:vAlign w:val="center"/>
          </w:tcPr>
          <w:p w:rsidR="001C31DE" w:rsidRPr="008E1F76" w:rsidRDefault="00F17794" w:rsidP="00AD7A0D">
            <w:pPr>
              <w:jc w:val="center"/>
            </w:pPr>
            <w:r>
              <w:t xml:space="preserve">per rated </w:t>
            </w:r>
            <w:proofErr w:type="spellStart"/>
            <w:r>
              <w:t>hp</w:t>
            </w:r>
            <w:proofErr w:type="spellEnd"/>
          </w:p>
        </w:tc>
        <w:tc>
          <w:tcPr>
            <w:tcW w:w="2331" w:type="dxa"/>
            <w:shd w:val="pct20" w:color="000000" w:fill="FFFFFF"/>
            <w:vAlign w:val="center"/>
          </w:tcPr>
          <w:p w:rsidR="001C31DE" w:rsidRPr="008E1F76" w:rsidRDefault="00F17794" w:rsidP="00AD7A0D">
            <w:pPr>
              <w:jc w:val="center"/>
            </w:pPr>
            <w:r>
              <w:t xml:space="preserve">per rated </w:t>
            </w:r>
            <w:proofErr w:type="spellStart"/>
            <w:r>
              <w:t>hp</w:t>
            </w:r>
            <w:proofErr w:type="spellEnd"/>
          </w:p>
        </w:tc>
      </w:tr>
      <w:tr w:rsidR="001C31DE" w:rsidRPr="00805161" w:rsidTr="00AD7A0D">
        <w:trPr>
          <w:trHeight w:val="465"/>
        </w:trPr>
        <w:tc>
          <w:tcPr>
            <w:tcW w:w="1673" w:type="dxa"/>
            <w:shd w:val="pct5" w:color="000000" w:fill="FFFFFF"/>
          </w:tcPr>
          <w:p w:rsidR="001C31DE" w:rsidRPr="00805161" w:rsidRDefault="001C31DE" w:rsidP="00E35EAA">
            <w:r w:rsidRPr="00805161">
              <w:t>Base Case Description:</w:t>
            </w:r>
          </w:p>
        </w:tc>
        <w:tc>
          <w:tcPr>
            <w:tcW w:w="2330" w:type="dxa"/>
            <w:shd w:val="pct5" w:color="000000" w:fill="FFFFFF"/>
          </w:tcPr>
          <w:p w:rsidR="001C31DE" w:rsidRPr="008E1F76" w:rsidRDefault="001C31DE" w:rsidP="00E35EAA">
            <w:r w:rsidRPr="008E1F76">
              <w:t xml:space="preserve">The base case is an existing </w:t>
            </w:r>
            <w:r w:rsidR="00F17794">
              <w:t xml:space="preserve">centrifugal booster </w:t>
            </w:r>
            <w:r w:rsidRPr="008E1F76">
              <w:t>pump that is operating inefficiently due to general wear and tear or pump operation that has deviated</w:t>
            </w:r>
            <w:r w:rsidR="00F17794">
              <w:t xml:space="preserve"> </w:t>
            </w:r>
            <w:r w:rsidRPr="008E1F76">
              <w:t>from the original design conditions.</w:t>
            </w:r>
          </w:p>
        </w:tc>
        <w:tc>
          <w:tcPr>
            <w:tcW w:w="2331" w:type="dxa"/>
            <w:shd w:val="pct5" w:color="000000" w:fill="FFFFFF"/>
          </w:tcPr>
          <w:p w:rsidR="001C31DE" w:rsidRPr="008E1F76" w:rsidRDefault="00F17794" w:rsidP="00F17794">
            <w:r w:rsidRPr="008E1F76">
              <w:t xml:space="preserve">The base case is an existing </w:t>
            </w:r>
            <w:r>
              <w:t xml:space="preserve">submersible well </w:t>
            </w:r>
            <w:r w:rsidRPr="008E1F76">
              <w:t>pump that is operating inefficiently due to general wear and tear or pump operation that has deviated</w:t>
            </w:r>
            <w:r>
              <w:t xml:space="preserve"> </w:t>
            </w:r>
            <w:r w:rsidRPr="008E1F76">
              <w:t>from the original design conditions.</w:t>
            </w:r>
          </w:p>
        </w:tc>
        <w:tc>
          <w:tcPr>
            <w:tcW w:w="2330" w:type="dxa"/>
            <w:shd w:val="pct5" w:color="000000" w:fill="FFFFFF"/>
          </w:tcPr>
          <w:p w:rsidR="001C31DE" w:rsidRPr="008E1F76" w:rsidRDefault="00F17794" w:rsidP="002435D9">
            <w:r w:rsidRPr="008E1F76">
              <w:t xml:space="preserve">The base case is an existing </w:t>
            </w:r>
            <w:r>
              <w:t xml:space="preserve">submersible booster </w:t>
            </w:r>
            <w:r w:rsidRPr="008E1F76">
              <w:t>pump that is operating inefficiently due to general wear and tear or pump operation that has deviated</w:t>
            </w:r>
            <w:r>
              <w:t xml:space="preserve"> </w:t>
            </w:r>
            <w:r w:rsidRPr="008E1F76">
              <w:t>from the original design conditions.</w:t>
            </w:r>
          </w:p>
        </w:tc>
        <w:tc>
          <w:tcPr>
            <w:tcW w:w="2331" w:type="dxa"/>
            <w:shd w:val="pct5" w:color="000000" w:fill="FFFFFF"/>
          </w:tcPr>
          <w:p w:rsidR="001C31DE" w:rsidRPr="008E1F76" w:rsidRDefault="00F17794" w:rsidP="002435D9">
            <w:r w:rsidRPr="008E1F76">
              <w:t xml:space="preserve">The base case is an existing </w:t>
            </w:r>
            <w:r>
              <w:t xml:space="preserve">turbine booster </w:t>
            </w:r>
            <w:r w:rsidRPr="008E1F76">
              <w:t>pump that is operating inefficiently due to general wear and tear or pump operation that has deviated</w:t>
            </w:r>
            <w:r>
              <w:t xml:space="preserve"> </w:t>
            </w:r>
            <w:r w:rsidRPr="008E1F76">
              <w:t>from the original design conditions.</w:t>
            </w:r>
          </w:p>
        </w:tc>
        <w:tc>
          <w:tcPr>
            <w:tcW w:w="2331" w:type="dxa"/>
            <w:shd w:val="pct5" w:color="000000" w:fill="FFFFFF"/>
          </w:tcPr>
          <w:p w:rsidR="001C31DE" w:rsidRPr="008E1F76" w:rsidRDefault="00F17794" w:rsidP="002435D9">
            <w:r w:rsidRPr="008E1F76">
              <w:t xml:space="preserve">The base case is an existing </w:t>
            </w:r>
            <w:r>
              <w:t xml:space="preserve">turbine well </w:t>
            </w:r>
            <w:r w:rsidRPr="008E1F76">
              <w:t>pump that is operating inefficiently due to general wear and tear or pump operation that has deviated</w:t>
            </w:r>
            <w:r>
              <w:t xml:space="preserve"> </w:t>
            </w:r>
            <w:r w:rsidRPr="008E1F76">
              <w:t>from the original design conditions.</w:t>
            </w:r>
          </w:p>
        </w:tc>
      </w:tr>
    </w:tbl>
    <w:p w:rsidR="00F17794" w:rsidRDefault="00F17794"/>
    <w:p w:rsidR="00F17794" w:rsidRDefault="00F17794"/>
    <w:p w:rsidR="00F17794" w:rsidRDefault="00F17794"/>
    <w:p w:rsidR="00F17794" w:rsidRPr="00F41A9B" w:rsidRDefault="00F17794" w:rsidP="00AD7A0D">
      <w:r w:rsidRPr="00AD7A0D">
        <w:rPr>
          <w:b/>
          <w:sz w:val="32"/>
        </w:rPr>
        <w:t xml:space="preserve">At-A-Glance Summary Table </w:t>
      </w:r>
      <w:r w:rsidRPr="00AD7A0D">
        <w:rPr>
          <w:sz w:val="32"/>
        </w:rPr>
        <w:t>(Continued)</w:t>
      </w:r>
    </w:p>
    <w:p w:rsidR="00F17794" w:rsidRDefault="00F17794"/>
    <w:tbl>
      <w:tblPr>
        <w:tblW w:w="13526" w:type="dxa"/>
        <w:tblBorders>
          <w:insideH w:val="single" w:sz="18" w:space="0" w:color="FFFFFF"/>
          <w:insideV w:val="single" w:sz="18" w:space="0" w:color="FFFFFF"/>
        </w:tblBorders>
        <w:tblLayout w:type="fixed"/>
        <w:tblLook w:val="01E0" w:firstRow="1" w:lastRow="1" w:firstColumn="1" w:lastColumn="1" w:noHBand="0" w:noVBand="0"/>
      </w:tblPr>
      <w:tblGrid>
        <w:gridCol w:w="2268"/>
        <w:gridCol w:w="2250"/>
        <w:gridCol w:w="2243"/>
        <w:gridCol w:w="9"/>
        <w:gridCol w:w="2233"/>
        <w:gridCol w:w="19"/>
        <w:gridCol w:w="2224"/>
        <w:gridCol w:w="28"/>
        <w:gridCol w:w="2215"/>
        <w:gridCol w:w="37"/>
      </w:tblGrid>
      <w:tr w:rsidR="00720907" w:rsidRPr="00805161" w:rsidTr="00AD7A0D">
        <w:trPr>
          <w:gridAfter w:val="1"/>
          <w:wAfter w:w="37" w:type="dxa"/>
          <w:trHeight w:val="452"/>
        </w:trPr>
        <w:tc>
          <w:tcPr>
            <w:tcW w:w="2268" w:type="dxa"/>
            <w:tcBorders>
              <w:bottom w:val="single" w:sz="18" w:space="0" w:color="FFFFFF"/>
              <w:right w:val="single" w:sz="18" w:space="0" w:color="FFFFFF"/>
            </w:tcBorders>
            <w:shd w:val="pct20" w:color="000000" w:fill="FFFFFF"/>
          </w:tcPr>
          <w:p w:rsidR="00F17794" w:rsidRPr="00AD7A0D" w:rsidRDefault="00F17794" w:rsidP="00AD7A0D">
            <w:pPr>
              <w:ind w:right="-18"/>
              <w:rPr>
                <w:b/>
              </w:rPr>
            </w:pPr>
            <w:r w:rsidRPr="00AD7A0D">
              <w:rPr>
                <w:b/>
              </w:rPr>
              <w:t>Applicable Measure Codes:</w:t>
            </w:r>
          </w:p>
        </w:tc>
        <w:tc>
          <w:tcPr>
            <w:tcW w:w="2250" w:type="dxa"/>
            <w:tcBorders>
              <w:left w:val="single" w:sz="18" w:space="0" w:color="FFFFFF"/>
              <w:bottom w:val="single" w:sz="18" w:space="0" w:color="FFFFFF"/>
              <w:right w:val="single" w:sz="18" w:space="0" w:color="FFFFFF"/>
            </w:tcBorders>
            <w:shd w:val="pct20" w:color="000000" w:fill="FFFFFF"/>
            <w:vAlign w:val="center"/>
          </w:tcPr>
          <w:p w:rsidR="00F17794" w:rsidRPr="00AD7A0D" w:rsidRDefault="00F17794" w:rsidP="00AD7A0D">
            <w:pPr>
              <w:jc w:val="center"/>
              <w:rPr>
                <w:b/>
              </w:rPr>
            </w:pPr>
            <w:r w:rsidRPr="00AD7A0D">
              <w:rPr>
                <w:b/>
              </w:rPr>
              <w:t>IR001</w:t>
            </w:r>
          </w:p>
        </w:tc>
        <w:tc>
          <w:tcPr>
            <w:tcW w:w="2243" w:type="dxa"/>
            <w:tcBorders>
              <w:left w:val="single" w:sz="18" w:space="0" w:color="FFFFFF"/>
              <w:bottom w:val="single" w:sz="18" w:space="0" w:color="FFFFFF"/>
              <w:right w:val="single" w:sz="18" w:space="0" w:color="FFFFFF"/>
            </w:tcBorders>
            <w:shd w:val="pct20" w:color="000000" w:fill="FFFFFF"/>
            <w:vAlign w:val="center"/>
          </w:tcPr>
          <w:p w:rsidR="00F17794" w:rsidRPr="00AD7A0D" w:rsidRDefault="00F17794" w:rsidP="00AD7A0D">
            <w:pPr>
              <w:jc w:val="center"/>
              <w:rPr>
                <w:b/>
              </w:rPr>
            </w:pPr>
            <w:r w:rsidRPr="00AD7A0D">
              <w:rPr>
                <w:b/>
              </w:rPr>
              <w:t>IR002</w:t>
            </w:r>
          </w:p>
        </w:tc>
        <w:tc>
          <w:tcPr>
            <w:tcW w:w="2242" w:type="dxa"/>
            <w:gridSpan w:val="2"/>
            <w:tcBorders>
              <w:left w:val="single" w:sz="18" w:space="0" w:color="FFFFFF"/>
              <w:bottom w:val="single" w:sz="18" w:space="0" w:color="FFFFFF"/>
              <w:right w:val="single" w:sz="18" w:space="0" w:color="FFFFFF"/>
            </w:tcBorders>
            <w:shd w:val="pct20" w:color="000000" w:fill="FFFFFF"/>
            <w:vAlign w:val="center"/>
          </w:tcPr>
          <w:p w:rsidR="00F17794" w:rsidRPr="00AD7A0D" w:rsidRDefault="00F17794" w:rsidP="00AD7A0D">
            <w:pPr>
              <w:jc w:val="center"/>
              <w:rPr>
                <w:b/>
              </w:rPr>
            </w:pPr>
            <w:r w:rsidRPr="00AD7A0D">
              <w:rPr>
                <w:b/>
              </w:rPr>
              <w:t>IR003</w:t>
            </w:r>
          </w:p>
        </w:tc>
        <w:tc>
          <w:tcPr>
            <w:tcW w:w="2243" w:type="dxa"/>
            <w:gridSpan w:val="2"/>
            <w:tcBorders>
              <w:left w:val="single" w:sz="18" w:space="0" w:color="FFFFFF"/>
              <w:bottom w:val="single" w:sz="18" w:space="0" w:color="FFFFFF"/>
              <w:right w:val="single" w:sz="18" w:space="0" w:color="FFFFFF"/>
            </w:tcBorders>
            <w:shd w:val="pct20" w:color="000000" w:fill="FFFFFF"/>
            <w:vAlign w:val="center"/>
          </w:tcPr>
          <w:p w:rsidR="00F17794" w:rsidRPr="00AD7A0D" w:rsidRDefault="00F17794" w:rsidP="00AD7A0D">
            <w:pPr>
              <w:jc w:val="center"/>
              <w:rPr>
                <w:b/>
              </w:rPr>
            </w:pPr>
            <w:r w:rsidRPr="00AD7A0D">
              <w:rPr>
                <w:b/>
              </w:rPr>
              <w:t>IR004</w:t>
            </w:r>
          </w:p>
        </w:tc>
        <w:tc>
          <w:tcPr>
            <w:tcW w:w="2243" w:type="dxa"/>
            <w:gridSpan w:val="2"/>
            <w:tcBorders>
              <w:left w:val="single" w:sz="18" w:space="0" w:color="FFFFFF"/>
              <w:bottom w:val="single" w:sz="18" w:space="0" w:color="FFFFFF"/>
            </w:tcBorders>
            <w:shd w:val="pct20" w:color="000000" w:fill="FFFFFF"/>
            <w:vAlign w:val="center"/>
          </w:tcPr>
          <w:p w:rsidR="00F17794" w:rsidRPr="00AD7A0D" w:rsidRDefault="00F17794" w:rsidP="00AD7A0D">
            <w:pPr>
              <w:jc w:val="center"/>
              <w:rPr>
                <w:b/>
              </w:rPr>
            </w:pPr>
            <w:r w:rsidRPr="00AD7A0D">
              <w:rPr>
                <w:b/>
              </w:rPr>
              <w:t>IR005</w:t>
            </w:r>
          </w:p>
        </w:tc>
      </w:tr>
      <w:tr w:rsidR="00720907" w:rsidRPr="00805161" w:rsidTr="00AD7A0D">
        <w:trPr>
          <w:gridAfter w:val="1"/>
          <w:wAfter w:w="37" w:type="dxa"/>
          <w:trHeight w:val="452"/>
        </w:trPr>
        <w:tc>
          <w:tcPr>
            <w:tcW w:w="2268" w:type="dxa"/>
            <w:shd w:val="clear" w:color="auto" w:fill="F2F2F2" w:themeFill="background1" w:themeFillShade="F2"/>
          </w:tcPr>
          <w:p w:rsidR="002435D9" w:rsidRPr="00805161" w:rsidRDefault="002435D9" w:rsidP="00E35EAA">
            <w:r w:rsidRPr="00805161">
              <w:t xml:space="preserve">Base Case Energy Consumption: </w:t>
            </w:r>
          </w:p>
        </w:tc>
        <w:tc>
          <w:tcPr>
            <w:tcW w:w="2250" w:type="dxa"/>
            <w:shd w:val="clear" w:color="auto" w:fill="F2F2F2" w:themeFill="background1" w:themeFillShade="F2"/>
            <w:vAlign w:val="center"/>
          </w:tcPr>
          <w:p w:rsidR="002435D9" w:rsidRDefault="002435D9" w:rsidP="00AD7A0D">
            <w:pPr>
              <w:jc w:val="center"/>
            </w:pPr>
            <w:r>
              <w:t>Varies based on climate zone.</w:t>
            </w:r>
          </w:p>
          <w:p w:rsidR="002435D9" w:rsidRPr="00805161" w:rsidRDefault="002435D9" w:rsidP="00AD7A0D">
            <w:pPr>
              <w:jc w:val="center"/>
            </w:pPr>
          </w:p>
        </w:tc>
        <w:tc>
          <w:tcPr>
            <w:tcW w:w="2243" w:type="dxa"/>
            <w:shd w:val="clear" w:color="auto" w:fill="F2F2F2" w:themeFill="background1" w:themeFillShade="F2"/>
            <w:vAlign w:val="center"/>
          </w:tcPr>
          <w:p w:rsidR="002435D9" w:rsidRDefault="002435D9" w:rsidP="00AD7A0D">
            <w:pPr>
              <w:jc w:val="center"/>
            </w:pPr>
            <w:r>
              <w:t>Varies based on climate zone.</w:t>
            </w:r>
          </w:p>
          <w:p w:rsidR="002435D9" w:rsidRDefault="002435D9" w:rsidP="00AD7A0D">
            <w:pPr>
              <w:jc w:val="center"/>
            </w:pPr>
          </w:p>
        </w:tc>
        <w:tc>
          <w:tcPr>
            <w:tcW w:w="2242" w:type="dxa"/>
            <w:gridSpan w:val="2"/>
            <w:shd w:val="clear" w:color="auto" w:fill="F2F2F2" w:themeFill="background1" w:themeFillShade="F2"/>
            <w:vAlign w:val="center"/>
          </w:tcPr>
          <w:p w:rsidR="002435D9" w:rsidRDefault="002435D9" w:rsidP="00AD7A0D">
            <w:pPr>
              <w:jc w:val="center"/>
            </w:pPr>
            <w:r>
              <w:t>Varies based on climate zone.</w:t>
            </w:r>
          </w:p>
          <w:p w:rsidR="002435D9" w:rsidRDefault="002435D9" w:rsidP="00AD7A0D">
            <w:pPr>
              <w:jc w:val="center"/>
            </w:pPr>
          </w:p>
        </w:tc>
        <w:tc>
          <w:tcPr>
            <w:tcW w:w="2243" w:type="dxa"/>
            <w:gridSpan w:val="2"/>
            <w:shd w:val="clear" w:color="auto" w:fill="F2F2F2" w:themeFill="background1" w:themeFillShade="F2"/>
            <w:vAlign w:val="center"/>
          </w:tcPr>
          <w:p w:rsidR="002435D9" w:rsidRDefault="002435D9" w:rsidP="00AD7A0D">
            <w:pPr>
              <w:jc w:val="center"/>
            </w:pPr>
            <w:r>
              <w:t>Varies based on climate zone.</w:t>
            </w:r>
          </w:p>
          <w:p w:rsidR="002435D9" w:rsidRDefault="002435D9" w:rsidP="00AD7A0D">
            <w:pPr>
              <w:jc w:val="center"/>
            </w:pPr>
          </w:p>
        </w:tc>
        <w:tc>
          <w:tcPr>
            <w:tcW w:w="2243" w:type="dxa"/>
            <w:gridSpan w:val="2"/>
            <w:shd w:val="clear" w:color="auto" w:fill="F2F2F2" w:themeFill="background1" w:themeFillShade="F2"/>
            <w:vAlign w:val="center"/>
          </w:tcPr>
          <w:p w:rsidR="002435D9" w:rsidRDefault="002435D9" w:rsidP="00AD7A0D">
            <w:pPr>
              <w:jc w:val="center"/>
            </w:pPr>
            <w:r>
              <w:t>Varies based on climate zone.</w:t>
            </w:r>
          </w:p>
          <w:p w:rsidR="002435D9" w:rsidRDefault="002435D9" w:rsidP="00AD7A0D">
            <w:pPr>
              <w:jc w:val="center"/>
            </w:pPr>
          </w:p>
        </w:tc>
      </w:tr>
      <w:tr w:rsidR="00720907" w:rsidRPr="00805161" w:rsidTr="00AD7A0D">
        <w:trPr>
          <w:gridAfter w:val="1"/>
          <w:wAfter w:w="37" w:type="dxa"/>
          <w:trHeight w:val="452"/>
        </w:trPr>
        <w:tc>
          <w:tcPr>
            <w:tcW w:w="2268" w:type="dxa"/>
            <w:shd w:val="clear" w:color="auto" w:fill="BFBFBF" w:themeFill="background1" w:themeFillShade="BF"/>
          </w:tcPr>
          <w:p w:rsidR="002435D9" w:rsidRPr="00805161" w:rsidRDefault="002435D9" w:rsidP="00E35EAA">
            <w:r w:rsidRPr="00805161">
              <w:t>Measure Energy Consumption:</w:t>
            </w:r>
          </w:p>
        </w:tc>
        <w:tc>
          <w:tcPr>
            <w:tcW w:w="2250" w:type="dxa"/>
            <w:shd w:val="clear" w:color="auto" w:fill="BFBFBF" w:themeFill="background1" w:themeFillShade="BF"/>
            <w:vAlign w:val="center"/>
          </w:tcPr>
          <w:p w:rsidR="002435D9" w:rsidRDefault="002435D9" w:rsidP="00AD7A0D">
            <w:pPr>
              <w:jc w:val="center"/>
            </w:pPr>
            <w:r>
              <w:t>Varies based on climate zone.</w:t>
            </w:r>
          </w:p>
          <w:p w:rsidR="002435D9" w:rsidRPr="00805161" w:rsidRDefault="002435D9" w:rsidP="00AD7A0D">
            <w:pPr>
              <w:jc w:val="center"/>
            </w:pPr>
          </w:p>
        </w:tc>
        <w:tc>
          <w:tcPr>
            <w:tcW w:w="2243" w:type="dxa"/>
            <w:shd w:val="clear" w:color="auto" w:fill="BFBFBF" w:themeFill="background1" w:themeFillShade="BF"/>
            <w:vAlign w:val="center"/>
          </w:tcPr>
          <w:p w:rsidR="002435D9" w:rsidRDefault="002435D9" w:rsidP="00AD7A0D">
            <w:pPr>
              <w:jc w:val="center"/>
            </w:pPr>
            <w:r>
              <w:t>Varies based on climate zone.</w:t>
            </w:r>
          </w:p>
          <w:p w:rsidR="002435D9" w:rsidRDefault="002435D9" w:rsidP="00AD7A0D">
            <w:pPr>
              <w:jc w:val="center"/>
            </w:pPr>
          </w:p>
        </w:tc>
        <w:tc>
          <w:tcPr>
            <w:tcW w:w="2242" w:type="dxa"/>
            <w:gridSpan w:val="2"/>
            <w:shd w:val="clear" w:color="auto" w:fill="BFBFBF" w:themeFill="background1" w:themeFillShade="BF"/>
            <w:vAlign w:val="center"/>
          </w:tcPr>
          <w:p w:rsidR="002435D9" w:rsidRDefault="002435D9" w:rsidP="00AD7A0D">
            <w:pPr>
              <w:jc w:val="center"/>
            </w:pPr>
            <w:r>
              <w:t>Varies based on climate zone.</w:t>
            </w:r>
          </w:p>
          <w:p w:rsidR="002435D9" w:rsidRDefault="002435D9" w:rsidP="00AD7A0D">
            <w:pPr>
              <w:jc w:val="center"/>
            </w:pPr>
          </w:p>
        </w:tc>
        <w:tc>
          <w:tcPr>
            <w:tcW w:w="2243" w:type="dxa"/>
            <w:gridSpan w:val="2"/>
            <w:shd w:val="clear" w:color="auto" w:fill="BFBFBF" w:themeFill="background1" w:themeFillShade="BF"/>
            <w:vAlign w:val="center"/>
          </w:tcPr>
          <w:p w:rsidR="002435D9" w:rsidRDefault="002435D9" w:rsidP="00AD7A0D">
            <w:pPr>
              <w:jc w:val="center"/>
            </w:pPr>
            <w:r>
              <w:t>Varies based on climate zone.</w:t>
            </w:r>
          </w:p>
          <w:p w:rsidR="002435D9" w:rsidRDefault="002435D9" w:rsidP="00AD7A0D">
            <w:pPr>
              <w:jc w:val="center"/>
            </w:pPr>
          </w:p>
        </w:tc>
        <w:tc>
          <w:tcPr>
            <w:tcW w:w="2243" w:type="dxa"/>
            <w:gridSpan w:val="2"/>
            <w:shd w:val="clear" w:color="auto" w:fill="BFBFBF" w:themeFill="background1" w:themeFillShade="BF"/>
            <w:vAlign w:val="center"/>
          </w:tcPr>
          <w:p w:rsidR="002435D9" w:rsidRDefault="002435D9" w:rsidP="00AD7A0D">
            <w:pPr>
              <w:jc w:val="center"/>
            </w:pPr>
            <w:r>
              <w:t>Varies based on climate zone.</w:t>
            </w:r>
          </w:p>
          <w:p w:rsidR="002435D9" w:rsidRDefault="002435D9" w:rsidP="00AD7A0D">
            <w:pPr>
              <w:jc w:val="center"/>
            </w:pPr>
          </w:p>
        </w:tc>
      </w:tr>
      <w:tr w:rsidR="00720907" w:rsidRPr="00805161" w:rsidTr="00AD7A0D">
        <w:trPr>
          <w:gridAfter w:val="1"/>
          <w:wAfter w:w="37" w:type="dxa"/>
          <w:trHeight w:val="452"/>
        </w:trPr>
        <w:tc>
          <w:tcPr>
            <w:tcW w:w="2268" w:type="dxa"/>
            <w:shd w:val="clear" w:color="auto" w:fill="F2F2F2" w:themeFill="background1" w:themeFillShade="F2"/>
          </w:tcPr>
          <w:p w:rsidR="002435D9" w:rsidRPr="00805161" w:rsidRDefault="002435D9" w:rsidP="00E35EAA">
            <w:r w:rsidRPr="00805161">
              <w:t>Energy Savings (Base Case – Measure)</w:t>
            </w:r>
          </w:p>
        </w:tc>
        <w:tc>
          <w:tcPr>
            <w:tcW w:w="2250" w:type="dxa"/>
            <w:shd w:val="clear" w:color="auto" w:fill="F2F2F2" w:themeFill="background1" w:themeFillShade="F2"/>
            <w:vAlign w:val="center"/>
          </w:tcPr>
          <w:p w:rsidR="002435D9" w:rsidRDefault="002435D9" w:rsidP="00AD7A0D">
            <w:pPr>
              <w:jc w:val="center"/>
            </w:pPr>
            <w:r>
              <w:t>Varies based on climate zone.</w:t>
            </w:r>
          </w:p>
          <w:p w:rsidR="002435D9" w:rsidRPr="00805161" w:rsidRDefault="002435D9" w:rsidP="00AD7A0D">
            <w:pPr>
              <w:jc w:val="center"/>
            </w:pPr>
          </w:p>
        </w:tc>
        <w:tc>
          <w:tcPr>
            <w:tcW w:w="2243" w:type="dxa"/>
            <w:shd w:val="clear" w:color="auto" w:fill="F2F2F2" w:themeFill="background1" w:themeFillShade="F2"/>
            <w:vAlign w:val="center"/>
          </w:tcPr>
          <w:p w:rsidR="002435D9" w:rsidRDefault="002435D9" w:rsidP="00AD7A0D">
            <w:pPr>
              <w:jc w:val="center"/>
            </w:pPr>
            <w:r>
              <w:t>Varies based on climate zone.</w:t>
            </w:r>
          </w:p>
          <w:p w:rsidR="002435D9" w:rsidRDefault="002435D9" w:rsidP="00AD7A0D">
            <w:pPr>
              <w:jc w:val="center"/>
            </w:pPr>
          </w:p>
        </w:tc>
        <w:tc>
          <w:tcPr>
            <w:tcW w:w="2242" w:type="dxa"/>
            <w:gridSpan w:val="2"/>
            <w:shd w:val="clear" w:color="auto" w:fill="F2F2F2" w:themeFill="background1" w:themeFillShade="F2"/>
            <w:vAlign w:val="center"/>
          </w:tcPr>
          <w:p w:rsidR="002435D9" w:rsidRDefault="002435D9" w:rsidP="00AD7A0D">
            <w:pPr>
              <w:jc w:val="center"/>
            </w:pPr>
            <w:r w:rsidRPr="00262E64">
              <w:t>Varies based on climate zone.</w:t>
            </w:r>
          </w:p>
        </w:tc>
        <w:tc>
          <w:tcPr>
            <w:tcW w:w="2243" w:type="dxa"/>
            <w:gridSpan w:val="2"/>
            <w:shd w:val="clear" w:color="auto" w:fill="F2F2F2" w:themeFill="background1" w:themeFillShade="F2"/>
            <w:vAlign w:val="center"/>
          </w:tcPr>
          <w:p w:rsidR="002435D9" w:rsidRDefault="002435D9" w:rsidP="00AD7A0D">
            <w:pPr>
              <w:jc w:val="center"/>
            </w:pPr>
            <w:r w:rsidRPr="00262E64">
              <w:t>Varies based on climate zone.</w:t>
            </w:r>
          </w:p>
        </w:tc>
        <w:tc>
          <w:tcPr>
            <w:tcW w:w="2243" w:type="dxa"/>
            <w:gridSpan w:val="2"/>
            <w:shd w:val="clear" w:color="auto" w:fill="F2F2F2" w:themeFill="background1" w:themeFillShade="F2"/>
            <w:vAlign w:val="center"/>
          </w:tcPr>
          <w:p w:rsidR="002435D9" w:rsidRDefault="002435D9" w:rsidP="00AD7A0D">
            <w:pPr>
              <w:jc w:val="center"/>
            </w:pPr>
            <w:r w:rsidRPr="00262E64">
              <w:t>Varies based on climate zone.</w:t>
            </w:r>
          </w:p>
        </w:tc>
      </w:tr>
      <w:tr w:rsidR="00720907" w:rsidRPr="00805161" w:rsidTr="00AD7A0D">
        <w:trPr>
          <w:gridAfter w:val="1"/>
          <w:wAfter w:w="37" w:type="dxa"/>
          <w:trHeight w:val="452"/>
        </w:trPr>
        <w:tc>
          <w:tcPr>
            <w:tcW w:w="2268" w:type="dxa"/>
            <w:shd w:val="clear" w:color="auto" w:fill="BFBFBF" w:themeFill="background1" w:themeFillShade="BF"/>
          </w:tcPr>
          <w:p w:rsidR="001C31DE" w:rsidRPr="008729BA" w:rsidRDefault="001C31DE" w:rsidP="00E35EAA">
            <w:r w:rsidRPr="008729BA">
              <w:t xml:space="preserve">Costs Common Units: </w:t>
            </w:r>
          </w:p>
        </w:tc>
        <w:tc>
          <w:tcPr>
            <w:tcW w:w="2250" w:type="dxa"/>
            <w:shd w:val="clear" w:color="auto" w:fill="BFBFBF" w:themeFill="background1" w:themeFillShade="BF"/>
          </w:tcPr>
          <w:p w:rsidR="001C31DE" w:rsidRPr="008729BA" w:rsidRDefault="001C31DE" w:rsidP="00AD7A0D">
            <w:pPr>
              <w:jc w:val="center"/>
            </w:pPr>
            <w:r w:rsidRPr="008729BA">
              <w:t xml:space="preserve">Cost per </w:t>
            </w:r>
            <w:proofErr w:type="spellStart"/>
            <w:r w:rsidR="008729BA" w:rsidRPr="00AD7A0D">
              <w:t>hp</w:t>
            </w:r>
            <w:proofErr w:type="spellEnd"/>
          </w:p>
        </w:tc>
        <w:tc>
          <w:tcPr>
            <w:tcW w:w="2243" w:type="dxa"/>
            <w:shd w:val="clear" w:color="auto" w:fill="BFBFBF" w:themeFill="background1" w:themeFillShade="BF"/>
          </w:tcPr>
          <w:p w:rsidR="001C31DE" w:rsidRDefault="008729BA" w:rsidP="00AD7A0D">
            <w:pPr>
              <w:jc w:val="center"/>
            </w:pPr>
            <w:r w:rsidRPr="008729BA">
              <w:t xml:space="preserve">Cost per </w:t>
            </w:r>
            <w:proofErr w:type="spellStart"/>
            <w:r w:rsidRPr="00466C8D">
              <w:t>hp</w:t>
            </w:r>
            <w:proofErr w:type="spellEnd"/>
          </w:p>
        </w:tc>
        <w:tc>
          <w:tcPr>
            <w:tcW w:w="2242" w:type="dxa"/>
            <w:gridSpan w:val="2"/>
            <w:shd w:val="clear" w:color="auto" w:fill="BFBFBF" w:themeFill="background1" w:themeFillShade="BF"/>
          </w:tcPr>
          <w:p w:rsidR="001C31DE" w:rsidRDefault="008729BA" w:rsidP="00AD7A0D">
            <w:pPr>
              <w:jc w:val="center"/>
            </w:pPr>
            <w:r w:rsidRPr="008729BA">
              <w:t xml:space="preserve">Cost per </w:t>
            </w:r>
            <w:proofErr w:type="spellStart"/>
            <w:r w:rsidRPr="00466C8D">
              <w:t>hp</w:t>
            </w:r>
            <w:proofErr w:type="spellEnd"/>
          </w:p>
        </w:tc>
        <w:tc>
          <w:tcPr>
            <w:tcW w:w="2243" w:type="dxa"/>
            <w:gridSpan w:val="2"/>
            <w:shd w:val="clear" w:color="auto" w:fill="BFBFBF" w:themeFill="background1" w:themeFillShade="BF"/>
          </w:tcPr>
          <w:p w:rsidR="001C31DE" w:rsidRDefault="008729BA" w:rsidP="00AD7A0D">
            <w:pPr>
              <w:jc w:val="center"/>
            </w:pPr>
            <w:r w:rsidRPr="008729BA">
              <w:t xml:space="preserve">Cost per </w:t>
            </w:r>
            <w:proofErr w:type="spellStart"/>
            <w:r w:rsidRPr="00466C8D">
              <w:t>hp</w:t>
            </w:r>
            <w:proofErr w:type="spellEnd"/>
          </w:p>
        </w:tc>
        <w:tc>
          <w:tcPr>
            <w:tcW w:w="2243" w:type="dxa"/>
            <w:gridSpan w:val="2"/>
            <w:shd w:val="clear" w:color="auto" w:fill="BFBFBF" w:themeFill="background1" w:themeFillShade="BF"/>
          </w:tcPr>
          <w:p w:rsidR="001C31DE" w:rsidRDefault="008729BA" w:rsidP="00AD7A0D">
            <w:pPr>
              <w:jc w:val="center"/>
            </w:pPr>
            <w:r w:rsidRPr="008729BA">
              <w:t xml:space="preserve">Cost per </w:t>
            </w:r>
            <w:proofErr w:type="spellStart"/>
            <w:r w:rsidRPr="00466C8D">
              <w:t>hp</w:t>
            </w:r>
            <w:proofErr w:type="spellEnd"/>
          </w:p>
        </w:tc>
      </w:tr>
      <w:tr w:rsidR="00720907" w:rsidRPr="00805161" w:rsidTr="00AD7A0D">
        <w:trPr>
          <w:gridAfter w:val="1"/>
          <w:wAfter w:w="37" w:type="dxa"/>
          <w:trHeight w:val="452"/>
        </w:trPr>
        <w:tc>
          <w:tcPr>
            <w:tcW w:w="2268" w:type="dxa"/>
            <w:shd w:val="clear" w:color="auto" w:fill="F2F2F2" w:themeFill="background1" w:themeFillShade="F2"/>
          </w:tcPr>
          <w:p w:rsidR="001C31DE" w:rsidRPr="00805161" w:rsidRDefault="001C31DE" w:rsidP="00E35EAA">
            <w:r w:rsidRPr="00805161">
              <w:t>Base Case Equipment Cost ($/unit):</w:t>
            </w:r>
          </w:p>
        </w:tc>
        <w:tc>
          <w:tcPr>
            <w:tcW w:w="2250" w:type="dxa"/>
            <w:shd w:val="clear" w:color="auto" w:fill="F2F2F2" w:themeFill="background1" w:themeFillShade="F2"/>
          </w:tcPr>
          <w:p w:rsidR="001C31DE" w:rsidRPr="00805161" w:rsidRDefault="001C31DE" w:rsidP="00E35EAA">
            <w:r>
              <w:t>Existing equipment</w:t>
            </w:r>
            <w:r w:rsidRPr="00805161">
              <w:t>.</w:t>
            </w:r>
          </w:p>
          <w:p w:rsidR="001C31DE" w:rsidRPr="00805161" w:rsidRDefault="001C31DE" w:rsidP="00E35EAA">
            <w:r w:rsidRPr="00805161">
              <w:t>$0.0</w:t>
            </w:r>
          </w:p>
        </w:tc>
        <w:tc>
          <w:tcPr>
            <w:tcW w:w="2243" w:type="dxa"/>
            <w:shd w:val="clear" w:color="auto" w:fill="F2F2F2" w:themeFill="background1" w:themeFillShade="F2"/>
          </w:tcPr>
          <w:p w:rsidR="00303DF7" w:rsidRPr="00805161" w:rsidRDefault="00303DF7" w:rsidP="00303DF7">
            <w:r>
              <w:t>Existing equipment</w:t>
            </w:r>
            <w:r w:rsidRPr="00805161">
              <w:t>.</w:t>
            </w:r>
          </w:p>
          <w:p w:rsidR="001C31DE" w:rsidRDefault="00303DF7" w:rsidP="00303DF7">
            <w:r w:rsidRPr="00805161">
              <w:t>$0.0</w:t>
            </w:r>
          </w:p>
        </w:tc>
        <w:tc>
          <w:tcPr>
            <w:tcW w:w="2242" w:type="dxa"/>
            <w:gridSpan w:val="2"/>
            <w:shd w:val="clear" w:color="auto" w:fill="F2F2F2" w:themeFill="background1" w:themeFillShade="F2"/>
          </w:tcPr>
          <w:p w:rsidR="00303DF7" w:rsidRPr="00805161" w:rsidRDefault="00303DF7" w:rsidP="00303DF7">
            <w:r>
              <w:t>Existing equipment</w:t>
            </w:r>
            <w:r w:rsidRPr="00805161">
              <w:t>.</w:t>
            </w:r>
          </w:p>
          <w:p w:rsidR="001C31DE" w:rsidRDefault="00303DF7" w:rsidP="00303DF7">
            <w:r w:rsidRPr="00805161">
              <w:t>$0.0</w:t>
            </w:r>
          </w:p>
        </w:tc>
        <w:tc>
          <w:tcPr>
            <w:tcW w:w="2243" w:type="dxa"/>
            <w:gridSpan w:val="2"/>
            <w:shd w:val="clear" w:color="auto" w:fill="F2F2F2" w:themeFill="background1" w:themeFillShade="F2"/>
          </w:tcPr>
          <w:p w:rsidR="00303DF7" w:rsidRPr="00805161" w:rsidRDefault="00303DF7" w:rsidP="00303DF7">
            <w:r>
              <w:t>Existing equipment</w:t>
            </w:r>
            <w:r w:rsidRPr="00805161">
              <w:t>.</w:t>
            </w:r>
          </w:p>
          <w:p w:rsidR="001C31DE" w:rsidRDefault="00303DF7" w:rsidP="00303DF7">
            <w:r w:rsidRPr="00805161">
              <w:t>$0.0</w:t>
            </w:r>
          </w:p>
        </w:tc>
        <w:tc>
          <w:tcPr>
            <w:tcW w:w="2243" w:type="dxa"/>
            <w:gridSpan w:val="2"/>
            <w:shd w:val="clear" w:color="auto" w:fill="F2F2F2" w:themeFill="background1" w:themeFillShade="F2"/>
          </w:tcPr>
          <w:p w:rsidR="00303DF7" w:rsidRPr="00805161" w:rsidRDefault="00303DF7" w:rsidP="00303DF7">
            <w:r>
              <w:t>Existing equipment</w:t>
            </w:r>
            <w:r w:rsidRPr="00805161">
              <w:t>.</w:t>
            </w:r>
          </w:p>
          <w:p w:rsidR="001C31DE" w:rsidRDefault="00303DF7" w:rsidP="00303DF7">
            <w:r w:rsidRPr="00805161">
              <w:t>$0.0</w:t>
            </w:r>
          </w:p>
        </w:tc>
      </w:tr>
      <w:tr w:rsidR="00720907" w:rsidRPr="00805161" w:rsidTr="00AD7A0D">
        <w:trPr>
          <w:gridAfter w:val="1"/>
          <w:wAfter w:w="37" w:type="dxa"/>
          <w:trHeight w:val="997"/>
        </w:trPr>
        <w:tc>
          <w:tcPr>
            <w:tcW w:w="2268" w:type="dxa"/>
            <w:shd w:val="clear" w:color="auto" w:fill="BFBFBF" w:themeFill="background1" w:themeFillShade="BF"/>
          </w:tcPr>
          <w:p w:rsidR="001C31DE" w:rsidRPr="00805161" w:rsidRDefault="001C31DE" w:rsidP="00E35EAA">
            <w:r w:rsidRPr="00805161">
              <w:t xml:space="preserve">Measure Equipment Cost ($/unit): </w:t>
            </w:r>
          </w:p>
        </w:tc>
        <w:tc>
          <w:tcPr>
            <w:tcW w:w="2250" w:type="dxa"/>
            <w:shd w:val="clear" w:color="auto" w:fill="BFBFBF" w:themeFill="background1" w:themeFillShade="BF"/>
          </w:tcPr>
          <w:p w:rsidR="001C31DE" w:rsidRPr="00805161" w:rsidRDefault="001C31DE" w:rsidP="00E35EAA">
            <w:r w:rsidRPr="00805161">
              <w:t>Source: cost data obtain</w:t>
            </w:r>
            <w:r>
              <w:t>ed</w:t>
            </w:r>
            <w:r w:rsidRPr="00805161">
              <w:t xml:space="preserve"> from various </w:t>
            </w:r>
            <w:r>
              <w:t>implemented pump overhaul projects.</w:t>
            </w:r>
            <w:r w:rsidRPr="00805161">
              <w:fldChar w:fldCharType="begin"/>
            </w:r>
            <w:r w:rsidRPr="00805161">
              <w:instrText xml:space="preserve"> XE "DEER" </w:instrText>
            </w:r>
            <w:r w:rsidRPr="00805161">
              <w:fldChar w:fldCharType="end"/>
            </w:r>
          </w:p>
        </w:tc>
        <w:tc>
          <w:tcPr>
            <w:tcW w:w="2243" w:type="dxa"/>
            <w:shd w:val="clear" w:color="auto" w:fill="BFBFBF" w:themeFill="background1" w:themeFillShade="BF"/>
          </w:tcPr>
          <w:p w:rsidR="001C31DE" w:rsidRDefault="002435D9" w:rsidP="00E35EAA">
            <w:r w:rsidRPr="00805161">
              <w:t>Source: cost data obtain</w:t>
            </w:r>
            <w:r>
              <w:t>ed</w:t>
            </w:r>
            <w:r w:rsidRPr="00805161">
              <w:t xml:space="preserve"> from various </w:t>
            </w:r>
            <w:r>
              <w:t>implemented pump overhaul projects.</w:t>
            </w:r>
          </w:p>
        </w:tc>
        <w:tc>
          <w:tcPr>
            <w:tcW w:w="2242" w:type="dxa"/>
            <w:gridSpan w:val="2"/>
            <w:shd w:val="clear" w:color="auto" w:fill="BFBFBF" w:themeFill="background1" w:themeFillShade="BF"/>
          </w:tcPr>
          <w:p w:rsidR="001C31DE" w:rsidRDefault="002435D9" w:rsidP="00E35EAA">
            <w:r w:rsidRPr="00805161">
              <w:t>Source: cost data obtain</w:t>
            </w:r>
            <w:r>
              <w:t>ed</w:t>
            </w:r>
            <w:r w:rsidRPr="00805161">
              <w:t xml:space="preserve"> from various </w:t>
            </w:r>
            <w:r>
              <w:t>implemented pump overhaul projects.</w:t>
            </w:r>
          </w:p>
        </w:tc>
        <w:tc>
          <w:tcPr>
            <w:tcW w:w="2243" w:type="dxa"/>
            <w:gridSpan w:val="2"/>
            <w:shd w:val="clear" w:color="auto" w:fill="BFBFBF" w:themeFill="background1" w:themeFillShade="BF"/>
          </w:tcPr>
          <w:p w:rsidR="001C31DE" w:rsidRDefault="002435D9" w:rsidP="00E35EAA">
            <w:r w:rsidRPr="00805161">
              <w:t>Source: cost data obtain</w:t>
            </w:r>
            <w:r>
              <w:t>ed</w:t>
            </w:r>
            <w:r w:rsidRPr="00805161">
              <w:t xml:space="preserve"> from various </w:t>
            </w:r>
            <w:r>
              <w:t>implemented pump overhaul projects.</w:t>
            </w:r>
          </w:p>
        </w:tc>
        <w:tc>
          <w:tcPr>
            <w:tcW w:w="2243" w:type="dxa"/>
            <w:gridSpan w:val="2"/>
            <w:shd w:val="clear" w:color="auto" w:fill="BFBFBF" w:themeFill="background1" w:themeFillShade="BF"/>
          </w:tcPr>
          <w:p w:rsidR="001C31DE" w:rsidRDefault="002435D9" w:rsidP="00E35EAA">
            <w:r w:rsidRPr="00805161">
              <w:t>Source: cost data obtain</w:t>
            </w:r>
            <w:r>
              <w:t>ed</w:t>
            </w:r>
            <w:r w:rsidRPr="00805161">
              <w:t xml:space="preserve"> from various </w:t>
            </w:r>
            <w:r>
              <w:t>implemented pump overhaul projects.</w:t>
            </w:r>
          </w:p>
        </w:tc>
      </w:tr>
      <w:tr w:rsidR="00720907" w:rsidRPr="00805161" w:rsidTr="00AD7A0D">
        <w:trPr>
          <w:gridAfter w:val="1"/>
          <w:wAfter w:w="37" w:type="dxa"/>
          <w:trHeight w:val="935"/>
        </w:trPr>
        <w:tc>
          <w:tcPr>
            <w:tcW w:w="2268" w:type="dxa"/>
            <w:shd w:val="clear" w:color="auto" w:fill="F2F2F2" w:themeFill="background1" w:themeFillShade="F2"/>
          </w:tcPr>
          <w:p w:rsidR="00303DF7" w:rsidRPr="00805161" w:rsidRDefault="00303DF7" w:rsidP="00E35EAA">
            <w:bookmarkStart w:id="5" w:name="OLE_LINK1"/>
            <w:r w:rsidRPr="00805161">
              <w:t xml:space="preserve">Measure Incremental Cost ($/unit): </w:t>
            </w:r>
            <w:bookmarkEnd w:id="5"/>
          </w:p>
        </w:tc>
        <w:tc>
          <w:tcPr>
            <w:tcW w:w="2250" w:type="dxa"/>
            <w:shd w:val="clear" w:color="auto" w:fill="F2F2F2" w:themeFill="background1" w:themeFillShade="F2"/>
          </w:tcPr>
          <w:p w:rsidR="00303DF7" w:rsidRPr="00805161" w:rsidRDefault="00303DF7" w:rsidP="00E35EAA">
            <w:r w:rsidRPr="00805161">
              <w:t>Source: cost data obtain</w:t>
            </w:r>
            <w:r>
              <w:t>ed</w:t>
            </w:r>
            <w:r w:rsidRPr="00805161">
              <w:t xml:space="preserve"> from various </w:t>
            </w:r>
            <w:r>
              <w:t>implemented pump overhaul projects.</w:t>
            </w:r>
            <w:r w:rsidRPr="00805161">
              <w:fldChar w:fldCharType="begin"/>
            </w:r>
            <w:r w:rsidRPr="00805161">
              <w:instrText xml:space="preserve"> XE "DEER" </w:instrText>
            </w:r>
            <w:r w:rsidRPr="00805161">
              <w:fldChar w:fldCharType="end"/>
            </w:r>
          </w:p>
        </w:tc>
        <w:tc>
          <w:tcPr>
            <w:tcW w:w="2243" w:type="dxa"/>
            <w:shd w:val="clear" w:color="auto" w:fill="F2F2F2" w:themeFill="background1" w:themeFillShade="F2"/>
          </w:tcPr>
          <w:p w:rsidR="00303DF7" w:rsidRDefault="00303DF7" w:rsidP="00E35EAA">
            <w:r w:rsidRPr="00805161">
              <w:t>Source: cost data obtain</w:t>
            </w:r>
            <w:r>
              <w:t>ed</w:t>
            </w:r>
            <w:r w:rsidRPr="00805161">
              <w:t xml:space="preserve"> from various </w:t>
            </w:r>
            <w:r>
              <w:t>implemented pump overhaul projects.</w:t>
            </w:r>
          </w:p>
        </w:tc>
        <w:tc>
          <w:tcPr>
            <w:tcW w:w="2242" w:type="dxa"/>
            <w:gridSpan w:val="2"/>
            <w:shd w:val="clear" w:color="auto" w:fill="F2F2F2" w:themeFill="background1" w:themeFillShade="F2"/>
          </w:tcPr>
          <w:p w:rsidR="00303DF7" w:rsidRDefault="00303DF7" w:rsidP="00E35EAA">
            <w:r w:rsidRPr="00805161">
              <w:t>Source: cost data obtain</w:t>
            </w:r>
            <w:r>
              <w:t>ed</w:t>
            </w:r>
            <w:r w:rsidRPr="00805161">
              <w:t xml:space="preserve"> from various </w:t>
            </w:r>
            <w:r>
              <w:t>implemented pump overhaul projects.</w:t>
            </w:r>
          </w:p>
        </w:tc>
        <w:tc>
          <w:tcPr>
            <w:tcW w:w="2243" w:type="dxa"/>
            <w:gridSpan w:val="2"/>
            <w:shd w:val="clear" w:color="auto" w:fill="F2F2F2" w:themeFill="background1" w:themeFillShade="F2"/>
          </w:tcPr>
          <w:p w:rsidR="00303DF7" w:rsidRDefault="00303DF7" w:rsidP="00E35EAA">
            <w:r w:rsidRPr="00805161">
              <w:t>Source: cost data obtain</w:t>
            </w:r>
            <w:r>
              <w:t>ed</w:t>
            </w:r>
            <w:r w:rsidRPr="00805161">
              <w:t xml:space="preserve"> from various </w:t>
            </w:r>
            <w:r>
              <w:t>implemented pump overhaul projects.</w:t>
            </w:r>
          </w:p>
        </w:tc>
        <w:tc>
          <w:tcPr>
            <w:tcW w:w="2243" w:type="dxa"/>
            <w:gridSpan w:val="2"/>
            <w:shd w:val="clear" w:color="auto" w:fill="F2F2F2" w:themeFill="background1" w:themeFillShade="F2"/>
          </w:tcPr>
          <w:p w:rsidR="00303DF7" w:rsidRDefault="00303DF7" w:rsidP="00E35EAA">
            <w:r w:rsidRPr="00805161">
              <w:t>Source: cost data obtain</w:t>
            </w:r>
            <w:r>
              <w:t>ed</w:t>
            </w:r>
            <w:r w:rsidRPr="00805161">
              <w:t xml:space="preserve"> from various </w:t>
            </w:r>
            <w:r>
              <w:t>implemented pump overhaul projects.</w:t>
            </w:r>
          </w:p>
        </w:tc>
      </w:tr>
      <w:tr w:rsidR="00720907" w:rsidRPr="00805161" w:rsidTr="00720907">
        <w:trPr>
          <w:trHeight w:val="420"/>
        </w:trPr>
        <w:tc>
          <w:tcPr>
            <w:tcW w:w="2268" w:type="dxa"/>
            <w:vMerge w:val="restart"/>
            <w:shd w:val="clear" w:color="auto" w:fill="BFBFBF" w:themeFill="background1" w:themeFillShade="BF"/>
          </w:tcPr>
          <w:p w:rsidR="00303DF7" w:rsidRPr="000F13FB" w:rsidRDefault="00303DF7" w:rsidP="00E35EAA">
            <w:r w:rsidRPr="000F13FB">
              <w:t xml:space="preserve">Effective Useful Life (years): </w:t>
            </w:r>
          </w:p>
        </w:tc>
        <w:tc>
          <w:tcPr>
            <w:tcW w:w="2250" w:type="dxa"/>
            <w:shd w:val="clear" w:color="auto" w:fill="BFBFBF" w:themeFill="background1" w:themeFillShade="BF"/>
            <w:vAlign w:val="center"/>
          </w:tcPr>
          <w:p w:rsidR="00303DF7" w:rsidRPr="000F13FB" w:rsidRDefault="00303DF7" w:rsidP="00AD7A0D">
            <w:pPr>
              <w:jc w:val="center"/>
            </w:pPr>
            <w:r>
              <w:t>12.7 years</w:t>
            </w:r>
          </w:p>
        </w:tc>
        <w:tc>
          <w:tcPr>
            <w:tcW w:w="2252" w:type="dxa"/>
            <w:gridSpan w:val="2"/>
            <w:shd w:val="clear" w:color="auto" w:fill="BFBFBF" w:themeFill="background1" w:themeFillShade="BF"/>
            <w:vAlign w:val="center"/>
          </w:tcPr>
          <w:p w:rsidR="00303DF7" w:rsidRPr="000F13FB" w:rsidRDefault="00303DF7" w:rsidP="00AD7A0D">
            <w:pPr>
              <w:jc w:val="center"/>
            </w:pPr>
            <w:r>
              <w:t>6.5 years</w:t>
            </w:r>
          </w:p>
        </w:tc>
        <w:tc>
          <w:tcPr>
            <w:tcW w:w="2252" w:type="dxa"/>
            <w:gridSpan w:val="2"/>
            <w:shd w:val="clear" w:color="auto" w:fill="BFBFBF" w:themeFill="background1" w:themeFillShade="BF"/>
            <w:vAlign w:val="center"/>
          </w:tcPr>
          <w:p w:rsidR="00303DF7" w:rsidRPr="000F13FB" w:rsidRDefault="00303DF7" w:rsidP="00AD7A0D">
            <w:pPr>
              <w:jc w:val="center"/>
            </w:pPr>
            <w:r>
              <w:t>8.3 years</w:t>
            </w:r>
          </w:p>
        </w:tc>
        <w:tc>
          <w:tcPr>
            <w:tcW w:w="2252" w:type="dxa"/>
            <w:gridSpan w:val="2"/>
            <w:shd w:val="clear" w:color="auto" w:fill="BFBFBF" w:themeFill="background1" w:themeFillShade="BF"/>
            <w:vAlign w:val="center"/>
          </w:tcPr>
          <w:p w:rsidR="00303DF7" w:rsidRPr="000F13FB" w:rsidRDefault="00303DF7" w:rsidP="00AD7A0D">
            <w:pPr>
              <w:jc w:val="center"/>
            </w:pPr>
            <w:r>
              <w:t>9.3 years</w:t>
            </w:r>
          </w:p>
        </w:tc>
        <w:tc>
          <w:tcPr>
            <w:tcW w:w="2252" w:type="dxa"/>
            <w:gridSpan w:val="2"/>
            <w:shd w:val="clear" w:color="auto" w:fill="BFBFBF" w:themeFill="background1" w:themeFillShade="BF"/>
            <w:vAlign w:val="center"/>
          </w:tcPr>
          <w:p w:rsidR="00303DF7" w:rsidRPr="000F13FB" w:rsidRDefault="00303DF7" w:rsidP="00AD7A0D">
            <w:pPr>
              <w:jc w:val="center"/>
            </w:pPr>
            <w:r>
              <w:t>6.8 years</w:t>
            </w:r>
          </w:p>
        </w:tc>
      </w:tr>
      <w:tr w:rsidR="00303DF7" w:rsidRPr="00805161" w:rsidTr="00AD7A0D">
        <w:trPr>
          <w:gridAfter w:val="1"/>
          <w:wAfter w:w="37" w:type="dxa"/>
          <w:trHeight w:val="411"/>
        </w:trPr>
        <w:tc>
          <w:tcPr>
            <w:tcW w:w="2268" w:type="dxa"/>
            <w:vMerge/>
            <w:shd w:val="clear" w:color="auto" w:fill="F2F2F2" w:themeFill="background1" w:themeFillShade="F2"/>
          </w:tcPr>
          <w:p w:rsidR="00303DF7" w:rsidRPr="000F13FB" w:rsidRDefault="00303DF7" w:rsidP="00E35EAA"/>
        </w:tc>
        <w:tc>
          <w:tcPr>
            <w:tcW w:w="11221" w:type="dxa"/>
            <w:gridSpan w:val="8"/>
            <w:shd w:val="clear" w:color="auto" w:fill="BFBFBF" w:themeFill="background1" w:themeFillShade="BF"/>
            <w:vAlign w:val="center"/>
          </w:tcPr>
          <w:p w:rsidR="00303DF7" w:rsidRPr="000F13FB" w:rsidRDefault="00303DF7" w:rsidP="00AD7A0D">
            <w:pPr>
              <w:jc w:val="center"/>
            </w:pPr>
            <w:r w:rsidRPr="000F13FB">
              <w:t>Source:  Summit Blue, “Process Evaluation Report for the SCE Agricultural Energy Efficiency Program”, January 14, 2009</w:t>
            </w:r>
          </w:p>
        </w:tc>
      </w:tr>
      <w:tr w:rsidR="00720907" w:rsidRPr="00805161" w:rsidTr="00AD7A0D">
        <w:trPr>
          <w:gridAfter w:val="1"/>
          <w:wAfter w:w="37" w:type="dxa"/>
          <w:trHeight w:val="472"/>
        </w:trPr>
        <w:tc>
          <w:tcPr>
            <w:tcW w:w="2268" w:type="dxa"/>
            <w:shd w:val="clear" w:color="auto" w:fill="F2F2F2" w:themeFill="background1" w:themeFillShade="F2"/>
          </w:tcPr>
          <w:p w:rsidR="00917EEC" w:rsidRPr="00805161" w:rsidRDefault="00917EEC" w:rsidP="00E35EAA">
            <w:r w:rsidRPr="00805161">
              <w:t>Program Type:</w:t>
            </w:r>
          </w:p>
        </w:tc>
        <w:tc>
          <w:tcPr>
            <w:tcW w:w="2250" w:type="dxa"/>
            <w:shd w:val="clear" w:color="auto" w:fill="F2F2F2" w:themeFill="background1" w:themeFillShade="F2"/>
          </w:tcPr>
          <w:p w:rsidR="00917EEC" w:rsidRPr="00805161" w:rsidRDefault="00917EEC" w:rsidP="00E35EAA">
            <w:r w:rsidRPr="00805161">
              <w:t xml:space="preserve">Retrofit </w:t>
            </w:r>
            <w:r>
              <w:t xml:space="preserve">Add-On </w:t>
            </w:r>
            <w:r w:rsidRPr="00805161">
              <w:t>(RE</w:t>
            </w:r>
            <w:r>
              <w:t>A</w:t>
            </w:r>
            <w:r w:rsidRPr="00805161">
              <w:t xml:space="preserve">) </w:t>
            </w:r>
          </w:p>
        </w:tc>
        <w:tc>
          <w:tcPr>
            <w:tcW w:w="2243" w:type="dxa"/>
            <w:shd w:val="clear" w:color="auto" w:fill="F2F2F2" w:themeFill="background1" w:themeFillShade="F2"/>
          </w:tcPr>
          <w:p w:rsidR="00917EEC" w:rsidRPr="00805161" w:rsidRDefault="00917EEC" w:rsidP="00E35EAA">
            <w:r w:rsidRPr="00F10FF7">
              <w:t xml:space="preserve">Retrofit Add-On (REA) </w:t>
            </w:r>
          </w:p>
        </w:tc>
        <w:tc>
          <w:tcPr>
            <w:tcW w:w="2242" w:type="dxa"/>
            <w:gridSpan w:val="2"/>
            <w:shd w:val="clear" w:color="auto" w:fill="F2F2F2" w:themeFill="background1" w:themeFillShade="F2"/>
          </w:tcPr>
          <w:p w:rsidR="00917EEC" w:rsidRPr="00805161" w:rsidRDefault="00917EEC" w:rsidP="00E35EAA">
            <w:r w:rsidRPr="00F10FF7">
              <w:t xml:space="preserve">Retrofit Add-On (REA) </w:t>
            </w:r>
          </w:p>
        </w:tc>
        <w:tc>
          <w:tcPr>
            <w:tcW w:w="2243" w:type="dxa"/>
            <w:gridSpan w:val="2"/>
            <w:shd w:val="clear" w:color="auto" w:fill="F2F2F2" w:themeFill="background1" w:themeFillShade="F2"/>
          </w:tcPr>
          <w:p w:rsidR="00917EEC" w:rsidRPr="00805161" w:rsidRDefault="00917EEC" w:rsidP="00E35EAA">
            <w:r w:rsidRPr="00F10FF7">
              <w:t xml:space="preserve">Retrofit Add-On (REA) </w:t>
            </w:r>
          </w:p>
        </w:tc>
        <w:tc>
          <w:tcPr>
            <w:tcW w:w="2243" w:type="dxa"/>
            <w:gridSpan w:val="2"/>
            <w:shd w:val="clear" w:color="auto" w:fill="F2F2F2" w:themeFill="background1" w:themeFillShade="F2"/>
          </w:tcPr>
          <w:p w:rsidR="00917EEC" w:rsidRPr="00805161" w:rsidRDefault="00917EEC" w:rsidP="00E35EAA">
            <w:r w:rsidRPr="00F10FF7">
              <w:t xml:space="preserve">Retrofit Add-On (REA) </w:t>
            </w:r>
          </w:p>
        </w:tc>
      </w:tr>
      <w:tr w:rsidR="00720907" w:rsidRPr="00805161" w:rsidTr="00AD7A0D">
        <w:trPr>
          <w:gridAfter w:val="1"/>
          <w:wAfter w:w="37" w:type="dxa"/>
          <w:trHeight w:val="778"/>
        </w:trPr>
        <w:tc>
          <w:tcPr>
            <w:tcW w:w="2268" w:type="dxa"/>
            <w:shd w:val="clear" w:color="auto" w:fill="BFBFBF" w:themeFill="background1" w:themeFillShade="BF"/>
          </w:tcPr>
          <w:p w:rsidR="001C31DE" w:rsidRPr="00805161" w:rsidRDefault="001C31DE" w:rsidP="00E35EAA">
            <w:r w:rsidRPr="00805161">
              <w:t xml:space="preserve">Net-to-Gross (NTG) Ratio: </w:t>
            </w:r>
          </w:p>
        </w:tc>
        <w:tc>
          <w:tcPr>
            <w:tcW w:w="2250" w:type="dxa"/>
            <w:shd w:val="clear" w:color="auto" w:fill="BFBFBF" w:themeFill="background1" w:themeFillShade="BF"/>
          </w:tcPr>
          <w:p w:rsidR="001C31DE" w:rsidRPr="007B0C7D" w:rsidRDefault="001C31DE" w:rsidP="00E35EAA">
            <w:r w:rsidRPr="007B0C7D">
              <w:t>Source:  DEER 20</w:t>
            </w:r>
            <w:r>
              <w:t>1</w:t>
            </w:r>
            <w:r w:rsidR="0058632F">
              <w:t>4</w:t>
            </w:r>
            <w:r w:rsidR="00917EEC">
              <w:t xml:space="preserve">: </w:t>
            </w:r>
          </w:p>
          <w:p w:rsidR="001C31DE" w:rsidRPr="00805161" w:rsidRDefault="001C31DE" w:rsidP="00E35EAA">
            <w:pPr>
              <w:rPr>
                <w:color w:val="FF0000"/>
              </w:rPr>
            </w:pPr>
            <w:r>
              <w:t>All-Default&lt;=2yrs</w:t>
            </w:r>
            <w:r w:rsidRPr="00805161">
              <w:t>: 0.</w:t>
            </w:r>
            <w:r>
              <w:t>7</w:t>
            </w:r>
          </w:p>
        </w:tc>
        <w:tc>
          <w:tcPr>
            <w:tcW w:w="2243" w:type="dxa"/>
            <w:shd w:val="clear" w:color="auto" w:fill="BFBFBF" w:themeFill="background1" w:themeFillShade="BF"/>
          </w:tcPr>
          <w:p w:rsidR="0058632F" w:rsidRPr="007B0C7D" w:rsidRDefault="0058632F" w:rsidP="0058632F">
            <w:r w:rsidRPr="007B0C7D">
              <w:t>Source:  DEER 20</w:t>
            </w:r>
            <w:r>
              <w:t xml:space="preserve">14: </w:t>
            </w:r>
          </w:p>
          <w:p w:rsidR="001C31DE" w:rsidRPr="007B0C7D" w:rsidRDefault="0058632F" w:rsidP="00917EEC">
            <w:r>
              <w:t>All-Default&lt;=2yrs</w:t>
            </w:r>
            <w:r w:rsidRPr="00805161">
              <w:t>: 0.</w:t>
            </w:r>
            <w:r>
              <w:t>7</w:t>
            </w:r>
          </w:p>
        </w:tc>
        <w:tc>
          <w:tcPr>
            <w:tcW w:w="2242" w:type="dxa"/>
            <w:gridSpan w:val="2"/>
            <w:shd w:val="clear" w:color="auto" w:fill="BFBFBF" w:themeFill="background1" w:themeFillShade="BF"/>
          </w:tcPr>
          <w:p w:rsidR="0058632F" w:rsidRPr="007B0C7D" w:rsidRDefault="0058632F" w:rsidP="0058632F">
            <w:r w:rsidRPr="007B0C7D">
              <w:t>Source:  DEER 20</w:t>
            </w:r>
            <w:r>
              <w:t xml:space="preserve">14: </w:t>
            </w:r>
          </w:p>
          <w:p w:rsidR="001C31DE" w:rsidRPr="007B0C7D" w:rsidRDefault="0058632F" w:rsidP="00917EEC">
            <w:r>
              <w:t>All-Default&lt;=2yrs</w:t>
            </w:r>
            <w:r w:rsidRPr="00805161">
              <w:t>: 0.</w:t>
            </w:r>
            <w:r>
              <w:t>7</w:t>
            </w:r>
          </w:p>
        </w:tc>
        <w:tc>
          <w:tcPr>
            <w:tcW w:w="2243" w:type="dxa"/>
            <w:gridSpan w:val="2"/>
            <w:shd w:val="clear" w:color="auto" w:fill="BFBFBF" w:themeFill="background1" w:themeFillShade="BF"/>
          </w:tcPr>
          <w:p w:rsidR="0058632F" w:rsidRPr="007B0C7D" w:rsidRDefault="0058632F" w:rsidP="0058632F">
            <w:r w:rsidRPr="007B0C7D">
              <w:t>Source:  DEER 20</w:t>
            </w:r>
            <w:r>
              <w:t xml:space="preserve">14: </w:t>
            </w:r>
          </w:p>
          <w:p w:rsidR="001C31DE" w:rsidRPr="007B0C7D" w:rsidRDefault="0058632F" w:rsidP="00917EEC">
            <w:r>
              <w:t>All-Default&lt;=2yrs</w:t>
            </w:r>
            <w:r w:rsidRPr="00805161">
              <w:t>: 0.</w:t>
            </w:r>
            <w:r>
              <w:t>7</w:t>
            </w:r>
          </w:p>
        </w:tc>
        <w:tc>
          <w:tcPr>
            <w:tcW w:w="2243" w:type="dxa"/>
            <w:gridSpan w:val="2"/>
            <w:shd w:val="clear" w:color="auto" w:fill="BFBFBF" w:themeFill="background1" w:themeFillShade="BF"/>
          </w:tcPr>
          <w:p w:rsidR="0058632F" w:rsidRPr="007B0C7D" w:rsidRDefault="0058632F" w:rsidP="0058632F">
            <w:r w:rsidRPr="007B0C7D">
              <w:t>Source:  DEER 20</w:t>
            </w:r>
            <w:r>
              <w:t xml:space="preserve">14: </w:t>
            </w:r>
          </w:p>
          <w:p w:rsidR="001C31DE" w:rsidRPr="007B0C7D" w:rsidRDefault="0058632F" w:rsidP="00917EEC">
            <w:r>
              <w:t>All-Default&lt;=2yrs</w:t>
            </w:r>
            <w:r w:rsidRPr="00805161">
              <w:t>: 0.</w:t>
            </w:r>
            <w:r>
              <w:t>7</w:t>
            </w:r>
          </w:p>
        </w:tc>
      </w:tr>
    </w:tbl>
    <w:p w:rsidR="005F19E0" w:rsidRPr="00001B9C" w:rsidRDefault="005F19E0" w:rsidP="00AD7A0D">
      <w:pPr>
        <w:rPr>
          <w:b/>
          <w:bCs/>
        </w:rPr>
        <w:sectPr w:rsidR="005F19E0" w:rsidRPr="00001B9C" w:rsidSect="00AD7A0D">
          <w:footerReference w:type="default" r:id="rId14"/>
          <w:endnotePr>
            <w:numFmt w:val="decimal"/>
          </w:endnotePr>
          <w:pgSz w:w="15840" w:h="12240" w:orient="landscape"/>
          <w:pgMar w:top="1440" w:right="1440" w:bottom="1440" w:left="1440" w:header="720" w:footer="720" w:gutter="0"/>
          <w:pgNumType w:fmt="lowerRoman" w:start="1"/>
          <w:cols w:space="720"/>
          <w:docGrid w:linePitch="360"/>
        </w:sectPr>
      </w:pPr>
    </w:p>
    <w:p w:rsidR="00A360E7" w:rsidRPr="00A12C35" w:rsidRDefault="00A360E7">
      <w:pPr>
        <w:pStyle w:val="Heading1"/>
      </w:pPr>
      <w:bookmarkStart w:id="6" w:name="_Toc174189524"/>
      <w:bookmarkStart w:id="7" w:name="_Toc392779996"/>
      <w:r w:rsidRPr="00A12C35">
        <w:lastRenderedPageBreak/>
        <w:t>Work Paper Approvals</w:t>
      </w:r>
      <w:bookmarkEnd w:id="6"/>
      <w:bookmarkEnd w:id="7"/>
    </w:p>
    <w:p w:rsidR="00A360E7" w:rsidRPr="00A12C35" w:rsidRDefault="00A360E7" w:rsidP="00E35EAA"/>
    <w:p w:rsidR="00BA46E0" w:rsidRPr="00A12C35" w:rsidRDefault="00BA46E0" w:rsidP="00E35EAA">
      <w:pPr>
        <w:rPr>
          <w:rFonts w:eastAsia="Calibri"/>
        </w:rPr>
      </w:pPr>
      <w:r w:rsidRPr="00A12C35">
        <w:t>The following Manager(s) approved this work</w:t>
      </w:r>
      <w:r w:rsidR="00974765">
        <w:t xml:space="preserve"> </w:t>
      </w:r>
      <w:r w:rsidRPr="00A12C35">
        <w:t>paper through the PG&amp;E Electronic Data Routing System under Routing Requis</w:t>
      </w:r>
      <w:r w:rsidRPr="00A80AF1">
        <w:t xml:space="preserve">ition </w:t>
      </w:r>
      <w:r w:rsidRPr="00AD7A0D">
        <w:t xml:space="preserve"># </w:t>
      </w:r>
      <w:r w:rsidR="000F5E80" w:rsidRPr="00AD7A0D">
        <w:rPr>
          <w:highlight w:val="yellow"/>
        </w:rPr>
        <w:t>XXXXX</w:t>
      </w:r>
    </w:p>
    <w:tbl>
      <w:tblPr>
        <w:tblW w:w="3064" w:type="pct"/>
        <w:tblCellMar>
          <w:left w:w="0" w:type="dxa"/>
          <w:right w:w="0" w:type="dxa"/>
        </w:tblCellMar>
        <w:tblLook w:val="04A0" w:firstRow="1" w:lastRow="0" w:firstColumn="1" w:lastColumn="0" w:noHBand="0" w:noVBand="1"/>
      </w:tblPr>
      <w:tblGrid>
        <w:gridCol w:w="5868"/>
      </w:tblGrid>
      <w:tr w:rsidR="00BA46E0" w:rsidRPr="00A12C35" w:rsidTr="00AD7A0D">
        <w:trPr>
          <w:trHeight w:val="214"/>
        </w:trPr>
        <w:tc>
          <w:tcPr>
            <w:tcW w:w="5000" w:type="pct"/>
            <w:tcMar>
              <w:top w:w="0" w:type="dxa"/>
              <w:left w:w="108" w:type="dxa"/>
              <w:bottom w:w="0" w:type="dxa"/>
              <w:right w:w="108" w:type="dxa"/>
            </w:tcMar>
          </w:tcPr>
          <w:p w:rsidR="00BA46E0" w:rsidRPr="00A12C35" w:rsidRDefault="00BA46E0" w:rsidP="00E35EAA">
            <w:pPr>
              <w:rPr>
                <w:rFonts w:eastAsia="Calibri"/>
              </w:rPr>
            </w:pPr>
          </w:p>
        </w:tc>
      </w:tr>
      <w:tr w:rsidR="00BA46E0" w:rsidRPr="00A12C35" w:rsidTr="00AD7A0D">
        <w:trPr>
          <w:trHeight w:val="415"/>
        </w:trPr>
        <w:tc>
          <w:tcPr>
            <w:tcW w:w="5000" w:type="pct"/>
            <w:tcMar>
              <w:top w:w="0" w:type="dxa"/>
              <w:left w:w="108" w:type="dxa"/>
              <w:bottom w:w="0" w:type="dxa"/>
              <w:right w:w="108" w:type="dxa"/>
            </w:tcMar>
            <w:hideMark/>
          </w:tcPr>
          <w:p w:rsidR="00BA46E0" w:rsidRPr="00AD7A0D" w:rsidRDefault="00A905FC" w:rsidP="00E35EAA">
            <w:pPr>
              <w:rPr>
                <w:rFonts w:eastAsia="Calibri"/>
                <w:szCs w:val="22"/>
              </w:rPr>
            </w:pPr>
            <w:r>
              <w:t xml:space="preserve">Breesa Collyer for </w:t>
            </w:r>
            <w:r w:rsidR="00BA46E0" w:rsidRPr="00AD7A0D">
              <w:t>Grant Brohard</w:t>
            </w:r>
          </w:p>
          <w:p w:rsidR="00BA46E0" w:rsidRPr="00AD7A0D" w:rsidRDefault="00BA46E0" w:rsidP="00E35EAA">
            <w:pPr>
              <w:rPr>
                <w:rFonts w:eastAsia="Calibri"/>
                <w:szCs w:val="22"/>
              </w:rPr>
            </w:pPr>
            <w:r w:rsidRPr="00AD7A0D">
              <w:t>Manager, Technical Product Support</w:t>
            </w:r>
          </w:p>
        </w:tc>
      </w:tr>
      <w:tr w:rsidR="00BA46E0" w:rsidRPr="00A12C35" w:rsidTr="00AD7A0D">
        <w:trPr>
          <w:trHeight w:val="1022"/>
        </w:trPr>
        <w:tc>
          <w:tcPr>
            <w:tcW w:w="5000" w:type="pct"/>
            <w:tcMar>
              <w:top w:w="0" w:type="dxa"/>
              <w:left w:w="108" w:type="dxa"/>
              <w:bottom w:w="0" w:type="dxa"/>
              <w:right w:w="108" w:type="dxa"/>
            </w:tcMar>
          </w:tcPr>
          <w:p w:rsidR="00BA46E0" w:rsidRPr="00AD7A0D" w:rsidRDefault="00BA46E0" w:rsidP="00E35EAA">
            <w:pPr>
              <w:rPr>
                <w:rFonts w:eastAsia="Calibri"/>
              </w:rPr>
            </w:pPr>
          </w:p>
          <w:p w:rsidR="00BA46E0" w:rsidRPr="00AD7A0D" w:rsidRDefault="008B40B1" w:rsidP="00E35EAA">
            <w:r w:rsidRPr="00AD7A0D">
              <w:t>Carolyn Weiner</w:t>
            </w:r>
            <w:r w:rsidR="00BA46E0" w:rsidRPr="00AD7A0D">
              <w:t xml:space="preserve"> </w:t>
            </w:r>
          </w:p>
          <w:p w:rsidR="00BA46E0" w:rsidRPr="00AD7A0D" w:rsidRDefault="00BA46E0" w:rsidP="00E35EAA">
            <w:r w:rsidRPr="00AD7A0D">
              <w:t xml:space="preserve">Manager, CES Core Products </w:t>
            </w:r>
          </w:p>
          <w:p w:rsidR="00BA46E0" w:rsidRPr="00AD7A0D" w:rsidRDefault="00BA46E0" w:rsidP="00E35EAA"/>
          <w:p w:rsidR="00BA46E0" w:rsidRPr="00AD7A0D" w:rsidRDefault="00BA46E0" w:rsidP="00E35EAA">
            <w:pPr>
              <w:rPr>
                <w:rFonts w:eastAsia="Calibri"/>
              </w:rPr>
            </w:pPr>
          </w:p>
        </w:tc>
      </w:tr>
    </w:tbl>
    <w:p w:rsidR="00EE7092" w:rsidRPr="00001B9C" w:rsidRDefault="00EE7092" w:rsidP="00E35EAA"/>
    <w:p w:rsidR="00E71EF1" w:rsidRPr="006D73DF" w:rsidRDefault="009B5F5D" w:rsidP="00E35EAA">
      <w:pPr>
        <w:pStyle w:val="Heading1"/>
      </w:pPr>
      <w:r w:rsidRPr="00001B9C">
        <w:rPr>
          <w:color w:val="FF0000"/>
        </w:rPr>
        <w:br w:type="page"/>
      </w:r>
      <w:bookmarkStart w:id="8" w:name="_Toc392779997"/>
      <w:r w:rsidR="00E71EF1" w:rsidRPr="006D73DF">
        <w:lastRenderedPageBreak/>
        <w:t>Document Revision History</w:t>
      </w:r>
      <w:bookmarkEnd w:id="8"/>
    </w:p>
    <w:p w:rsidR="00E91C15" w:rsidRPr="00001B9C" w:rsidRDefault="004203DD" w:rsidP="00E35EAA">
      <w:r w:rsidRPr="00001B9C">
        <w:t xml:space="preserve"> </w:t>
      </w:r>
      <w:r w:rsidR="00E91C15" w:rsidRPr="00001B9C">
        <w:tab/>
      </w:r>
      <w:r w:rsidR="00E91C15" w:rsidRPr="00001B9C">
        <w:tab/>
      </w:r>
      <w:r w:rsidR="00E91C15" w:rsidRPr="00001B9C">
        <w:tab/>
      </w:r>
      <w:r w:rsidR="00E91C15" w:rsidRPr="00001B9C">
        <w:tab/>
      </w:r>
      <w:r w:rsidRPr="00001B9C">
        <w:t xml:space="preserve"> </w:t>
      </w:r>
      <w:r w:rsidR="00E91C15" w:rsidRPr="00001B9C">
        <w:t xml:space="preserve"> </w:t>
      </w:r>
    </w:p>
    <w:tbl>
      <w:tblPr>
        <w:tblW w:w="4841" w:type="pct"/>
        <w:tblInd w:w="108" w:type="dxa"/>
        <w:tblBorders>
          <w:insideH w:val="single" w:sz="18" w:space="0" w:color="FFFFFF"/>
          <w:insideV w:val="single" w:sz="18" w:space="0" w:color="FFFFFF"/>
        </w:tblBorders>
        <w:tblLook w:val="01E0" w:firstRow="1" w:lastRow="1" w:firstColumn="1" w:lastColumn="1" w:noHBand="0" w:noVBand="0"/>
      </w:tblPr>
      <w:tblGrid>
        <w:gridCol w:w="1647"/>
        <w:gridCol w:w="1142"/>
        <w:gridCol w:w="3206"/>
        <w:gridCol w:w="3276"/>
      </w:tblGrid>
      <w:tr w:rsidR="000374A5" w:rsidRPr="00001B9C" w:rsidTr="00AB797B">
        <w:trPr>
          <w:trHeight w:val="464"/>
        </w:trPr>
        <w:tc>
          <w:tcPr>
            <w:tcW w:w="888" w:type="pct"/>
            <w:tcBorders>
              <w:top w:val="nil"/>
              <w:bottom w:val="single" w:sz="18" w:space="0" w:color="FFFFFF"/>
            </w:tcBorders>
            <w:shd w:val="clear" w:color="auto" w:fill="BFBFBF"/>
          </w:tcPr>
          <w:p w:rsidR="000374A5" w:rsidRPr="006D73DF" w:rsidRDefault="000374A5" w:rsidP="00E35EAA">
            <w:pPr>
              <w:rPr>
                <w:b/>
                <w:bCs/>
              </w:rPr>
            </w:pPr>
            <w:r w:rsidRPr="006D73DF">
              <w:t>Revision #</w:t>
            </w:r>
            <w:r w:rsidRPr="006D73DF">
              <w:tab/>
            </w:r>
          </w:p>
        </w:tc>
        <w:tc>
          <w:tcPr>
            <w:tcW w:w="616" w:type="pct"/>
            <w:tcBorders>
              <w:top w:val="nil"/>
              <w:bottom w:val="single" w:sz="18" w:space="0" w:color="FFFFFF"/>
            </w:tcBorders>
            <w:shd w:val="clear" w:color="auto" w:fill="BFBFBF"/>
          </w:tcPr>
          <w:p w:rsidR="000374A5" w:rsidRPr="006D73DF" w:rsidRDefault="000374A5" w:rsidP="00E35EAA">
            <w:pPr>
              <w:rPr>
                <w:b/>
                <w:bCs/>
              </w:rPr>
            </w:pPr>
            <w:r w:rsidRPr="006D73DF">
              <w:t xml:space="preserve">Date </w:t>
            </w:r>
            <w:r w:rsidRPr="006D73DF">
              <w:tab/>
            </w:r>
          </w:p>
        </w:tc>
        <w:tc>
          <w:tcPr>
            <w:tcW w:w="1729" w:type="pct"/>
            <w:tcBorders>
              <w:top w:val="nil"/>
              <w:bottom w:val="single" w:sz="18" w:space="0" w:color="FFFFFF"/>
            </w:tcBorders>
            <w:shd w:val="clear" w:color="auto" w:fill="BFBFBF"/>
          </w:tcPr>
          <w:p w:rsidR="000374A5" w:rsidRPr="006D73DF" w:rsidRDefault="000374A5" w:rsidP="00E35EAA">
            <w:pPr>
              <w:rPr>
                <w:b/>
                <w:bCs/>
              </w:rPr>
            </w:pPr>
            <w:r w:rsidRPr="006D73DF">
              <w:t>Section by Section Description of Revisions</w:t>
            </w:r>
          </w:p>
        </w:tc>
        <w:tc>
          <w:tcPr>
            <w:tcW w:w="1767" w:type="pct"/>
            <w:tcBorders>
              <w:top w:val="nil"/>
              <w:bottom w:val="single" w:sz="18" w:space="0" w:color="FFFFFF"/>
            </w:tcBorders>
            <w:shd w:val="clear" w:color="auto" w:fill="BFBFBF"/>
          </w:tcPr>
          <w:p w:rsidR="000374A5" w:rsidRPr="006D73DF" w:rsidRDefault="000374A5" w:rsidP="00E35EAA">
            <w:pPr>
              <w:rPr>
                <w:b/>
                <w:bCs/>
              </w:rPr>
            </w:pPr>
            <w:r w:rsidRPr="006D73DF">
              <w:t>Author (Company)</w:t>
            </w:r>
          </w:p>
        </w:tc>
      </w:tr>
      <w:tr w:rsidR="0068419D" w:rsidRPr="00001B9C" w:rsidTr="00AB797B">
        <w:trPr>
          <w:trHeight w:val="464"/>
        </w:trPr>
        <w:tc>
          <w:tcPr>
            <w:tcW w:w="888" w:type="pct"/>
            <w:tcBorders>
              <w:top w:val="single" w:sz="18" w:space="0" w:color="FFFFFF"/>
            </w:tcBorders>
            <w:shd w:val="clear" w:color="auto" w:fill="D9D9D9"/>
          </w:tcPr>
          <w:p w:rsidR="0068419D" w:rsidRPr="006D73DF" w:rsidRDefault="0068419D" w:rsidP="00E35EAA">
            <w:r w:rsidRPr="006D73DF">
              <w:t>Revision 0</w:t>
            </w:r>
          </w:p>
        </w:tc>
        <w:tc>
          <w:tcPr>
            <w:tcW w:w="616" w:type="pct"/>
            <w:tcBorders>
              <w:top w:val="single" w:sz="18" w:space="0" w:color="FFFFFF"/>
            </w:tcBorders>
            <w:shd w:val="clear" w:color="auto" w:fill="D9D9D9"/>
          </w:tcPr>
          <w:p w:rsidR="0068419D" w:rsidRPr="006D73DF" w:rsidRDefault="006F6542" w:rsidP="00E35EAA">
            <w:r>
              <w:fldChar w:fldCharType="begin"/>
            </w:r>
            <w:r>
              <w:instrText xml:space="preserve"> DATE \@ "M/d/yyyy" </w:instrText>
            </w:r>
            <w:r>
              <w:fldChar w:fldCharType="separate"/>
            </w:r>
            <w:r w:rsidR="00ED638E">
              <w:rPr>
                <w:noProof/>
              </w:rPr>
              <w:t>8/13/2014</w:t>
            </w:r>
            <w:r>
              <w:fldChar w:fldCharType="end"/>
            </w:r>
          </w:p>
        </w:tc>
        <w:tc>
          <w:tcPr>
            <w:tcW w:w="1729" w:type="pct"/>
            <w:tcBorders>
              <w:top w:val="single" w:sz="18" w:space="0" w:color="FFFFFF"/>
            </w:tcBorders>
            <w:shd w:val="clear" w:color="auto" w:fill="D9D9D9"/>
          </w:tcPr>
          <w:p w:rsidR="0068419D" w:rsidRPr="006D73DF" w:rsidRDefault="00D3706F" w:rsidP="00E35EAA">
            <w:r w:rsidRPr="006D73DF">
              <w:t xml:space="preserve">Original </w:t>
            </w:r>
            <w:r w:rsidR="00B16127">
              <w:t>Work paper</w:t>
            </w:r>
            <w:r w:rsidR="004D7C89">
              <w:t xml:space="preserve"> based on SCE WP </w:t>
            </w:r>
            <w:r w:rsidR="004D7C89" w:rsidRPr="004D7C89">
              <w:t>SCE13PR003.0 Agricultural Pump System Overhaul for Pumps Less Than or Eq</w:t>
            </w:r>
            <w:r w:rsidR="004D7C89">
              <w:t xml:space="preserve">ual to 25 </w:t>
            </w:r>
            <w:proofErr w:type="spellStart"/>
            <w:r w:rsidR="004D7C89">
              <w:t>hp</w:t>
            </w:r>
            <w:proofErr w:type="spellEnd"/>
          </w:p>
        </w:tc>
        <w:tc>
          <w:tcPr>
            <w:tcW w:w="1767" w:type="pct"/>
            <w:tcBorders>
              <w:top w:val="single" w:sz="18" w:space="0" w:color="FFFFFF"/>
            </w:tcBorders>
            <w:shd w:val="clear" w:color="auto" w:fill="D9D9D9"/>
          </w:tcPr>
          <w:p w:rsidR="00AB797B" w:rsidRDefault="004A3955" w:rsidP="00E35EAA">
            <w:r>
              <w:t>Mark Ritchie</w:t>
            </w:r>
            <w:r w:rsidR="0068419D" w:rsidRPr="006D73DF">
              <w:t xml:space="preserve"> (</w:t>
            </w:r>
            <w:r w:rsidR="006D73DF" w:rsidRPr="006D73DF">
              <w:t xml:space="preserve">BASE Energy, </w:t>
            </w:r>
            <w:proofErr w:type="spellStart"/>
            <w:r w:rsidR="006D73DF" w:rsidRPr="006D73DF">
              <w:t>Inc</w:t>
            </w:r>
            <w:proofErr w:type="spellEnd"/>
            <w:r w:rsidR="0068419D" w:rsidRPr="006D73DF">
              <w:t>)</w:t>
            </w:r>
          </w:p>
          <w:p w:rsidR="0068419D" w:rsidRPr="005C611A" w:rsidRDefault="0068419D" w:rsidP="00E35EAA"/>
        </w:tc>
      </w:tr>
      <w:tr w:rsidR="0068419D" w:rsidRPr="00001B9C" w:rsidTr="00AB797B">
        <w:trPr>
          <w:trHeight w:val="464"/>
        </w:trPr>
        <w:tc>
          <w:tcPr>
            <w:tcW w:w="888" w:type="pct"/>
            <w:shd w:val="pct5" w:color="000000" w:fill="FFFFFF"/>
          </w:tcPr>
          <w:p w:rsidR="0068419D" w:rsidRPr="00001B9C" w:rsidRDefault="0068419D" w:rsidP="00E35EAA"/>
        </w:tc>
        <w:tc>
          <w:tcPr>
            <w:tcW w:w="616" w:type="pct"/>
            <w:shd w:val="pct5" w:color="000000" w:fill="FFFFFF"/>
          </w:tcPr>
          <w:p w:rsidR="0068419D" w:rsidRPr="00001B9C" w:rsidRDefault="0068419D" w:rsidP="00E35EAA"/>
        </w:tc>
        <w:tc>
          <w:tcPr>
            <w:tcW w:w="1729" w:type="pct"/>
            <w:shd w:val="pct5" w:color="000000" w:fill="FFFFFF"/>
          </w:tcPr>
          <w:p w:rsidR="0068419D" w:rsidRPr="00001B9C" w:rsidRDefault="0068419D" w:rsidP="00E35EAA"/>
        </w:tc>
        <w:tc>
          <w:tcPr>
            <w:tcW w:w="1767" w:type="pct"/>
            <w:shd w:val="pct5" w:color="000000" w:fill="FFFFFF"/>
          </w:tcPr>
          <w:p w:rsidR="0068419D" w:rsidRPr="00001B9C" w:rsidRDefault="0068419D" w:rsidP="00E35EAA"/>
        </w:tc>
      </w:tr>
    </w:tbl>
    <w:p w:rsidR="00783DAC" w:rsidRPr="00001B9C" w:rsidRDefault="00783DAC" w:rsidP="00E35EAA">
      <w:bookmarkStart w:id="9" w:name="_Toc186621650"/>
    </w:p>
    <w:p w:rsidR="00E71EF1" w:rsidRPr="00D87F3A" w:rsidRDefault="00E71EF1" w:rsidP="00E35EAA">
      <w:pPr>
        <w:pStyle w:val="Heading1"/>
      </w:pPr>
      <w:bookmarkStart w:id="10" w:name="_Toc304800197"/>
      <w:r w:rsidRPr="00001B9C">
        <w:rPr>
          <w:color w:val="FF0000"/>
        </w:rPr>
        <w:br w:type="page"/>
      </w:r>
      <w:bookmarkStart w:id="11" w:name="_Toc392779998"/>
      <w:r w:rsidR="001248A3" w:rsidRPr="00D87F3A">
        <w:lastRenderedPageBreak/>
        <w:t>Table</w:t>
      </w:r>
      <w:r w:rsidR="006559C8" w:rsidRPr="00D87F3A">
        <w:t xml:space="preserve"> of Contents</w:t>
      </w:r>
      <w:bookmarkEnd w:id="9"/>
      <w:bookmarkEnd w:id="10"/>
      <w:bookmarkEnd w:id="11"/>
    </w:p>
    <w:p w:rsidR="00720907" w:rsidRDefault="009F6F8B">
      <w:pPr>
        <w:pStyle w:val="TOC1"/>
        <w:tabs>
          <w:tab w:val="right" w:leader="dot" w:pos="9350"/>
        </w:tabs>
        <w:rPr>
          <w:rFonts w:asciiTheme="minorHAnsi" w:eastAsiaTheme="minorEastAsia" w:hAnsiTheme="minorHAnsi" w:cstheme="minorBidi"/>
          <w:noProof/>
          <w:sz w:val="22"/>
          <w:szCs w:val="22"/>
        </w:rPr>
      </w:pPr>
      <w:r w:rsidRPr="00001B9C">
        <w:rPr>
          <w:b/>
          <w:bCs/>
          <w:color w:val="FF0000"/>
        </w:rPr>
        <w:fldChar w:fldCharType="begin"/>
      </w:r>
      <w:r w:rsidRPr="00001B9C">
        <w:rPr>
          <w:b/>
          <w:bCs/>
          <w:color w:val="FF0000"/>
        </w:rPr>
        <w:instrText xml:space="preserve"> TOC \o "1-3" \h \z \u </w:instrText>
      </w:r>
      <w:r w:rsidRPr="00001B9C">
        <w:rPr>
          <w:b/>
          <w:bCs/>
          <w:color w:val="FF0000"/>
        </w:rPr>
        <w:fldChar w:fldCharType="separate"/>
      </w:r>
      <w:hyperlink w:anchor="_Toc392779995" w:history="1">
        <w:r w:rsidR="00720907" w:rsidRPr="00DE4590">
          <w:rPr>
            <w:rStyle w:val="Hyperlink"/>
            <w:noProof/>
          </w:rPr>
          <w:t>At-A-Glance Summary Table</w:t>
        </w:r>
        <w:r w:rsidR="00720907">
          <w:rPr>
            <w:noProof/>
            <w:webHidden/>
          </w:rPr>
          <w:tab/>
        </w:r>
        <w:r w:rsidR="00720907">
          <w:rPr>
            <w:noProof/>
            <w:webHidden/>
          </w:rPr>
          <w:fldChar w:fldCharType="begin"/>
        </w:r>
        <w:r w:rsidR="00720907">
          <w:rPr>
            <w:noProof/>
            <w:webHidden/>
          </w:rPr>
          <w:instrText xml:space="preserve"> PAGEREF _Toc392779995 \h </w:instrText>
        </w:r>
        <w:r w:rsidR="00720907">
          <w:rPr>
            <w:noProof/>
            <w:webHidden/>
          </w:rPr>
        </w:r>
        <w:r w:rsidR="00720907">
          <w:rPr>
            <w:noProof/>
            <w:webHidden/>
          </w:rPr>
          <w:fldChar w:fldCharType="separate"/>
        </w:r>
        <w:r w:rsidR="00720907">
          <w:rPr>
            <w:noProof/>
            <w:webHidden/>
          </w:rPr>
          <w:t>i</w:t>
        </w:r>
        <w:r w:rsidR="00720907">
          <w:rPr>
            <w:noProof/>
            <w:webHidden/>
          </w:rPr>
          <w:fldChar w:fldCharType="end"/>
        </w:r>
      </w:hyperlink>
    </w:p>
    <w:p w:rsidR="00720907" w:rsidRDefault="00A324AA">
      <w:pPr>
        <w:pStyle w:val="TOC1"/>
        <w:tabs>
          <w:tab w:val="right" w:leader="dot" w:pos="9350"/>
        </w:tabs>
        <w:rPr>
          <w:rFonts w:asciiTheme="minorHAnsi" w:eastAsiaTheme="minorEastAsia" w:hAnsiTheme="minorHAnsi" w:cstheme="minorBidi"/>
          <w:noProof/>
          <w:sz w:val="22"/>
          <w:szCs w:val="22"/>
        </w:rPr>
      </w:pPr>
      <w:hyperlink w:anchor="_Toc392779996" w:history="1">
        <w:r w:rsidR="00720907" w:rsidRPr="00DE4590">
          <w:rPr>
            <w:rStyle w:val="Hyperlink"/>
            <w:noProof/>
          </w:rPr>
          <w:t>Work Paper Approvals</w:t>
        </w:r>
        <w:r w:rsidR="00720907">
          <w:rPr>
            <w:noProof/>
            <w:webHidden/>
          </w:rPr>
          <w:tab/>
        </w:r>
        <w:r w:rsidR="00720907">
          <w:rPr>
            <w:noProof/>
            <w:webHidden/>
          </w:rPr>
          <w:fldChar w:fldCharType="begin"/>
        </w:r>
        <w:r w:rsidR="00720907">
          <w:rPr>
            <w:noProof/>
            <w:webHidden/>
          </w:rPr>
          <w:instrText xml:space="preserve"> PAGEREF _Toc392779996 \h </w:instrText>
        </w:r>
        <w:r w:rsidR="00720907">
          <w:rPr>
            <w:noProof/>
            <w:webHidden/>
          </w:rPr>
        </w:r>
        <w:r w:rsidR="00720907">
          <w:rPr>
            <w:noProof/>
            <w:webHidden/>
          </w:rPr>
          <w:fldChar w:fldCharType="separate"/>
        </w:r>
        <w:r w:rsidR="00720907">
          <w:rPr>
            <w:noProof/>
            <w:webHidden/>
          </w:rPr>
          <w:t>iv</w:t>
        </w:r>
        <w:r w:rsidR="00720907">
          <w:rPr>
            <w:noProof/>
            <w:webHidden/>
          </w:rPr>
          <w:fldChar w:fldCharType="end"/>
        </w:r>
      </w:hyperlink>
    </w:p>
    <w:p w:rsidR="00720907" w:rsidRDefault="00A324AA">
      <w:pPr>
        <w:pStyle w:val="TOC1"/>
        <w:tabs>
          <w:tab w:val="right" w:leader="dot" w:pos="9350"/>
        </w:tabs>
        <w:rPr>
          <w:rFonts w:asciiTheme="minorHAnsi" w:eastAsiaTheme="minorEastAsia" w:hAnsiTheme="minorHAnsi" w:cstheme="minorBidi"/>
          <w:noProof/>
          <w:sz w:val="22"/>
          <w:szCs w:val="22"/>
        </w:rPr>
      </w:pPr>
      <w:hyperlink w:anchor="_Toc392779997" w:history="1">
        <w:r w:rsidR="00720907" w:rsidRPr="00DE4590">
          <w:rPr>
            <w:rStyle w:val="Hyperlink"/>
            <w:noProof/>
          </w:rPr>
          <w:t>Document Revision History</w:t>
        </w:r>
        <w:r w:rsidR="00720907">
          <w:rPr>
            <w:noProof/>
            <w:webHidden/>
          </w:rPr>
          <w:tab/>
        </w:r>
        <w:r w:rsidR="00720907">
          <w:rPr>
            <w:noProof/>
            <w:webHidden/>
          </w:rPr>
          <w:fldChar w:fldCharType="begin"/>
        </w:r>
        <w:r w:rsidR="00720907">
          <w:rPr>
            <w:noProof/>
            <w:webHidden/>
          </w:rPr>
          <w:instrText xml:space="preserve"> PAGEREF _Toc392779997 \h </w:instrText>
        </w:r>
        <w:r w:rsidR="00720907">
          <w:rPr>
            <w:noProof/>
            <w:webHidden/>
          </w:rPr>
        </w:r>
        <w:r w:rsidR="00720907">
          <w:rPr>
            <w:noProof/>
            <w:webHidden/>
          </w:rPr>
          <w:fldChar w:fldCharType="separate"/>
        </w:r>
        <w:r w:rsidR="00720907">
          <w:rPr>
            <w:noProof/>
            <w:webHidden/>
          </w:rPr>
          <w:t>v</w:t>
        </w:r>
        <w:r w:rsidR="00720907">
          <w:rPr>
            <w:noProof/>
            <w:webHidden/>
          </w:rPr>
          <w:fldChar w:fldCharType="end"/>
        </w:r>
      </w:hyperlink>
    </w:p>
    <w:p w:rsidR="00720907" w:rsidRDefault="00A324AA">
      <w:pPr>
        <w:pStyle w:val="TOC1"/>
        <w:tabs>
          <w:tab w:val="right" w:leader="dot" w:pos="9350"/>
        </w:tabs>
        <w:rPr>
          <w:rFonts w:asciiTheme="minorHAnsi" w:eastAsiaTheme="minorEastAsia" w:hAnsiTheme="minorHAnsi" w:cstheme="minorBidi"/>
          <w:noProof/>
          <w:sz w:val="22"/>
          <w:szCs w:val="22"/>
        </w:rPr>
      </w:pPr>
      <w:hyperlink w:anchor="_Toc392779998" w:history="1">
        <w:r w:rsidR="00720907" w:rsidRPr="00DE4590">
          <w:rPr>
            <w:rStyle w:val="Hyperlink"/>
            <w:noProof/>
          </w:rPr>
          <w:t>Table of Contents</w:t>
        </w:r>
        <w:r w:rsidR="00720907">
          <w:rPr>
            <w:noProof/>
            <w:webHidden/>
          </w:rPr>
          <w:tab/>
        </w:r>
        <w:r w:rsidR="00720907">
          <w:rPr>
            <w:noProof/>
            <w:webHidden/>
          </w:rPr>
          <w:fldChar w:fldCharType="begin"/>
        </w:r>
        <w:r w:rsidR="00720907">
          <w:rPr>
            <w:noProof/>
            <w:webHidden/>
          </w:rPr>
          <w:instrText xml:space="preserve"> PAGEREF _Toc392779998 \h </w:instrText>
        </w:r>
        <w:r w:rsidR="00720907">
          <w:rPr>
            <w:noProof/>
            <w:webHidden/>
          </w:rPr>
        </w:r>
        <w:r w:rsidR="00720907">
          <w:rPr>
            <w:noProof/>
            <w:webHidden/>
          </w:rPr>
          <w:fldChar w:fldCharType="separate"/>
        </w:r>
        <w:r w:rsidR="00720907">
          <w:rPr>
            <w:noProof/>
            <w:webHidden/>
          </w:rPr>
          <w:t>vi</w:t>
        </w:r>
        <w:r w:rsidR="00720907">
          <w:rPr>
            <w:noProof/>
            <w:webHidden/>
          </w:rPr>
          <w:fldChar w:fldCharType="end"/>
        </w:r>
      </w:hyperlink>
    </w:p>
    <w:p w:rsidR="00720907" w:rsidRDefault="00A324AA">
      <w:pPr>
        <w:pStyle w:val="TOC1"/>
        <w:tabs>
          <w:tab w:val="right" w:leader="dot" w:pos="9350"/>
        </w:tabs>
        <w:rPr>
          <w:rFonts w:asciiTheme="minorHAnsi" w:eastAsiaTheme="minorEastAsia" w:hAnsiTheme="minorHAnsi" w:cstheme="minorBidi"/>
          <w:noProof/>
          <w:sz w:val="22"/>
          <w:szCs w:val="22"/>
        </w:rPr>
      </w:pPr>
      <w:hyperlink w:anchor="_Toc392779999" w:history="1">
        <w:r w:rsidR="00720907" w:rsidRPr="00DE4590">
          <w:rPr>
            <w:rStyle w:val="Hyperlink"/>
            <w:noProof/>
          </w:rPr>
          <w:t>Section 1. General Measure &amp; Baseline Data</w:t>
        </w:r>
        <w:r w:rsidR="00720907">
          <w:rPr>
            <w:noProof/>
            <w:webHidden/>
          </w:rPr>
          <w:tab/>
        </w:r>
        <w:r w:rsidR="00720907">
          <w:rPr>
            <w:noProof/>
            <w:webHidden/>
          </w:rPr>
          <w:fldChar w:fldCharType="begin"/>
        </w:r>
        <w:r w:rsidR="00720907">
          <w:rPr>
            <w:noProof/>
            <w:webHidden/>
          </w:rPr>
          <w:instrText xml:space="preserve"> PAGEREF _Toc392779999 \h </w:instrText>
        </w:r>
        <w:r w:rsidR="00720907">
          <w:rPr>
            <w:noProof/>
            <w:webHidden/>
          </w:rPr>
        </w:r>
        <w:r w:rsidR="00720907">
          <w:rPr>
            <w:noProof/>
            <w:webHidden/>
          </w:rPr>
          <w:fldChar w:fldCharType="separate"/>
        </w:r>
        <w:r w:rsidR="00720907">
          <w:rPr>
            <w:noProof/>
            <w:webHidden/>
          </w:rPr>
          <w:t>1</w:t>
        </w:r>
        <w:r w:rsidR="00720907">
          <w:rPr>
            <w:noProof/>
            <w:webHidden/>
          </w:rPr>
          <w:fldChar w:fldCharType="end"/>
        </w:r>
      </w:hyperlink>
    </w:p>
    <w:p w:rsidR="00720907" w:rsidRDefault="00A324AA">
      <w:pPr>
        <w:pStyle w:val="TOC2"/>
        <w:tabs>
          <w:tab w:val="right" w:leader="dot" w:pos="9350"/>
        </w:tabs>
        <w:rPr>
          <w:rFonts w:asciiTheme="minorHAnsi" w:eastAsiaTheme="minorEastAsia" w:hAnsiTheme="minorHAnsi" w:cstheme="minorBidi"/>
          <w:noProof/>
          <w:sz w:val="22"/>
          <w:szCs w:val="22"/>
        </w:rPr>
      </w:pPr>
      <w:hyperlink w:anchor="_Toc392780000" w:history="1">
        <w:r w:rsidR="00720907" w:rsidRPr="00DE4590">
          <w:rPr>
            <w:rStyle w:val="Hyperlink"/>
            <w:noProof/>
          </w:rPr>
          <w:t>1.1 Product Measure Description &amp; Background</w:t>
        </w:r>
        <w:r w:rsidR="00720907">
          <w:rPr>
            <w:noProof/>
            <w:webHidden/>
          </w:rPr>
          <w:tab/>
        </w:r>
        <w:r w:rsidR="00720907">
          <w:rPr>
            <w:noProof/>
            <w:webHidden/>
          </w:rPr>
          <w:fldChar w:fldCharType="begin"/>
        </w:r>
        <w:r w:rsidR="00720907">
          <w:rPr>
            <w:noProof/>
            <w:webHidden/>
          </w:rPr>
          <w:instrText xml:space="preserve"> PAGEREF _Toc392780000 \h </w:instrText>
        </w:r>
        <w:r w:rsidR="00720907">
          <w:rPr>
            <w:noProof/>
            <w:webHidden/>
          </w:rPr>
        </w:r>
        <w:r w:rsidR="00720907">
          <w:rPr>
            <w:noProof/>
            <w:webHidden/>
          </w:rPr>
          <w:fldChar w:fldCharType="separate"/>
        </w:r>
        <w:r w:rsidR="00720907">
          <w:rPr>
            <w:noProof/>
            <w:webHidden/>
          </w:rPr>
          <w:t>1</w:t>
        </w:r>
        <w:r w:rsidR="00720907">
          <w:rPr>
            <w:noProof/>
            <w:webHidden/>
          </w:rPr>
          <w:fldChar w:fldCharType="end"/>
        </w:r>
      </w:hyperlink>
    </w:p>
    <w:p w:rsidR="00720907" w:rsidRDefault="00A324AA">
      <w:pPr>
        <w:pStyle w:val="TOC2"/>
        <w:tabs>
          <w:tab w:val="right" w:leader="dot" w:pos="9350"/>
        </w:tabs>
        <w:rPr>
          <w:rFonts w:asciiTheme="minorHAnsi" w:eastAsiaTheme="minorEastAsia" w:hAnsiTheme="minorHAnsi" w:cstheme="minorBidi"/>
          <w:noProof/>
          <w:sz w:val="22"/>
          <w:szCs w:val="22"/>
        </w:rPr>
      </w:pPr>
      <w:hyperlink w:anchor="_Toc392780001" w:history="1">
        <w:r w:rsidR="00720907" w:rsidRPr="00DE4590">
          <w:rPr>
            <w:rStyle w:val="Hyperlink"/>
            <w:noProof/>
          </w:rPr>
          <w:t>1.2 Product Technical Description</w:t>
        </w:r>
        <w:r w:rsidR="00720907">
          <w:rPr>
            <w:noProof/>
            <w:webHidden/>
          </w:rPr>
          <w:tab/>
        </w:r>
        <w:r w:rsidR="00720907">
          <w:rPr>
            <w:noProof/>
            <w:webHidden/>
          </w:rPr>
          <w:fldChar w:fldCharType="begin"/>
        </w:r>
        <w:r w:rsidR="00720907">
          <w:rPr>
            <w:noProof/>
            <w:webHidden/>
          </w:rPr>
          <w:instrText xml:space="preserve"> PAGEREF _Toc392780001 \h </w:instrText>
        </w:r>
        <w:r w:rsidR="00720907">
          <w:rPr>
            <w:noProof/>
            <w:webHidden/>
          </w:rPr>
        </w:r>
        <w:r w:rsidR="00720907">
          <w:rPr>
            <w:noProof/>
            <w:webHidden/>
          </w:rPr>
          <w:fldChar w:fldCharType="separate"/>
        </w:r>
        <w:r w:rsidR="00720907">
          <w:rPr>
            <w:noProof/>
            <w:webHidden/>
          </w:rPr>
          <w:t>2</w:t>
        </w:r>
        <w:r w:rsidR="00720907">
          <w:rPr>
            <w:noProof/>
            <w:webHidden/>
          </w:rPr>
          <w:fldChar w:fldCharType="end"/>
        </w:r>
      </w:hyperlink>
    </w:p>
    <w:p w:rsidR="00720907" w:rsidRDefault="00A324AA">
      <w:pPr>
        <w:pStyle w:val="TOC2"/>
        <w:tabs>
          <w:tab w:val="right" w:leader="dot" w:pos="9350"/>
        </w:tabs>
        <w:rPr>
          <w:rFonts w:asciiTheme="minorHAnsi" w:eastAsiaTheme="minorEastAsia" w:hAnsiTheme="minorHAnsi" w:cstheme="minorBidi"/>
          <w:noProof/>
          <w:sz w:val="22"/>
          <w:szCs w:val="22"/>
        </w:rPr>
      </w:pPr>
      <w:hyperlink w:anchor="_Toc392780002" w:history="1">
        <w:r w:rsidR="00720907" w:rsidRPr="00DE4590">
          <w:rPr>
            <w:rStyle w:val="Hyperlink"/>
            <w:noProof/>
          </w:rPr>
          <w:t>1.3 Measure Application Type</w:t>
        </w:r>
        <w:r w:rsidR="00720907">
          <w:rPr>
            <w:noProof/>
            <w:webHidden/>
          </w:rPr>
          <w:tab/>
        </w:r>
        <w:r w:rsidR="00720907">
          <w:rPr>
            <w:noProof/>
            <w:webHidden/>
          </w:rPr>
          <w:fldChar w:fldCharType="begin"/>
        </w:r>
        <w:r w:rsidR="00720907">
          <w:rPr>
            <w:noProof/>
            <w:webHidden/>
          </w:rPr>
          <w:instrText xml:space="preserve"> PAGEREF _Toc392780002 \h </w:instrText>
        </w:r>
        <w:r w:rsidR="00720907">
          <w:rPr>
            <w:noProof/>
            <w:webHidden/>
          </w:rPr>
        </w:r>
        <w:r w:rsidR="00720907">
          <w:rPr>
            <w:noProof/>
            <w:webHidden/>
          </w:rPr>
          <w:fldChar w:fldCharType="separate"/>
        </w:r>
        <w:r w:rsidR="00720907">
          <w:rPr>
            <w:noProof/>
            <w:webHidden/>
          </w:rPr>
          <w:t>2</w:t>
        </w:r>
        <w:r w:rsidR="00720907">
          <w:rPr>
            <w:noProof/>
            <w:webHidden/>
          </w:rPr>
          <w:fldChar w:fldCharType="end"/>
        </w:r>
      </w:hyperlink>
    </w:p>
    <w:p w:rsidR="00720907" w:rsidRDefault="00A324AA">
      <w:pPr>
        <w:pStyle w:val="TOC2"/>
        <w:tabs>
          <w:tab w:val="right" w:leader="dot" w:pos="9350"/>
        </w:tabs>
        <w:rPr>
          <w:rFonts w:asciiTheme="minorHAnsi" w:eastAsiaTheme="minorEastAsia" w:hAnsiTheme="minorHAnsi" w:cstheme="minorBidi"/>
          <w:noProof/>
          <w:sz w:val="22"/>
          <w:szCs w:val="22"/>
        </w:rPr>
      </w:pPr>
      <w:hyperlink w:anchor="_Toc392780003" w:history="1">
        <w:r w:rsidR="00720907" w:rsidRPr="00DE4590">
          <w:rPr>
            <w:rStyle w:val="Hyperlink"/>
            <w:noProof/>
          </w:rPr>
          <w:t>1.4 Product Base Case and Measure Case Data</w:t>
        </w:r>
        <w:r w:rsidR="00720907">
          <w:rPr>
            <w:noProof/>
            <w:webHidden/>
          </w:rPr>
          <w:tab/>
        </w:r>
        <w:r w:rsidR="00720907">
          <w:rPr>
            <w:noProof/>
            <w:webHidden/>
          </w:rPr>
          <w:fldChar w:fldCharType="begin"/>
        </w:r>
        <w:r w:rsidR="00720907">
          <w:rPr>
            <w:noProof/>
            <w:webHidden/>
          </w:rPr>
          <w:instrText xml:space="preserve"> PAGEREF _Toc392780003 \h </w:instrText>
        </w:r>
        <w:r w:rsidR="00720907">
          <w:rPr>
            <w:noProof/>
            <w:webHidden/>
          </w:rPr>
        </w:r>
        <w:r w:rsidR="00720907">
          <w:rPr>
            <w:noProof/>
            <w:webHidden/>
          </w:rPr>
          <w:fldChar w:fldCharType="separate"/>
        </w:r>
        <w:r w:rsidR="00720907">
          <w:rPr>
            <w:noProof/>
            <w:webHidden/>
          </w:rPr>
          <w:t>3</w:t>
        </w:r>
        <w:r w:rsidR="00720907">
          <w:rPr>
            <w:noProof/>
            <w:webHidden/>
          </w:rPr>
          <w:fldChar w:fldCharType="end"/>
        </w:r>
      </w:hyperlink>
    </w:p>
    <w:p w:rsidR="00720907" w:rsidRDefault="00A324AA">
      <w:pPr>
        <w:pStyle w:val="TOC2"/>
        <w:tabs>
          <w:tab w:val="right" w:leader="dot" w:pos="9350"/>
        </w:tabs>
        <w:rPr>
          <w:rFonts w:asciiTheme="minorHAnsi" w:eastAsiaTheme="minorEastAsia" w:hAnsiTheme="minorHAnsi" w:cstheme="minorBidi"/>
          <w:noProof/>
          <w:sz w:val="22"/>
          <w:szCs w:val="22"/>
        </w:rPr>
      </w:pPr>
      <w:hyperlink w:anchor="_Toc392780004" w:history="1">
        <w:r w:rsidR="00720907" w:rsidRPr="00DE4590">
          <w:rPr>
            <w:rStyle w:val="Hyperlink"/>
            <w:noProof/>
          </w:rPr>
          <w:t>1.4.1 DEER Base Case and Measure Case Information</w:t>
        </w:r>
        <w:r w:rsidR="00720907">
          <w:rPr>
            <w:noProof/>
            <w:webHidden/>
          </w:rPr>
          <w:tab/>
        </w:r>
        <w:r w:rsidR="00720907">
          <w:rPr>
            <w:noProof/>
            <w:webHidden/>
          </w:rPr>
          <w:fldChar w:fldCharType="begin"/>
        </w:r>
        <w:r w:rsidR="00720907">
          <w:rPr>
            <w:noProof/>
            <w:webHidden/>
          </w:rPr>
          <w:instrText xml:space="preserve"> PAGEREF _Toc392780004 \h </w:instrText>
        </w:r>
        <w:r w:rsidR="00720907">
          <w:rPr>
            <w:noProof/>
            <w:webHidden/>
          </w:rPr>
        </w:r>
        <w:r w:rsidR="00720907">
          <w:rPr>
            <w:noProof/>
            <w:webHidden/>
          </w:rPr>
          <w:fldChar w:fldCharType="separate"/>
        </w:r>
        <w:r w:rsidR="00720907">
          <w:rPr>
            <w:noProof/>
            <w:webHidden/>
          </w:rPr>
          <w:t>3</w:t>
        </w:r>
        <w:r w:rsidR="00720907">
          <w:rPr>
            <w:noProof/>
            <w:webHidden/>
          </w:rPr>
          <w:fldChar w:fldCharType="end"/>
        </w:r>
      </w:hyperlink>
    </w:p>
    <w:p w:rsidR="00720907" w:rsidRDefault="00A324AA">
      <w:pPr>
        <w:pStyle w:val="TOC2"/>
        <w:tabs>
          <w:tab w:val="right" w:leader="dot" w:pos="9350"/>
        </w:tabs>
        <w:rPr>
          <w:rFonts w:asciiTheme="minorHAnsi" w:eastAsiaTheme="minorEastAsia" w:hAnsiTheme="minorHAnsi" w:cstheme="minorBidi"/>
          <w:noProof/>
          <w:sz w:val="22"/>
          <w:szCs w:val="22"/>
        </w:rPr>
      </w:pPr>
      <w:hyperlink w:anchor="_Toc392780005" w:history="1">
        <w:r w:rsidR="00720907" w:rsidRPr="00DE4590">
          <w:rPr>
            <w:rStyle w:val="Hyperlink"/>
            <w:noProof/>
          </w:rPr>
          <w:t>1.4.2 Codes &amp; Standards Requirements Base Case and Measure Information</w:t>
        </w:r>
        <w:r w:rsidR="00720907">
          <w:rPr>
            <w:noProof/>
            <w:webHidden/>
          </w:rPr>
          <w:tab/>
        </w:r>
        <w:r w:rsidR="00720907">
          <w:rPr>
            <w:noProof/>
            <w:webHidden/>
          </w:rPr>
          <w:fldChar w:fldCharType="begin"/>
        </w:r>
        <w:r w:rsidR="00720907">
          <w:rPr>
            <w:noProof/>
            <w:webHidden/>
          </w:rPr>
          <w:instrText xml:space="preserve"> PAGEREF _Toc392780005 \h </w:instrText>
        </w:r>
        <w:r w:rsidR="00720907">
          <w:rPr>
            <w:noProof/>
            <w:webHidden/>
          </w:rPr>
        </w:r>
        <w:r w:rsidR="00720907">
          <w:rPr>
            <w:noProof/>
            <w:webHidden/>
          </w:rPr>
          <w:fldChar w:fldCharType="separate"/>
        </w:r>
        <w:r w:rsidR="00720907">
          <w:rPr>
            <w:noProof/>
            <w:webHidden/>
          </w:rPr>
          <w:t>4</w:t>
        </w:r>
        <w:r w:rsidR="00720907">
          <w:rPr>
            <w:noProof/>
            <w:webHidden/>
          </w:rPr>
          <w:fldChar w:fldCharType="end"/>
        </w:r>
      </w:hyperlink>
    </w:p>
    <w:p w:rsidR="00720907" w:rsidRDefault="00A324AA">
      <w:pPr>
        <w:pStyle w:val="TOC2"/>
        <w:tabs>
          <w:tab w:val="right" w:leader="dot" w:pos="9350"/>
        </w:tabs>
        <w:rPr>
          <w:rFonts w:asciiTheme="minorHAnsi" w:eastAsiaTheme="minorEastAsia" w:hAnsiTheme="minorHAnsi" w:cstheme="minorBidi"/>
          <w:noProof/>
          <w:sz w:val="22"/>
          <w:szCs w:val="22"/>
        </w:rPr>
      </w:pPr>
      <w:hyperlink w:anchor="_Toc392780006" w:history="1">
        <w:r w:rsidR="00720907" w:rsidRPr="00DE4590">
          <w:rPr>
            <w:rStyle w:val="Hyperlink"/>
            <w:noProof/>
          </w:rPr>
          <w:t>1.4.3 EM&amp;V, Market Potential, and Other Studies – Base Case and Measure Case Information</w:t>
        </w:r>
        <w:r w:rsidR="00720907">
          <w:rPr>
            <w:noProof/>
            <w:webHidden/>
          </w:rPr>
          <w:tab/>
        </w:r>
        <w:r w:rsidR="00720907">
          <w:rPr>
            <w:noProof/>
            <w:webHidden/>
          </w:rPr>
          <w:fldChar w:fldCharType="begin"/>
        </w:r>
        <w:r w:rsidR="00720907">
          <w:rPr>
            <w:noProof/>
            <w:webHidden/>
          </w:rPr>
          <w:instrText xml:space="preserve"> PAGEREF _Toc392780006 \h </w:instrText>
        </w:r>
        <w:r w:rsidR="00720907">
          <w:rPr>
            <w:noProof/>
            <w:webHidden/>
          </w:rPr>
        </w:r>
        <w:r w:rsidR="00720907">
          <w:rPr>
            <w:noProof/>
            <w:webHidden/>
          </w:rPr>
          <w:fldChar w:fldCharType="separate"/>
        </w:r>
        <w:r w:rsidR="00720907">
          <w:rPr>
            <w:noProof/>
            <w:webHidden/>
          </w:rPr>
          <w:t>4</w:t>
        </w:r>
        <w:r w:rsidR="00720907">
          <w:rPr>
            <w:noProof/>
            <w:webHidden/>
          </w:rPr>
          <w:fldChar w:fldCharType="end"/>
        </w:r>
      </w:hyperlink>
    </w:p>
    <w:p w:rsidR="00720907" w:rsidRDefault="00A324AA">
      <w:pPr>
        <w:pStyle w:val="TOC2"/>
        <w:tabs>
          <w:tab w:val="right" w:leader="dot" w:pos="9350"/>
        </w:tabs>
        <w:rPr>
          <w:rFonts w:asciiTheme="minorHAnsi" w:eastAsiaTheme="minorEastAsia" w:hAnsiTheme="minorHAnsi" w:cstheme="minorBidi"/>
          <w:noProof/>
          <w:sz w:val="22"/>
          <w:szCs w:val="22"/>
        </w:rPr>
      </w:pPr>
      <w:hyperlink w:anchor="_Toc392780007" w:history="1">
        <w:r w:rsidR="00720907" w:rsidRPr="00DE4590">
          <w:rPr>
            <w:rStyle w:val="Hyperlink"/>
            <w:noProof/>
          </w:rPr>
          <w:t>1.4.4 Assumptions and Calculations from other sources – Base and Measure Cases</w:t>
        </w:r>
        <w:r w:rsidR="00720907">
          <w:rPr>
            <w:noProof/>
            <w:webHidden/>
          </w:rPr>
          <w:tab/>
        </w:r>
        <w:r w:rsidR="00720907">
          <w:rPr>
            <w:noProof/>
            <w:webHidden/>
          </w:rPr>
          <w:fldChar w:fldCharType="begin"/>
        </w:r>
        <w:r w:rsidR="00720907">
          <w:rPr>
            <w:noProof/>
            <w:webHidden/>
          </w:rPr>
          <w:instrText xml:space="preserve"> PAGEREF _Toc392780007 \h </w:instrText>
        </w:r>
        <w:r w:rsidR="00720907">
          <w:rPr>
            <w:noProof/>
            <w:webHidden/>
          </w:rPr>
        </w:r>
        <w:r w:rsidR="00720907">
          <w:rPr>
            <w:noProof/>
            <w:webHidden/>
          </w:rPr>
          <w:fldChar w:fldCharType="separate"/>
        </w:r>
        <w:r w:rsidR="00720907">
          <w:rPr>
            <w:noProof/>
            <w:webHidden/>
          </w:rPr>
          <w:t>4</w:t>
        </w:r>
        <w:r w:rsidR="00720907">
          <w:rPr>
            <w:noProof/>
            <w:webHidden/>
          </w:rPr>
          <w:fldChar w:fldCharType="end"/>
        </w:r>
      </w:hyperlink>
    </w:p>
    <w:p w:rsidR="00720907" w:rsidRDefault="00A324AA">
      <w:pPr>
        <w:pStyle w:val="TOC2"/>
        <w:tabs>
          <w:tab w:val="right" w:leader="dot" w:pos="9350"/>
        </w:tabs>
        <w:rPr>
          <w:rFonts w:asciiTheme="minorHAnsi" w:eastAsiaTheme="minorEastAsia" w:hAnsiTheme="minorHAnsi" w:cstheme="minorBidi"/>
          <w:noProof/>
          <w:sz w:val="22"/>
          <w:szCs w:val="22"/>
        </w:rPr>
      </w:pPr>
      <w:hyperlink w:anchor="_Toc392780008" w:history="1">
        <w:r w:rsidR="00720907" w:rsidRPr="00DE4590">
          <w:rPr>
            <w:rStyle w:val="Hyperlink"/>
            <w:noProof/>
          </w:rPr>
          <w:t>1.4.5 Time-of-Use Adjustment Factor</w:t>
        </w:r>
        <w:r w:rsidR="00720907">
          <w:rPr>
            <w:noProof/>
            <w:webHidden/>
          </w:rPr>
          <w:tab/>
        </w:r>
        <w:r w:rsidR="00720907">
          <w:rPr>
            <w:noProof/>
            <w:webHidden/>
          </w:rPr>
          <w:fldChar w:fldCharType="begin"/>
        </w:r>
        <w:r w:rsidR="00720907">
          <w:rPr>
            <w:noProof/>
            <w:webHidden/>
          </w:rPr>
          <w:instrText xml:space="preserve"> PAGEREF _Toc392780008 \h </w:instrText>
        </w:r>
        <w:r w:rsidR="00720907">
          <w:rPr>
            <w:noProof/>
            <w:webHidden/>
          </w:rPr>
        </w:r>
        <w:r w:rsidR="00720907">
          <w:rPr>
            <w:noProof/>
            <w:webHidden/>
          </w:rPr>
          <w:fldChar w:fldCharType="separate"/>
        </w:r>
        <w:r w:rsidR="00720907">
          <w:rPr>
            <w:noProof/>
            <w:webHidden/>
          </w:rPr>
          <w:t>4</w:t>
        </w:r>
        <w:r w:rsidR="00720907">
          <w:rPr>
            <w:noProof/>
            <w:webHidden/>
          </w:rPr>
          <w:fldChar w:fldCharType="end"/>
        </w:r>
      </w:hyperlink>
    </w:p>
    <w:p w:rsidR="00720907" w:rsidRDefault="00A324AA">
      <w:pPr>
        <w:pStyle w:val="TOC2"/>
        <w:tabs>
          <w:tab w:val="right" w:leader="dot" w:pos="9350"/>
        </w:tabs>
        <w:rPr>
          <w:rFonts w:asciiTheme="minorHAnsi" w:eastAsiaTheme="minorEastAsia" w:hAnsiTheme="minorHAnsi" w:cstheme="minorBidi"/>
          <w:noProof/>
          <w:sz w:val="22"/>
          <w:szCs w:val="22"/>
        </w:rPr>
      </w:pPr>
      <w:hyperlink w:anchor="_Toc392780009" w:history="1">
        <w:r w:rsidR="00720907" w:rsidRPr="00DE4590">
          <w:rPr>
            <w:rStyle w:val="Hyperlink"/>
            <w:noProof/>
          </w:rPr>
          <w:t>1.5 Summary of Inputs for Savings Calculations</w:t>
        </w:r>
        <w:r w:rsidR="00720907">
          <w:rPr>
            <w:noProof/>
            <w:webHidden/>
          </w:rPr>
          <w:tab/>
        </w:r>
        <w:r w:rsidR="00720907">
          <w:rPr>
            <w:noProof/>
            <w:webHidden/>
          </w:rPr>
          <w:fldChar w:fldCharType="begin"/>
        </w:r>
        <w:r w:rsidR="00720907">
          <w:rPr>
            <w:noProof/>
            <w:webHidden/>
          </w:rPr>
          <w:instrText xml:space="preserve"> PAGEREF _Toc392780009 \h </w:instrText>
        </w:r>
        <w:r w:rsidR="00720907">
          <w:rPr>
            <w:noProof/>
            <w:webHidden/>
          </w:rPr>
        </w:r>
        <w:r w:rsidR="00720907">
          <w:rPr>
            <w:noProof/>
            <w:webHidden/>
          </w:rPr>
          <w:fldChar w:fldCharType="separate"/>
        </w:r>
        <w:r w:rsidR="00720907">
          <w:rPr>
            <w:noProof/>
            <w:webHidden/>
          </w:rPr>
          <w:t>5</w:t>
        </w:r>
        <w:r w:rsidR="00720907">
          <w:rPr>
            <w:noProof/>
            <w:webHidden/>
          </w:rPr>
          <w:fldChar w:fldCharType="end"/>
        </w:r>
      </w:hyperlink>
    </w:p>
    <w:p w:rsidR="00720907" w:rsidRDefault="00A324AA">
      <w:pPr>
        <w:pStyle w:val="TOC1"/>
        <w:tabs>
          <w:tab w:val="right" w:leader="dot" w:pos="9350"/>
        </w:tabs>
        <w:rPr>
          <w:rFonts w:asciiTheme="minorHAnsi" w:eastAsiaTheme="minorEastAsia" w:hAnsiTheme="minorHAnsi" w:cstheme="minorBidi"/>
          <w:noProof/>
          <w:sz w:val="22"/>
          <w:szCs w:val="22"/>
        </w:rPr>
      </w:pPr>
      <w:hyperlink w:anchor="_Toc392780010" w:history="1">
        <w:r w:rsidR="00720907" w:rsidRPr="00DE4590">
          <w:rPr>
            <w:rStyle w:val="Hyperlink"/>
            <w:noProof/>
          </w:rPr>
          <w:t>Section 2. Calculation Methods</w:t>
        </w:r>
        <w:r w:rsidR="00720907">
          <w:rPr>
            <w:noProof/>
            <w:webHidden/>
          </w:rPr>
          <w:tab/>
        </w:r>
        <w:r w:rsidR="00720907">
          <w:rPr>
            <w:noProof/>
            <w:webHidden/>
          </w:rPr>
          <w:fldChar w:fldCharType="begin"/>
        </w:r>
        <w:r w:rsidR="00720907">
          <w:rPr>
            <w:noProof/>
            <w:webHidden/>
          </w:rPr>
          <w:instrText xml:space="preserve"> PAGEREF _Toc392780010 \h </w:instrText>
        </w:r>
        <w:r w:rsidR="00720907">
          <w:rPr>
            <w:noProof/>
            <w:webHidden/>
          </w:rPr>
        </w:r>
        <w:r w:rsidR="00720907">
          <w:rPr>
            <w:noProof/>
            <w:webHidden/>
          </w:rPr>
          <w:fldChar w:fldCharType="separate"/>
        </w:r>
        <w:r w:rsidR="00720907">
          <w:rPr>
            <w:noProof/>
            <w:webHidden/>
          </w:rPr>
          <w:t>6</w:t>
        </w:r>
        <w:r w:rsidR="00720907">
          <w:rPr>
            <w:noProof/>
            <w:webHidden/>
          </w:rPr>
          <w:fldChar w:fldCharType="end"/>
        </w:r>
      </w:hyperlink>
    </w:p>
    <w:p w:rsidR="00720907" w:rsidRDefault="00A324AA">
      <w:pPr>
        <w:pStyle w:val="TOC2"/>
        <w:tabs>
          <w:tab w:val="right" w:leader="dot" w:pos="9350"/>
        </w:tabs>
        <w:rPr>
          <w:rFonts w:asciiTheme="minorHAnsi" w:eastAsiaTheme="minorEastAsia" w:hAnsiTheme="minorHAnsi" w:cstheme="minorBidi"/>
          <w:noProof/>
          <w:sz w:val="22"/>
          <w:szCs w:val="22"/>
        </w:rPr>
      </w:pPr>
      <w:hyperlink w:anchor="_Toc392780011" w:history="1">
        <w:r w:rsidR="00720907" w:rsidRPr="00DE4590">
          <w:rPr>
            <w:rStyle w:val="Hyperlink"/>
            <w:noProof/>
          </w:rPr>
          <w:t>2.1 Electric Energy Savings Estimation Methodologies</w:t>
        </w:r>
        <w:r w:rsidR="00720907">
          <w:rPr>
            <w:noProof/>
            <w:webHidden/>
          </w:rPr>
          <w:tab/>
        </w:r>
        <w:r w:rsidR="00720907">
          <w:rPr>
            <w:noProof/>
            <w:webHidden/>
          </w:rPr>
          <w:fldChar w:fldCharType="begin"/>
        </w:r>
        <w:r w:rsidR="00720907">
          <w:rPr>
            <w:noProof/>
            <w:webHidden/>
          </w:rPr>
          <w:instrText xml:space="preserve"> PAGEREF _Toc392780011 \h </w:instrText>
        </w:r>
        <w:r w:rsidR="00720907">
          <w:rPr>
            <w:noProof/>
            <w:webHidden/>
          </w:rPr>
        </w:r>
        <w:r w:rsidR="00720907">
          <w:rPr>
            <w:noProof/>
            <w:webHidden/>
          </w:rPr>
          <w:fldChar w:fldCharType="separate"/>
        </w:r>
        <w:r w:rsidR="00720907">
          <w:rPr>
            <w:noProof/>
            <w:webHidden/>
          </w:rPr>
          <w:t>6</w:t>
        </w:r>
        <w:r w:rsidR="00720907">
          <w:rPr>
            <w:noProof/>
            <w:webHidden/>
          </w:rPr>
          <w:fldChar w:fldCharType="end"/>
        </w:r>
      </w:hyperlink>
    </w:p>
    <w:p w:rsidR="00720907" w:rsidRDefault="00A324AA">
      <w:pPr>
        <w:pStyle w:val="TOC2"/>
        <w:tabs>
          <w:tab w:val="right" w:leader="dot" w:pos="9350"/>
        </w:tabs>
        <w:rPr>
          <w:rFonts w:asciiTheme="minorHAnsi" w:eastAsiaTheme="minorEastAsia" w:hAnsiTheme="minorHAnsi" w:cstheme="minorBidi"/>
          <w:noProof/>
          <w:sz w:val="22"/>
          <w:szCs w:val="22"/>
        </w:rPr>
      </w:pPr>
      <w:hyperlink w:anchor="_Toc392780012" w:history="1">
        <w:r w:rsidR="00720907" w:rsidRPr="00DE4590">
          <w:rPr>
            <w:rStyle w:val="Hyperlink"/>
            <w:noProof/>
          </w:rPr>
          <w:t>2.2 Demand Reduction Estimation Methodologies</w:t>
        </w:r>
        <w:r w:rsidR="00720907">
          <w:rPr>
            <w:noProof/>
            <w:webHidden/>
          </w:rPr>
          <w:tab/>
        </w:r>
        <w:r w:rsidR="00720907">
          <w:rPr>
            <w:noProof/>
            <w:webHidden/>
          </w:rPr>
          <w:fldChar w:fldCharType="begin"/>
        </w:r>
        <w:r w:rsidR="00720907">
          <w:rPr>
            <w:noProof/>
            <w:webHidden/>
          </w:rPr>
          <w:instrText xml:space="preserve"> PAGEREF _Toc392780012 \h </w:instrText>
        </w:r>
        <w:r w:rsidR="00720907">
          <w:rPr>
            <w:noProof/>
            <w:webHidden/>
          </w:rPr>
        </w:r>
        <w:r w:rsidR="00720907">
          <w:rPr>
            <w:noProof/>
            <w:webHidden/>
          </w:rPr>
          <w:fldChar w:fldCharType="separate"/>
        </w:r>
        <w:r w:rsidR="00720907">
          <w:rPr>
            <w:noProof/>
            <w:webHidden/>
          </w:rPr>
          <w:t>7</w:t>
        </w:r>
        <w:r w:rsidR="00720907">
          <w:rPr>
            <w:noProof/>
            <w:webHidden/>
          </w:rPr>
          <w:fldChar w:fldCharType="end"/>
        </w:r>
      </w:hyperlink>
    </w:p>
    <w:p w:rsidR="00720907" w:rsidRDefault="00A324AA">
      <w:pPr>
        <w:pStyle w:val="TOC2"/>
        <w:tabs>
          <w:tab w:val="right" w:leader="dot" w:pos="9350"/>
        </w:tabs>
        <w:rPr>
          <w:rFonts w:asciiTheme="minorHAnsi" w:eastAsiaTheme="minorEastAsia" w:hAnsiTheme="minorHAnsi" w:cstheme="minorBidi"/>
          <w:noProof/>
          <w:sz w:val="22"/>
          <w:szCs w:val="22"/>
        </w:rPr>
      </w:pPr>
      <w:hyperlink w:anchor="_Toc392780013" w:history="1">
        <w:r w:rsidR="00720907" w:rsidRPr="00DE4590">
          <w:rPr>
            <w:rStyle w:val="Hyperlink"/>
            <w:noProof/>
          </w:rPr>
          <w:t>2.3. Gas Energy Savings Estimation Methodologies</w:t>
        </w:r>
        <w:r w:rsidR="00720907">
          <w:rPr>
            <w:noProof/>
            <w:webHidden/>
          </w:rPr>
          <w:tab/>
        </w:r>
        <w:r w:rsidR="00720907">
          <w:rPr>
            <w:noProof/>
            <w:webHidden/>
          </w:rPr>
          <w:fldChar w:fldCharType="begin"/>
        </w:r>
        <w:r w:rsidR="00720907">
          <w:rPr>
            <w:noProof/>
            <w:webHidden/>
          </w:rPr>
          <w:instrText xml:space="preserve"> PAGEREF _Toc392780013 \h </w:instrText>
        </w:r>
        <w:r w:rsidR="00720907">
          <w:rPr>
            <w:noProof/>
            <w:webHidden/>
          </w:rPr>
        </w:r>
        <w:r w:rsidR="00720907">
          <w:rPr>
            <w:noProof/>
            <w:webHidden/>
          </w:rPr>
          <w:fldChar w:fldCharType="separate"/>
        </w:r>
        <w:r w:rsidR="00720907">
          <w:rPr>
            <w:noProof/>
            <w:webHidden/>
          </w:rPr>
          <w:t>8</w:t>
        </w:r>
        <w:r w:rsidR="00720907">
          <w:rPr>
            <w:noProof/>
            <w:webHidden/>
          </w:rPr>
          <w:fldChar w:fldCharType="end"/>
        </w:r>
      </w:hyperlink>
    </w:p>
    <w:p w:rsidR="00720907" w:rsidRDefault="00A324AA">
      <w:pPr>
        <w:pStyle w:val="TOC1"/>
        <w:tabs>
          <w:tab w:val="right" w:leader="dot" w:pos="9350"/>
        </w:tabs>
        <w:rPr>
          <w:rFonts w:asciiTheme="minorHAnsi" w:eastAsiaTheme="minorEastAsia" w:hAnsiTheme="minorHAnsi" w:cstheme="minorBidi"/>
          <w:noProof/>
          <w:sz w:val="22"/>
          <w:szCs w:val="22"/>
        </w:rPr>
      </w:pPr>
      <w:hyperlink w:anchor="_Toc392780014" w:history="1">
        <w:r w:rsidR="00720907" w:rsidRPr="00DE4590">
          <w:rPr>
            <w:rStyle w:val="Hyperlink"/>
            <w:noProof/>
          </w:rPr>
          <w:t>Section 3. Load Shapes</w:t>
        </w:r>
        <w:r w:rsidR="00720907">
          <w:rPr>
            <w:noProof/>
            <w:webHidden/>
          </w:rPr>
          <w:tab/>
        </w:r>
        <w:r w:rsidR="00720907">
          <w:rPr>
            <w:noProof/>
            <w:webHidden/>
          </w:rPr>
          <w:fldChar w:fldCharType="begin"/>
        </w:r>
        <w:r w:rsidR="00720907">
          <w:rPr>
            <w:noProof/>
            <w:webHidden/>
          </w:rPr>
          <w:instrText xml:space="preserve"> PAGEREF _Toc392780014 \h </w:instrText>
        </w:r>
        <w:r w:rsidR="00720907">
          <w:rPr>
            <w:noProof/>
            <w:webHidden/>
          </w:rPr>
        </w:r>
        <w:r w:rsidR="00720907">
          <w:rPr>
            <w:noProof/>
            <w:webHidden/>
          </w:rPr>
          <w:fldChar w:fldCharType="separate"/>
        </w:r>
        <w:r w:rsidR="00720907">
          <w:rPr>
            <w:noProof/>
            <w:webHidden/>
          </w:rPr>
          <w:t>9</w:t>
        </w:r>
        <w:r w:rsidR="00720907">
          <w:rPr>
            <w:noProof/>
            <w:webHidden/>
          </w:rPr>
          <w:fldChar w:fldCharType="end"/>
        </w:r>
      </w:hyperlink>
    </w:p>
    <w:p w:rsidR="00720907" w:rsidRDefault="00A324AA">
      <w:pPr>
        <w:pStyle w:val="TOC1"/>
        <w:tabs>
          <w:tab w:val="right" w:leader="dot" w:pos="9350"/>
        </w:tabs>
        <w:rPr>
          <w:rFonts w:asciiTheme="minorHAnsi" w:eastAsiaTheme="minorEastAsia" w:hAnsiTheme="minorHAnsi" w:cstheme="minorBidi"/>
          <w:noProof/>
          <w:sz w:val="22"/>
          <w:szCs w:val="22"/>
        </w:rPr>
      </w:pPr>
      <w:hyperlink w:anchor="_Toc392780015" w:history="1">
        <w:r w:rsidR="00720907" w:rsidRPr="00DE4590">
          <w:rPr>
            <w:rStyle w:val="Hyperlink"/>
            <w:noProof/>
          </w:rPr>
          <w:t>Section 4. Base Case &amp; Measure Costs</w:t>
        </w:r>
        <w:r w:rsidR="00720907">
          <w:rPr>
            <w:noProof/>
            <w:webHidden/>
          </w:rPr>
          <w:tab/>
        </w:r>
        <w:r w:rsidR="00720907">
          <w:rPr>
            <w:noProof/>
            <w:webHidden/>
          </w:rPr>
          <w:fldChar w:fldCharType="begin"/>
        </w:r>
        <w:r w:rsidR="00720907">
          <w:rPr>
            <w:noProof/>
            <w:webHidden/>
          </w:rPr>
          <w:instrText xml:space="preserve"> PAGEREF _Toc392780015 \h </w:instrText>
        </w:r>
        <w:r w:rsidR="00720907">
          <w:rPr>
            <w:noProof/>
            <w:webHidden/>
          </w:rPr>
        </w:r>
        <w:r w:rsidR="00720907">
          <w:rPr>
            <w:noProof/>
            <w:webHidden/>
          </w:rPr>
          <w:fldChar w:fldCharType="separate"/>
        </w:r>
        <w:r w:rsidR="00720907">
          <w:rPr>
            <w:noProof/>
            <w:webHidden/>
          </w:rPr>
          <w:t>10</w:t>
        </w:r>
        <w:r w:rsidR="00720907">
          <w:rPr>
            <w:noProof/>
            <w:webHidden/>
          </w:rPr>
          <w:fldChar w:fldCharType="end"/>
        </w:r>
      </w:hyperlink>
    </w:p>
    <w:p w:rsidR="00720907" w:rsidRDefault="00A324AA">
      <w:pPr>
        <w:pStyle w:val="TOC2"/>
        <w:tabs>
          <w:tab w:val="right" w:leader="dot" w:pos="9350"/>
        </w:tabs>
        <w:rPr>
          <w:rFonts w:asciiTheme="minorHAnsi" w:eastAsiaTheme="minorEastAsia" w:hAnsiTheme="minorHAnsi" w:cstheme="minorBidi"/>
          <w:noProof/>
          <w:sz w:val="22"/>
          <w:szCs w:val="22"/>
        </w:rPr>
      </w:pPr>
      <w:hyperlink w:anchor="_Toc392780016" w:history="1">
        <w:r w:rsidR="00720907" w:rsidRPr="00DE4590">
          <w:rPr>
            <w:rStyle w:val="Hyperlink"/>
            <w:noProof/>
          </w:rPr>
          <w:t>4.1 Base Case(s) Costs</w:t>
        </w:r>
        <w:r w:rsidR="00720907">
          <w:rPr>
            <w:noProof/>
            <w:webHidden/>
          </w:rPr>
          <w:tab/>
        </w:r>
        <w:r w:rsidR="00720907">
          <w:rPr>
            <w:noProof/>
            <w:webHidden/>
          </w:rPr>
          <w:fldChar w:fldCharType="begin"/>
        </w:r>
        <w:r w:rsidR="00720907">
          <w:rPr>
            <w:noProof/>
            <w:webHidden/>
          </w:rPr>
          <w:instrText xml:space="preserve"> PAGEREF _Toc392780016 \h </w:instrText>
        </w:r>
        <w:r w:rsidR="00720907">
          <w:rPr>
            <w:noProof/>
            <w:webHidden/>
          </w:rPr>
        </w:r>
        <w:r w:rsidR="00720907">
          <w:rPr>
            <w:noProof/>
            <w:webHidden/>
          </w:rPr>
          <w:fldChar w:fldCharType="separate"/>
        </w:r>
        <w:r w:rsidR="00720907">
          <w:rPr>
            <w:noProof/>
            <w:webHidden/>
          </w:rPr>
          <w:t>10</w:t>
        </w:r>
        <w:r w:rsidR="00720907">
          <w:rPr>
            <w:noProof/>
            <w:webHidden/>
          </w:rPr>
          <w:fldChar w:fldCharType="end"/>
        </w:r>
      </w:hyperlink>
    </w:p>
    <w:p w:rsidR="00720907" w:rsidRDefault="00A324AA">
      <w:pPr>
        <w:pStyle w:val="TOC2"/>
        <w:tabs>
          <w:tab w:val="right" w:leader="dot" w:pos="9350"/>
        </w:tabs>
        <w:rPr>
          <w:rFonts w:asciiTheme="minorHAnsi" w:eastAsiaTheme="minorEastAsia" w:hAnsiTheme="minorHAnsi" w:cstheme="minorBidi"/>
          <w:noProof/>
          <w:sz w:val="22"/>
          <w:szCs w:val="22"/>
        </w:rPr>
      </w:pPr>
      <w:hyperlink w:anchor="_Toc392780017" w:history="1">
        <w:r w:rsidR="00720907" w:rsidRPr="00DE4590">
          <w:rPr>
            <w:rStyle w:val="Hyperlink"/>
            <w:noProof/>
          </w:rPr>
          <w:t>4.2 Measure Case Costs</w:t>
        </w:r>
        <w:r w:rsidR="00720907">
          <w:rPr>
            <w:noProof/>
            <w:webHidden/>
          </w:rPr>
          <w:tab/>
        </w:r>
        <w:r w:rsidR="00720907">
          <w:rPr>
            <w:noProof/>
            <w:webHidden/>
          </w:rPr>
          <w:fldChar w:fldCharType="begin"/>
        </w:r>
        <w:r w:rsidR="00720907">
          <w:rPr>
            <w:noProof/>
            <w:webHidden/>
          </w:rPr>
          <w:instrText xml:space="preserve"> PAGEREF _Toc392780017 \h </w:instrText>
        </w:r>
        <w:r w:rsidR="00720907">
          <w:rPr>
            <w:noProof/>
            <w:webHidden/>
          </w:rPr>
        </w:r>
        <w:r w:rsidR="00720907">
          <w:rPr>
            <w:noProof/>
            <w:webHidden/>
          </w:rPr>
          <w:fldChar w:fldCharType="separate"/>
        </w:r>
        <w:r w:rsidR="00720907">
          <w:rPr>
            <w:noProof/>
            <w:webHidden/>
          </w:rPr>
          <w:t>10</w:t>
        </w:r>
        <w:r w:rsidR="00720907">
          <w:rPr>
            <w:noProof/>
            <w:webHidden/>
          </w:rPr>
          <w:fldChar w:fldCharType="end"/>
        </w:r>
      </w:hyperlink>
    </w:p>
    <w:p w:rsidR="00720907" w:rsidRDefault="00A324AA">
      <w:pPr>
        <w:pStyle w:val="TOC2"/>
        <w:tabs>
          <w:tab w:val="right" w:leader="dot" w:pos="9350"/>
        </w:tabs>
        <w:rPr>
          <w:rFonts w:asciiTheme="minorHAnsi" w:eastAsiaTheme="minorEastAsia" w:hAnsiTheme="minorHAnsi" w:cstheme="minorBidi"/>
          <w:noProof/>
          <w:sz w:val="22"/>
          <w:szCs w:val="22"/>
        </w:rPr>
      </w:pPr>
      <w:hyperlink w:anchor="_Toc392780018" w:history="1">
        <w:r w:rsidR="00720907" w:rsidRPr="00DE4590">
          <w:rPr>
            <w:rStyle w:val="Hyperlink"/>
            <w:noProof/>
          </w:rPr>
          <w:t>4.3 Incremental &amp; Full Measure Costs</w:t>
        </w:r>
        <w:r w:rsidR="00720907">
          <w:rPr>
            <w:noProof/>
            <w:webHidden/>
          </w:rPr>
          <w:tab/>
        </w:r>
        <w:r w:rsidR="00720907">
          <w:rPr>
            <w:noProof/>
            <w:webHidden/>
          </w:rPr>
          <w:fldChar w:fldCharType="begin"/>
        </w:r>
        <w:r w:rsidR="00720907">
          <w:rPr>
            <w:noProof/>
            <w:webHidden/>
          </w:rPr>
          <w:instrText xml:space="preserve"> PAGEREF _Toc392780018 \h </w:instrText>
        </w:r>
        <w:r w:rsidR="00720907">
          <w:rPr>
            <w:noProof/>
            <w:webHidden/>
          </w:rPr>
        </w:r>
        <w:r w:rsidR="00720907">
          <w:rPr>
            <w:noProof/>
            <w:webHidden/>
          </w:rPr>
          <w:fldChar w:fldCharType="separate"/>
        </w:r>
        <w:r w:rsidR="00720907">
          <w:rPr>
            <w:noProof/>
            <w:webHidden/>
          </w:rPr>
          <w:t>11</w:t>
        </w:r>
        <w:r w:rsidR="00720907">
          <w:rPr>
            <w:noProof/>
            <w:webHidden/>
          </w:rPr>
          <w:fldChar w:fldCharType="end"/>
        </w:r>
      </w:hyperlink>
    </w:p>
    <w:p w:rsidR="00720907" w:rsidRDefault="00A324AA">
      <w:pPr>
        <w:pStyle w:val="TOC1"/>
        <w:tabs>
          <w:tab w:val="right" w:leader="dot" w:pos="9350"/>
        </w:tabs>
        <w:rPr>
          <w:rFonts w:asciiTheme="minorHAnsi" w:eastAsiaTheme="minorEastAsia" w:hAnsiTheme="minorHAnsi" w:cstheme="minorBidi"/>
          <w:noProof/>
          <w:sz w:val="22"/>
          <w:szCs w:val="22"/>
        </w:rPr>
      </w:pPr>
      <w:hyperlink w:anchor="_Toc392780019" w:history="1">
        <w:r w:rsidR="00720907" w:rsidRPr="00DE4590">
          <w:rPr>
            <w:rStyle w:val="Hyperlink"/>
            <w:noProof/>
          </w:rPr>
          <w:t>References</w:t>
        </w:r>
        <w:r w:rsidR="00720907">
          <w:rPr>
            <w:noProof/>
            <w:webHidden/>
          </w:rPr>
          <w:tab/>
        </w:r>
        <w:r w:rsidR="00720907">
          <w:rPr>
            <w:noProof/>
            <w:webHidden/>
          </w:rPr>
          <w:fldChar w:fldCharType="begin"/>
        </w:r>
        <w:r w:rsidR="00720907">
          <w:rPr>
            <w:noProof/>
            <w:webHidden/>
          </w:rPr>
          <w:instrText xml:space="preserve"> PAGEREF _Toc392780019 \h </w:instrText>
        </w:r>
        <w:r w:rsidR="00720907">
          <w:rPr>
            <w:noProof/>
            <w:webHidden/>
          </w:rPr>
        </w:r>
        <w:r w:rsidR="00720907">
          <w:rPr>
            <w:noProof/>
            <w:webHidden/>
          </w:rPr>
          <w:fldChar w:fldCharType="separate"/>
        </w:r>
        <w:r w:rsidR="00720907">
          <w:rPr>
            <w:noProof/>
            <w:webHidden/>
          </w:rPr>
          <w:t>12</w:t>
        </w:r>
        <w:r w:rsidR="00720907">
          <w:rPr>
            <w:noProof/>
            <w:webHidden/>
          </w:rPr>
          <w:fldChar w:fldCharType="end"/>
        </w:r>
      </w:hyperlink>
    </w:p>
    <w:p w:rsidR="00720907" w:rsidRDefault="00A324AA">
      <w:pPr>
        <w:pStyle w:val="TOC1"/>
        <w:tabs>
          <w:tab w:val="right" w:leader="dot" w:pos="9350"/>
        </w:tabs>
        <w:rPr>
          <w:rFonts w:asciiTheme="minorHAnsi" w:eastAsiaTheme="minorEastAsia" w:hAnsiTheme="minorHAnsi" w:cstheme="minorBidi"/>
          <w:noProof/>
          <w:sz w:val="22"/>
          <w:szCs w:val="22"/>
        </w:rPr>
      </w:pPr>
      <w:hyperlink w:anchor="_Toc392780020" w:history="1">
        <w:r w:rsidR="00720907" w:rsidRPr="00DE4590">
          <w:rPr>
            <w:rStyle w:val="Hyperlink"/>
            <w:noProof/>
          </w:rPr>
          <w:t>Attachments</w:t>
        </w:r>
        <w:r w:rsidR="00720907">
          <w:rPr>
            <w:noProof/>
            <w:webHidden/>
          </w:rPr>
          <w:tab/>
        </w:r>
        <w:r w:rsidR="00720907">
          <w:rPr>
            <w:noProof/>
            <w:webHidden/>
          </w:rPr>
          <w:fldChar w:fldCharType="begin"/>
        </w:r>
        <w:r w:rsidR="00720907">
          <w:rPr>
            <w:noProof/>
            <w:webHidden/>
          </w:rPr>
          <w:instrText xml:space="preserve"> PAGEREF _Toc392780020 \h </w:instrText>
        </w:r>
        <w:r w:rsidR="00720907">
          <w:rPr>
            <w:noProof/>
            <w:webHidden/>
          </w:rPr>
        </w:r>
        <w:r w:rsidR="00720907">
          <w:rPr>
            <w:noProof/>
            <w:webHidden/>
          </w:rPr>
          <w:fldChar w:fldCharType="separate"/>
        </w:r>
        <w:r w:rsidR="00720907">
          <w:rPr>
            <w:noProof/>
            <w:webHidden/>
          </w:rPr>
          <w:t>12</w:t>
        </w:r>
        <w:r w:rsidR="00720907">
          <w:rPr>
            <w:noProof/>
            <w:webHidden/>
          </w:rPr>
          <w:fldChar w:fldCharType="end"/>
        </w:r>
      </w:hyperlink>
    </w:p>
    <w:p w:rsidR="00CD09FA" w:rsidRPr="00001B9C" w:rsidRDefault="009F6F8B" w:rsidP="00AD7A0D">
      <w:r w:rsidRPr="00001B9C">
        <w:fldChar w:fldCharType="end"/>
      </w:r>
    </w:p>
    <w:p w:rsidR="005A1F9D" w:rsidRPr="00001B9C" w:rsidRDefault="005A1F9D" w:rsidP="00E35EAA">
      <w:r w:rsidRPr="00001B9C">
        <w:t xml:space="preserve"> </w:t>
      </w:r>
    </w:p>
    <w:p w:rsidR="00851FAF" w:rsidRPr="00001B9C" w:rsidRDefault="00851FAF" w:rsidP="00E35EAA">
      <w:pPr>
        <w:pStyle w:val="Heading1"/>
        <w:sectPr w:rsidR="00851FAF" w:rsidRPr="00001B9C" w:rsidSect="00DB2CE5">
          <w:footerReference w:type="default" r:id="rId15"/>
          <w:endnotePr>
            <w:numFmt w:val="decimal"/>
          </w:endnotePr>
          <w:pgSz w:w="12240" w:h="15840"/>
          <w:pgMar w:top="1440" w:right="1440" w:bottom="1440" w:left="1440" w:header="720" w:footer="720" w:gutter="0"/>
          <w:pgNumType w:fmt="lowerRoman" w:chapStyle="1"/>
          <w:cols w:space="720"/>
          <w:docGrid w:linePitch="360"/>
        </w:sectPr>
      </w:pPr>
      <w:bookmarkStart w:id="12" w:name="_Toc172205732"/>
    </w:p>
    <w:p w:rsidR="00ED21EE" w:rsidRPr="00314FE6" w:rsidRDefault="00ED21EE" w:rsidP="00E35EAA">
      <w:pPr>
        <w:pStyle w:val="Heading1"/>
      </w:pPr>
      <w:bookmarkStart w:id="13" w:name="_Toc392779999"/>
      <w:proofErr w:type="gramStart"/>
      <w:r w:rsidRPr="00314FE6">
        <w:lastRenderedPageBreak/>
        <w:t>Section 1.</w:t>
      </w:r>
      <w:proofErr w:type="gramEnd"/>
      <w:r w:rsidRPr="00314FE6">
        <w:t xml:space="preserve"> General Measure &amp; Baseline Data</w:t>
      </w:r>
      <w:bookmarkEnd w:id="13"/>
    </w:p>
    <w:p w:rsidR="00B343BB" w:rsidRDefault="00B343BB" w:rsidP="00B16127">
      <w:pPr>
        <w:pStyle w:val="Heading2"/>
      </w:pPr>
      <w:bookmarkStart w:id="14" w:name="_Toc392780000"/>
      <w:bookmarkEnd w:id="12"/>
      <w:r w:rsidRPr="00314FE6">
        <w:t>1.</w:t>
      </w:r>
      <w:r>
        <w:t>1</w:t>
      </w:r>
      <w:r w:rsidRPr="00314FE6">
        <w:t xml:space="preserve"> </w:t>
      </w:r>
      <w:r w:rsidR="00AB797B">
        <w:t>Product Measure Description &amp; Background</w:t>
      </w:r>
      <w:bookmarkEnd w:id="14"/>
    </w:p>
    <w:p w:rsidR="00090529" w:rsidRDefault="00090529" w:rsidP="00E35EAA"/>
    <w:p w:rsidR="00910368" w:rsidRPr="00FF2556" w:rsidRDefault="00570B4E" w:rsidP="00910368">
      <w:pPr>
        <w:pStyle w:val="Default"/>
        <w:rPr>
          <w:rFonts w:ascii="Arial" w:hAnsi="Arial" w:cs="Arial"/>
          <w:b/>
          <w:i/>
        </w:rPr>
      </w:pPr>
      <w:r w:rsidRPr="00AD7A0D">
        <w:rPr>
          <w:rFonts w:ascii="Arial" w:hAnsi="Arial" w:cs="Arial"/>
          <w:color w:val="auto"/>
          <w:sz w:val="26"/>
          <w:szCs w:val="26"/>
        </w:rPr>
        <w:t>Agricultural Irrigation Pump Overhaul (</w:t>
      </w:r>
      <w:r w:rsidRPr="00AD7A0D">
        <w:rPr>
          <w:rFonts w:ascii="Arial" w:hAnsi="Arial" w:cs="Arial"/>
          <w:color w:val="auto"/>
          <w:szCs w:val="26"/>
        </w:rPr>
        <w:t>≤</w:t>
      </w:r>
      <w:r w:rsidRPr="00AD7A0D">
        <w:rPr>
          <w:rFonts w:ascii="Arial" w:hAnsi="Arial" w:cs="Arial"/>
          <w:color w:val="auto"/>
          <w:sz w:val="26"/>
          <w:szCs w:val="26"/>
        </w:rPr>
        <w:t xml:space="preserve">25 </w:t>
      </w:r>
      <w:proofErr w:type="spellStart"/>
      <w:r w:rsidRPr="00AD7A0D">
        <w:rPr>
          <w:rFonts w:ascii="Arial" w:hAnsi="Arial" w:cs="Arial"/>
          <w:color w:val="auto"/>
          <w:sz w:val="26"/>
          <w:szCs w:val="26"/>
        </w:rPr>
        <w:t>hp</w:t>
      </w:r>
      <w:proofErr w:type="spellEnd"/>
      <w:r w:rsidRPr="00AD7A0D">
        <w:rPr>
          <w:rFonts w:ascii="Arial" w:hAnsi="Arial" w:cs="Arial"/>
          <w:color w:val="auto"/>
          <w:sz w:val="26"/>
          <w:szCs w:val="26"/>
        </w:rPr>
        <w:t>)</w:t>
      </w:r>
      <w:r w:rsidR="00F360D6" w:rsidRPr="00FF2556">
        <w:rPr>
          <w:rFonts w:ascii="Arial" w:hAnsi="Arial" w:cs="Arial"/>
          <w:b/>
          <w:i/>
        </w:rPr>
        <w:t xml:space="preserve">  </w:t>
      </w:r>
    </w:p>
    <w:p w:rsidR="00910368" w:rsidRDefault="00910368" w:rsidP="00910368">
      <w:pPr>
        <w:pStyle w:val="Default"/>
      </w:pPr>
    </w:p>
    <w:p w:rsidR="00BA0B1C" w:rsidRDefault="00BA0B1C" w:rsidP="00E35EAA">
      <w:pPr>
        <w:rPr>
          <w:b/>
          <w:i/>
        </w:rPr>
      </w:pPr>
      <w:r>
        <w:rPr>
          <w:b/>
          <w:i/>
        </w:rPr>
        <w:t>Program Restrictions and Guidelines</w:t>
      </w:r>
    </w:p>
    <w:p w:rsidR="00BA0B1C" w:rsidRPr="008634F1" w:rsidRDefault="00BA0B1C" w:rsidP="00BA0B1C">
      <w:r w:rsidRPr="008634F1">
        <w:t xml:space="preserve">Only the following pump types may qualify for an incentive in this </w:t>
      </w:r>
      <w:r>
        <w:t>work paper</w:t>
      </w:r>
      <w:r w:rsidRPr="008634F1">
        <w:t>:</w:t>
      </w:r>
    </w:p>
    <w:p w:rsidR="00BA0B1C" w:rsidRPr="008634F1" w:rsidRDefault="00BA0B1C" w:rsidP="00BA0B1C"/>
    <w:p w:rsidR="002A1F3E" w:rsidRPr="008634F1" w:rsidRDefault="002A1F3E" w:rsidP="002A1F3E">
      <w:pPr>
        <w:numPr>
          <w:ilvl w:val="0"/>
          <w:numId w:val="34"/>
        </w:numPr>
      </w:pPr>
      <w:r w:rsidRPr="008634F1">
        <w:t>Centrifugal Booster</w:t>
      </w:r>
    </w:p>
    <w:p w:rsidR="00BA0B1C" w:rsidRPr="008634F1" w:rsidRDefault="00BA0B1C" w:rsidP="00BA0B1C">
      <w:pPr>
        <w:numPr>
          <w:ilvl w:val="0"/>
          <w:numId w:val="34"/>
        </w:numPr>
      </w:pPr>
      <w:r w:rsidRPr="008634F1">
        <w:t>Submersible Well</w:t>
      </w:r>
    </w:p>
    <w:p w:rsidR="00BA0B1C" w:rsidRPr="008634F1" w:rsidRDefault="00BA0B1C" w:rsidP="00BA0B1C">
      <w:pPr>
        <w:numPr>
          <w:ilvl w:val="0"/>
          <w:numId w:val="34"/>
        </w:numPr>
      </w:pPr>
      <w:r w:rsidRPr="00D64B54">
        <w:t xml:space="preserve">Submersible </w:t>
      </w:r>
      <w:proofErr w:type="spellStart"/>
      <w:r w:rsidRPr="00D64B54">
        <w:t>Booster</w:t>
      </w:r>
      <w:r w:rsidRPr="008634F1">
        <w:t>Turbine</w:t>
      </w:r>
      <w:proofErr w:type="spellEnd"/>
      <w:r w:rsidRPr="008634F1">
        <w:t xml:space="preserve"> Booster</w:t>
      </w:r>
    </w:p>
    <w:p w:rsidR="00BA0B1C" w:rsidRPr="008634F1" w:rsidRDefault="00BA0B1C" w:rsidP="00BA0B1C">
      <w:pPr>
        <w:numPr>
          <w:ilvl w:val="0"/>
          <w:numId w:val="34"/>
        </w:numPr>
      </w:pPr>
      <w:r w:rsidRPr="008634F1">
        <w:t>Turbine Well</w:t>
      </w:r>
    </w:p>
    <w:p w:rsidR="00BA0B1C" w:rsidRPr="008634F1" w:rsidRDefault="00BA0B1C" w:rsidP="00BA0B1C"/>
    <w:p w:rsidR="00BA0B1C" w:rsidRDefault="00570B4E" w:rsidP="00BA0B1C">
      <w:proofErr w:type="gramStart"/>
      <w:r>
        <w:t>Restricted to agricultural pumps.</w:t>
      </w:r>
      <w:proofErr w:type="gramEnd"/>
      <w:r>
        <w:t xml:space="preserve">  </w:t>
      </w:r>
      <w:r w:rsidR="00BA0B1C" w:rsidRPr="008634F1">
        <w:t xml:space="preserve">Specialty pumps with pre-determined low load factors such as fire pumps and storm water pumps do not qualify for an incentive. This </w:t>
      </w:r>
      <w:r w:rsidR="00BA0B1C">
        <w:t>work paper</w:t>
      </w:r>
      <w:r w:rsidR="00BA0B1C" w:rsidRPr="008634F1">
        <w:t xml:space="preserve"> only considers cases where existing pumps that are overhauled before they break down.  New pump curves clearly showing the design conditions </w:t>
      </w:r>
      <w:r w:rsidR="002A1F3E">
        <w:t>must</w:t>
      </w:r>
      <w:r w:rsidR="00BA0B1C" w:rsidRPr="008634F1">
        <w:t xml:space="preserve"> be submitted with the application.  </w:t>
      </w:r>
      <w:r w:rsidR="00925373">
        <w:t>The application must include a detailed scope of work</w:t>
      </w:r>
      <w:r>
        <w:t xml:space="preserve"> of</w:t>
      </w:r>
      <w:r w:rsidR="00925373">
        <w:t xml:space="preserve"> the overhaul</w:t>
      </w:r>
      <w:r>
        <w:t>.</w:t>
      </w:r>
      <w:r w:rsidR="00925373">
        <w:t xml:space="preserve"> </w:t>
      </w:r>
    </w:p>
    <w:p w:rsidR="00BA0B1C" w:rsidRDefault="00BA0B1C" w:rsidP="00E35EAA">
      <w:pPr>
        <w:rPr>
          <w:b/>
          <w:i/>
        </w:rPr>
      </w:pPr>
    </w:p>
    <w:p w:rsidR="00BA0B1C" w:rsidRDefault="00BA0B1C" w:rsidP="00E35EAA">
      <w:pPr>
        <w:rPr>
          <w:b/>
          <w:i/>
        </w:rPr>
      </w:pPr>
      <w:r>
        <w:rPr>
          <w:b/>
          <w:i/>
        </w:rPr>
        <w:tab/>
      </w:r>
      <w:r w:rsidRPr="00521920">
        <w:rPr>
          <w:b/>
          <w:i/>
        </w:rPr>
        <w:t>Terms and Conditions</w:t>
      </w:r>
      <w:r>
        <w:rPr>
          <w:b/>
          <w:i/>
        </w:rPr>
        <w:t>:</w:t>
      </w:r>
    </w:p>
    <w:p w:rsidR="00BA0B1C" w:rsidRPr="004141B3" w:rsidRDefault="00BA0B1C" w:rsidP="00BA0B1C">
      <w:r w:rsidRPr="008634F1">
        <w:t xml:space="preserve">Only </w:t>
      </w:r>
      <w:r w:rsidR="00925373">
        <w:t xml:space="preserve">operational </w:t>
      </w:r>
      <w:r w:rsidRPr="008634F1">
        <w:t>pump</w:t>
      </w:r>
      <w:r w:rsidRPr="004141B3">
        <w:t xml:space="preserve">s less than or equal to 25hp qualify for this rebate. The </w:t>
      </w:r>
      <w:r w:rsidR="00925373">
        <w:t>customer application scope of work</w:t>
      </w:r>
      <w:r w:rsidRPr="004141B3">
        <w:t xml:space="preserve"> </w:t>
      </w:r>
      <w:r w:rsidR="00925373">
        <w:t>must</w:t>
      </w:r>
      <w:r w:rsidRPr="004141B3">
        <w:t xml:space="preserve"> include </w:t>
      </w:r>
      <w:r w:rsidR="00925373">
        <w:t xml:space="preserve">at least </w:t>
      </w:r>
      <w:r w:rsidRPr="004141B3">
        <w:t>one of the following:</w:t>
      </w:r>
    </w:p>
    <w:p w:rsidR="00BA0B1C" w:rsidRPr="004141B3" w:rsidRDefault="00BA0B1C" w:rsidP="00BA0B1C"/>
    <w:p w:rsidR="00BA0B1C" w:rsidRPr="004141B3" w:rsidRDefault="00BA0B1C" w:rsidP="00BA0B1C">
      <w:pPr>
        <w:numPr>
          <w:ilvl w:val="0"/>
          <w:numId w:val="33"/>
        </w:numPr>
      </w:pPr>
      <w:r w:rsidRPr="004141B3">
        <w:t>Replacing pump bowl assembly/impeller</w:t>
      </w:r>
    </w:p>
    <w:p w:rsidR="00BA0B1C" w:rsidRPr="008634F1" w:rsidRDefault="00BA0B1C" w:rsidP="00BA0B1C">
      <w:pPr>
        <w:numPr>
          <w:ilvl w:val="0"/>
          <w:numId w:val="33"/>
        </w:numPr>
      </w:pPr>
      <w:r w:rsidRPr="004141B3">
        <w:t>Adjusting bowl and impeller on</w:t>
      </w:r>
      <w:r w:rsidRPr="008634F1">
        <w:t xml:space="preserve"> a deep well pump. Field adjustments include: a) for semi-open impellers, all impellers in the bowl assembly must be running in close proximity (0.003 – 0.007 in) to the next lower bowl. Thus, careful adjustment in the field is required. Shaft stretch determines the final position of the impellers. Also, it directly varies with discharge head. Therefore, it has to be set to a proper specification to perform well at a given discharge head. Multistage units may require that the impellers be trimmed (reduction in diameter) to obtain proper fitting and clearance in the assembly bowl. For enclosed impellers, with a principal seal that is parallel to the centerline of the shaft, a close axial adjustment is not necessary. Therefore, this type of impeller is suited for operation under variable head conditions. Capacity and horsepower requirements can be controlled by raising the impeller until the skirts are out of the wear rings.</w:t>
      </w:r>
    </w:p>
    <w:p w:rsidR="00BA0B1C" w:rsidRPr="008634F1" w:rsidRDefault="00BA0B1C" w:rsidP="00BA0B1C">
      <w:pPr>
        <w:numPr>
          <w:ilvl w:val="0"/>
          <w:numId w:val="33"/>
        </w:numPr>
      </w:pPr>
      <w:r w:rsidRPr="008634F1">
        <w:t>Trimming the existing impeller on a booster pump</w:t>
      </w:r>
    </w:p>
    <w:p w:rsidR="00BA0B1C" w:rsidRPr="008634F1" w:rsidRDefault="00BA0B1C" w:rsidP="00BA0B1C"/>
    <w:p w:rsidR="00BA0B1C" w:rsidRDefault="00BA0B1C" w:rsidP="00E35EAA">
      <w:pPr>
        <w:rPr>
          <w:b/>
          <w:i/>
        </w:rPr>
      </w:pPr>
    </w:p>
    <w:p w:rsidR="00BA0B1C" w:rsidRDefault="00BA0B1C" w:rsidP="00BA0B1C">
      <w:pPr>
        <w:ind w:left="360"/>
        <w:rPr>
          <w:b/>
          <w:i/>
        </w:rPr>
      </w:pPr>
      <w:r>
        <w:rPr>
          <w:b/>
          <w:i/>
        </w:rPr>
        <w:t>Market Applicabilit</w:t>
      </w:r>
      <w:r w:rsidRPr="00A562A6">
        <w:rPr>
          <w:b/>
          <w:i/>
        </w:rPr>
        <w:t>y:</w:t>
      </w:r>
    </w:p>
    <w:p w:rsidR="00BA0B1C" w:rsidRDefault="00BA0B1C" w:rsidP="00E35EAA"/>
    <w:p w:rsidR="00863D9E" w:rsidRDefault="00863D9E" w:rsidP="00E35EAA">
      <w:r>
        <w:t xml:space="preserve">This measure is applicable to agricultural pumps in the PG&amp;E service territory that rely on electric pumping to water crops.  Pumps with horsepower above 25 </w:t>
      </w:r>
      <w:proofErr w:type="spellStart"/>
      <w:r>
        <w:t>hp</w:t>
      </w:r>
      <w:proofErr w:type="spellEnd"/>
      <w:r>
        <w:t xml:space="preserve"> must be considered under the Advanced Pumping Efficiency Program (APEP).</w:t>
      </w:r>
    </w:p>
    <w:p w:rsidR="00090529" w:rsidRPr="00A30CB3" w:rsidRDefault="00090529" w:rsidP="00E35EAA"/>
    <w:p w:rsidR="00E71EF1" w:rsidRPr="00314FE6" w:rsidRDefault="001248A3" w:rsidP="00B16127">
      <w:pPr>
        <w:pStyle w:val="Heading2"/>
      </w:pPr>
      <w:bookmarkStart w:id="15" w:name="_Toc392780001"/>
      <w:r w:rsidRPr="00314FE6">
        <w:t>1.</w:t>
      </w:r>
      <w:r w:rsidR="00B343BB">
        <w:t>2</w:t>
      </w:r>
      <w:r w:rsidRPr="00314FE6">
        <w:t xml:space="preserve"> </w:t>
      </w:r>
      <w:r w:rsidR="00AB797B">
        <w:t>Product Technical Description</w:t>
      </w:r>
      <w:bookmarkEnd w:id="15"/>
    </w:p>
    <w:p w:rsidR="006F085E" w:rsidRDefault="006F085E" w:rsidP="00E35EAA"/>
    <w:p w:rsidR="00BA0B1C" w:rsidRPr="00E35EAA" w:rsidRDefault="00BA0B1C" w:rsidP="00BA0B1C">
      <w:r w:rsidRPr="00E35EAA">
        <w:t>This work paper details the overhaul of existing inefficient agricultural pumps with motors less than or equal to 25 horsepower (</w:t>
      </w:r>
      <w:proofErr w:type="spellStart"/>
      <w:r w:rsidRPr="00E35EAA">
        <w:t>hp</w:t>
      </w:r>
      <w:proofErr w:type="spellEnd"/>
      <w:r w:rsidRPr="00E35EAA">
        <w:t>). The measure is a pump that is overhauled for improved efficiency to better match the design of the pump to the actual system operating conditions.  Doing so will improve the overall plant efficiency (OPE) of the pump. The base case is an existing pump that is operating inefficiently</w:t>
      </w:r>
      <w:r w:rsidR="00AB542C">
        <w:t>,</w:t>
      </w:r>
      <w:r>
        <w:t xml:space="preserve"> which </w:t>
      </w:r>
      <w:r w:rsidRPr="00E35EAA">
        <w:t>can be caused by general wear and tear or pu</w:t>
      </w:r>
      <w:r>
        <w:t>mp operation that has deviated</w:t>
      </w:r>
      <w:r w:rsidRPr="00E35EAA">
        <w:t xml:space="preserve"> from the original </w:t>
      </w:r>
      <w:r w:rsidRPr="00E35EAA">
        <w:lastRenderedPageBreak/>
        <w:t xml:space="preserve">design conditions.  Operators typically look for large reductions in flow rate or discharge pressure delivered by the pump to gauge the condition of the equipment. </w:t>
      </w:r>
      <w:r>
        <w:t xml:space="preserve"> </w:t>
      </w:r>
      <w:r w:rsidRPr="00E35EAA">
        <w:t>While these techniques do not provide an accurate description of the pump</w:t>
      </w:r>
      <w:r w:rsidR="00863D9E">
        <w:t>,</w:t>
      </w:r>
      <w:r w:rsidRPr="00E35EAA">
        <w:t xml:space="preserve"> the</w:t>
      </w:r>
      <w:r w:rsidR="00AB542C">
        <w:t>y</w:t>
      </w:r>
      <w:r w:rsidRPr="00E35EAA">
        <w:t xml:space="preserve"> are good indicators that the pump is in need of repair.</w:t>
      </w:r>
    </w:p>
    <w:p w:rsidR="00BA0B1C" w:rsidRPr="00E35EAA" w:rsidRDefault="00BA0B1C" w:rsidP="00BA0B1C"/>
    <w:p w:rsidR="00BA0B1C" w:rsidRPr="00E35EAA" w:rsidRDefault="00BA0B1C" w:rsidP="00BA0B1C">
      <w:r w:rsidRPr="00E35EAA">
        <w:t xml:space="preserve">The following table provides a brief overview of the measures included in this </w:t>
      </w:r>
      <w:r>
        <w:t>work paper</w:t>
      </w:r>
      <w:r w:rsidRPr="00E35EAA">
        <w:t>.</w:t>
      </w:r>
    </w:p>
    <w:p w:rsidR="00BA0B1C" w:rsidRDefault="00BA0B1C" w:rsidP="00BA0B1C"/>
    <w:p w:rsidR="00BA0B1C" w:rsidRPr="00E35EAA" w:rsidRDefault="00BA0B1C" w:rsidP="00BA0B1C">
      <w:pPr>
        <w:jc w:val="center"/>
        <w:rPr>
          <w:b/>
        </w:rPr>
      </w:pPr>
      <w:r w:rsidRPr="00E35EAA">
        <w:rPr>
          <w:b/>
        </w:rPr>
        <w:t xml:space="preserve">Table </w:t>
      </w:r>
      <w:r w:rsidRPr="00E35EAA">
        <w:rPr>
          <w:b/>
        </w:rPr>
        <w:fldChar w:fldCharType="begin"/>
      </w:r>
      <w:r w:rsidRPr="00E35EAA">
        <w:rPr>
          <w:b/>
        </w:rPr>
        <w:instrText xml:space="preserve"> SEQ Table \* ARABIC </w:instrText>
      </w:r>
      <w:r w:rsidRPr="00E35EAA">
        <w:rPr>
          <w:b/>
        </w:rPr>
        <w:fldChar w:fldCharType="separate"/>
      </w:r>
      <w:r w:rsidRPr="00E35EAA">
        <w:rPr>
          <w:b/>
          <w:noProof/>
        </w:rPr>
        <w:t>1</w:t>
      </w:r>
      <w:r w:rsidRPr="00E35EAA">
        <w:rPr>
          <w:b/>
        </w:rPr>
        <w:fldChar w:fldCharType="end"/>
      </w:r>
      <w:r w:rsidRPr="00E35EAA">
        <w:rPr>
          <w:b/>
        </w:rPr>
        <w:t xml:space="preserve"> Measure Names</w:t>
      </w:r>
    </w:p>
    <w:tbl>
      <w:tblPr>
        <w:tblW w:w="0" w:type="auto"/>
        <w:jc w:val="center"/>
        <w:tblBorders>
          <w:insideH w:val="single" w:sz="18" w:space="0" w:color="FFFFFF"/>
          <w:insideV w:val="single" w:sz="18" w:space="0" w:color="FFFFFF"/>
        </w:tblBorders>
        <w:tblLook w:val="04A0" w:firstRow="1" w:lastRow="0" w:firstColumn="1" w:lastColumn="0" w:noHBand="0" w:noVBand="1"/>
      </w:tblPr>
      <w:tblGrid>
        <w:gridCol w:w="2394"/>
        <w:gridCol w:w="4725"/>
      </w:tblGrid>
      <w:tr w:rsidR="00BA0B1C" w:rsidRPr="00E35EAA" w:rsidTr="00606E8D">
        <w:trPr>
          <w:jc w:val="center"/>
        </w:trPr>
        <w:tc>
          <w:tcPr>
            <w:tcW w:w="2394" w:type="dxa"/>
            <w:shd w:val="pct20" w:color="000000" w:fill="FFFFFF"/>
          </w:tcPr>
          <w:p w:rsidR="00BA0B1C" w:rsidRPr="00C21706" w:rsidRDefault="00863D9E" w:rsidP="00606E8D">
            <w:pPr>
              <w:rPr>
                <w:b/>
                <w:bCs/>
                <w:sz w:val="18"/>
              </w:rPr>
            </w:pPr>
            <w:r>
              <w:rPr>
                <w:b/>
                <w:bCs/>
                <w:sz w:val="18"/>
              </w:rPr>
              <w:t>Measure</w:t>
            </w:r>
            <w:r w:rsidR="00BA0B1C" w:rsidRPr="00C21706">
              <w:rPr>
                <w:b/>
                <w:bCs/>
                <w:sz w:val="18"/>
              </w:rPr>
              <w:t xml:space="preserve"> Code</w:t>
            </w:r>
          </w:p>
        </w:tc>
        <w:tc>
          <w:tcPr>
            <w:tcW w:w="4725" w:type="dxa"/>
            <w:shd w:val="pct20" w:color="000000" w:fill="FFFFFF"/>
          </w:tcPr>
          <w:p w:rsidR="00BA0B1C" w:rsidRPr="00C21706" w:rsidRDefault="00BA0B1C" w:rsidP="00606E8D">
            <w:pPr>
              <w:rPr>
                <w:b/>
                <w:bCs/>
                <w:sz w:val="18"/>
              </w:rPr>
            </w:pPr>
            <w:r w:rsidRPr="00C21706">
              <w:rPr>
                <w:b/>
                <w:bCs/>
                <w:sz w:val="18"/>
              </w:rPr>
              <w:t>Measure name</w:t>
            </w:r>
          </w:p>
        </w:tc>
      </w:tr>
      <w:tr w:rsidR="00BA0B1C" w:rsidRPr="00E35EAA" w:rsidTr="00606E8D">
        <w:trPr>
          <w:trHeight w:val="243"/>
          <w:jc w:val="center"/>
        </w:trPr>
        <w:tc>
          <w:tcPr>
            <w:tcW w:w="2394" w:type="dxa"/>
            <w:shd w:val="pct5" w:color="000000" w:fill="FFFFFF"/>
          </w:tcPr>
          <w:p w:rsidR="00BA0B1C" w:rsidRPr="00C21706" w:rsidRDefault="00863D9E" w:rsidP="00606E8D">
            <w:pPr>
              <w:rPr>
                <w:sz w:val="18"/>
              </w:rPr>
            </w:pPr>
            <w:r>
              <w:rPr>
                <w:sz w:val="18"/>
              </w:rPr>
              <w:t>IR001</w:t>
            </w:r>
          </w:p>
        </w:tc>
        <w:tc>
          <w:tcPr>
            <w:tcW w:w="4725" w:type="dxa"/>
            <w:shd w:val="pct5" w:color="000000" w:fill="FFFFFF"/>
          </w:tcPr>
          <w:p w:rsidR="00BA0B1C" w:rsidRPr="00C21706" w:rsidRDefault="002A1F3E" w:rsidP="002A1F3E">
            <w:pPr>
              <w:rPr>
                <w:sz w:val="18"/>
              </w:rPr>
            </w:pPr>
            <w:r w:rsidRPr="0051455E">
              <w:rPr>
                <w:sz w:val="18"/>
              </w:rPr>
              <w:t>Centrifugal Booster Pump System Overhaul (&lt;=25hp)</w:t>
            </w:r>
            <w:r w:rsidR="00BA0B1C" w:rsidRPr="00C21706">
              <w:rPr>
                <w:sz w:val="18"/>
              </w:rPr>
              <w:t>)</w:t>
            </w:r>
          </w:p>
        </w:tc>
      </w:tr>
      <w:tr w:rsidR="00BA0B1C" w:rsidRPr="00C21706" w:rsidTr="00606E8D">
        <w:trPr>
          <w:trHeight w:val="243"/>
          <w:jc w:val="center"/>
        </w:trPr>
        <w:tc>
          <w:tcPr>
            <w:tcW w:w="2394" w:type="dxa"/>
            <w:shd w:val="pct20" w:color="000000" w:fill="FFFFFF"/>
          </w:tcPr>
          <w:p w:rsidR="00BA0B1C" w:rsidRPr="00C21706" w:rsidRDefault="00863D9E" w:rsidP="00606E8D">
            <w:pPr>
              <w:rPr>
                <w:sz w:val="18"/>
              </w:rPr>
            </w:pPr>
            <w:r>
              <w:rPr>
                <w:sz w:val="18"/>
              </w:rPr>
              <w:t>IR002</w:t>
            </w:r>
          </w:p>
        </w:tc>
        <w:tc>
          <w:tcPr>
            <w:tcW w:w="4725" w:type="dxa"/>
            <w:shd w:val="pct20" w:color="000000" w:fill="FFFFFF"/>
          </w:tcPr>
          <w:p w:rsidR="00BA0B1C" w:rsidRPr="0051455E" w:rsidRDefault="002A1F3E" w:rsidP="00606E8D">
            <w:pPr>
              <w:rPr>
                <w:sz w:val="18"/>
              </w:rPr>
            </w:pPr>
            <w:r w:rsidRPr="00C21706">
              <w:rPr>
                <w:sz w:val="18"/>
              </w:rPr>
              <w:t>Submersible Well Pump System Overhaul (&lt;=25hp</w:t>
            </w:r>
            <w:r w:rsidRPr="0051455E" w:rsidDel="002A1F3E">
              <w:rPr>
                <w:sz w:val="18"/>
              </w:rPr>
              <w:t xml:space="preserve"> </w:t>
            </w:r>
          </w:p>
        </w:tc>
      </w:tr>
      <w:tr w:rsidR="00BA0B1C" w:rsidRPr="00E35EAA" w:rsidTr="00606E8D">
        <w:trPr>
          <w:trHeight w:val="243"/>
          <w:jc w:val="center"/>
        </w:trPr>
        <w:tc>
          <w:tcPr>
            <w:tcW w:w="2394" w:type="dxa"/>
            <w:shd w:val="pct5" w:color="000000" w:fill="FFFFFF"/>
          </w:tcPr>
          <w:p w:rsidR="00BA0B1C" w:rsidRPr="00C21706" w:rsidRDefault="00863D9E" w:rsidP="00606E8D">
            <w:pPr>
              <w:rPr>
                <w:sz w:val="18"/>
              </w:rPr>
            </w:pPr>
            <w:r>
              <w:rPr>
                <w:sz w:val="18"/>
              </w:rPr>
              <w:t>IR003</w:t>
            </w:r>
          </w:p>
        </w:tc>
        <w:tc>
          <w:tcPr>
            <w:tcW w:w="4725" w:type="dxa"/>
            <w:shd w:val="pct5" w:color="000000" w:fill="FFFFFF"/>
          </w:tcPr>
          <w:p w:rsidR="00BA0B1C" w:rsidRPr="0051455E" w:rsidRDefault="002A1F3E" w:rsidP="00606E8D">
            <w:pPr>
              <w:rPr>
                <w:sz w:val="18"/>
              </w:rPr>
            </w:pPr>
            <w:r w:rsidRPr="0051455E">
              <w:rPr>
                <w:sz w:val="18"/>
              </w:rPr>
              <w:t>Submersible Booster Pump System Overhaul (&lt;=25hp)</w:t>
            </w:r>
          </w:p>
        </w:tc>
      </w:tr>
      <w:tr w:rsidR="00BA0B1C" w:rsidRPr="00E35EAA" w:rsidTr="00606E8D">
        <w:trPr>
          <w:trHeight w:val="243"/>
          <w:jc w:val="center"/>
        </w:trPr>
        <w:tc>
          <w:tcPr>
            <w:tcW w:w="2394" w:type="dxa"/>
            <w:shd w:val="pct20" w:color="000000" w:fill="FFFFFF"/>
          </w:tcPr>
          <w:p w:rsidR="00BA0B1C" w:rsidRPr="00C21706" w:rsidRDefault="00863D9E" w:rsidP="00606E8D">
            <w:pPr>
              <w:rPr>
                <w:sz w:val="18"/>
              </w:rPr>
            </w:pPr>
            <w:r>
              <w:rPr>
                <w:sz w:val="18"/>
              </w:rPr>
              <w:t>IR004</w:t>
            </w:r>
          </w:p>
        </w:tc>
        <w:tc>
          <w:tcPr>
            <w:tcW w:w="4725" w:type="dxa"/>
            <w:shd w:val="pct20" w:color="000000" w:fill="FFFFFF"/>
          </w:tcPr>
          <w:p w:rsidR="00BA0B1C" w:rsidRPr="0051455E" w:rsidRDefault="00BA0B1C" w:rsidP="00606E8D">
            <w:pPr>
              <w:rPr>
                <w:sz w:val="18"/>
              </w:rPr>
            </w:pPr>
            <w:r w:rsidRPr="0051455E">
              <w:rPr>
                <w:sz w:val="18"/>
              </w:rPr>
              <w:t>Turbine Booster Pump System Overhaul (&lt;=25hp)</w:t>
            </w:r>
          </w:p>
        </w:tc>
      </w:tr>
      <w:tr w:rsidR="00BA0B1C" w:rsidRPr="00E35EAA" w:rsidTr="00606E8D">
        <w:trPr>
          <w:trHeight w:val="243"/>
          <w:jc w:val="center"/>
        </w:trPr>
        <w:tc>
          <w:tcPr>
            <w:tcW w:w="2394" w:type="dxa"/>
            <w:shd w:val="pct5" w:color="000000" w:fill="FFFFFF"/>
          </w:tcPr>
          <w:p w:rsidR="00BA0B1C" w:rsidRPr="00C21706" w:rsidRDefault="00863D9E" w:rsidP="00606E8D">
            <w:pPr>
              <w:rPr>
                <w:sz w:val="18"/>
              </w:rPr>
            </w:pPr>
            <w:r>
              <w:rPr>
                <w:sz w:val="18"/>
              </w:rPr>
              <w:t>IR005</w:t>
            </w:r>
          </w:p>
        </w:tc>
        <w:tc>
          <w:tcPr>
            <w:tcW w:w="4725" w:type="dxa"/>
            <w:shd w:val="pct5" w:color="000000" w:fill="FFFFFF"/>
          </w:tcPr>
          <w:p w:rsidR="00BA0B1C" w:rsidRPr="0051455E" w:rsidRDefault="00BA0B1C" w:rsidP="00606E8D">
            <w:pPr>
              <w:rPr>
                <w:sz w:val="18"/>
              </w:rPr>
            </w:pPr>
            <w:r w:rsidRPr="0051455E">
              <w:rPr>
                <w:sz w:val="18"/>
              </w:rPr>
              <w:t>Turbine Well Pump System Overhaul (&lt;=25hp)</w:t>
            </w:r>
          </w:p>
        </w:tc>
      </w:tr>
    </w:tbl>
    <w:p w:rsidR="00D51A6C" w:rsidRDefault="00D51A6C" w:rsidP="008634F1"/>
    <w:p w:rsidR="00D51A6C" w:rsidRPr="008634F1" w:rsidRDefault="00D51A6C" w:rsidP="008634F1">
      <w:r>
        <w:t xml:space="preserve">Note that </w:t>
      </w:r>
      <w:r w:rsidR="00151531">
        <w:t xml:space="preserve">there was not any pump test data available for submersible booster pumps.  For this paper it is assumed that the analysis results for </w:t>
      </w:r>
      <w:r w:rsidR="000A31FE">
        <w:t xml:space="preserve">turbine </w:t>
      </w:r>
      <w:r w:rsidR="00151531">
        <w:t>booster pumps will be similar to that for submersible booster pumps</w:t>
      </w:r>
      <w:r w:rsidR="0028601A">
        <w:t xml:space="preserve"> </w:t>
      </w:r>
      <w:r w:rsidR="000A31FE">
        <w:t>since submersible booster pumps are similar in design to turbine pumps with multiple stages</w:t>
      </w:r>
      <w:r w:rsidR="00440161">
        <w:t xml:space="preserve"> and SCE data for turbine booster pumps and submersible booster pumps show similar operating discharge pressures</w:t>
      </w:r>
      <w:r w:rsidR="000A31FE">
        <w:t>.</w:t>
      </w:r>
      <w:r w:rsidR="00151531">
        <w:t xml:space="preserve"> Therefore, the findings for </w:t>
      </w:r>
      <w:r w:rsidR="000A31FE">
        <w:t xml:space="preserve">turbine </w:t>
      </w:r>
      <w:r w:rsidR="00151531">
        <w:t xml:space="preserve">booster pumps </w:t>
      </w:r>
      <w:r w:rsidR="0028601A">
        <w:t>ha</w:t>
      </w:r>
      <w:r w:rsidR="000A31FE">
        <w:t>ve</w:t>
      </w:r>
      <w:r w:rsidR="0028601A">
        <w:t xml:space="preserve"> </w:t>
      </w:r>
      <w:r w:rsidR="00151531">
        <w:t>be</w:t>
      </w:r>
      <w:r w:rsidR="0028601A">
        <w:t>en</w:t>
      </w:r>
      <w:r w:rsidR="00151531">
        <w:t xml:space="preserve"> applied to submersible booster pumps.</w:t>
      </w:r>
    </w:p>
    <w:p w:rsidR="00090529" w:rsidRDefault="00090529" w:rsidP="00E35EAA"/>
    <w:p w:rsidR="00D21E2F" w:rsidRPr="00314FE6" w:rsidRDefault="00D21E2F" w:rsidP="00B16127">
      <w:pPr>
        <w:pStyle w:val="Heading2"/>
      </w:pPr>
      <w:bookmarkStart w:id="16" w:name="_Toc392780002"/>
      <w:r w:rsidRPr="00314FE6">
        <w:t>1.</w:t>
      </w:r>
      <w:r>
        <w:t>3</w:t>
      </w:r>
      <w:r w:rsidRPr="00314FE6">
        <w:t xml:space="preserve"> </w:t>
      </w:r>
      <w:r w:rsidRPr="00D21E2F">
        <w:t>Measure Application Type</w:t>
      </w:r>
      <w:bookmarkEnd w:id="16"/>
    </w:p>
    <w:p w:rsidR="00A20584" w:rsidRDefault="00A20584" w:rsidP="00A20584">
      <w:pPr>
        <w:rPr>
          <w:i/>
        </w:rPr>
      </w:pPr>
    </w:p>
    <w:p w:rsidR="00A20584" w:rsidRPr="003541A6" w:rsidRDefault="00A20584" w:rsidP="00A20584">
      <w:pPr>
        <w:pStyle w:val="Caption"/>
        <w:keepNext/>
        <w:rPr>
          <w:rFonts w:ascii="Calibri" w:hAnsi="Calibri" w:cs="Calibri"/>
          <w:sz w:val="26"/>
          <w:szCs w:val="26"/>
        </w:rPr>
      </w:pPr>
      <w:bookmarkStart w:id="17" w:name="_Toc388541911"/>
      <w:r w:rsidRPr="003541A6">
        <w:t xml:space="preserve">Table </w:t>
      </w:r>
      <w:fldSimple w:instr=" SEQ Table \* ARABIC ">
        <w:r>
          <w:rPr>
            <w:noProof/>
          </w:rPr>
          <w:t>1</w:t>
        </w:r>
      </w:fldSimple>
      <w:bookmarkStart w:id="18" w:name="RANGE!B222"/>
      <w:r>
        <w:rPr>
          <w:noProof/>
        </w:rPr>
        <w:t>:</w:t>
      </w:r>
      <w:r w:rsidRPr="003541A6">
        <w:rPr>
          <w:rFonts w:ascii="Calibri" w:hAnsi="Calibri" w:cs="Calibri"/>
          <w:sz w:val="26"/>
          <w:szCs w:val="26"/>
        </w:rPr>
        <w:t xml:space="preserve"> </w:t>
      </w:r>
      <w:r w:rsidRPr="003541A6">
        <w:t>Measure Application Type</w:t>
      </w:r>
      <w:bookmarkEnd w:id="17"/>
      <w:bookmarkEnd w:id="18"/>
    </w:p>
    <w:p w:rsidR="00A20584" w:rsidRPr="007B4B4C" w:rsidRDefault="00A20584" w:rsidP="00A20584">
      <w:pPr>
        <w:keepNext/>
      </w:pPr>
    </w:p>
    <w:tbl>
      <w:tblPr>
        <w:tblW w:w="9090" w:type="dxa"/>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900"/>
        <w:gridCol w:w="2610"/>
        <w:gridCol w:w="5580"/>
      </w:tblGrid>
      <w:tr w:rsidR="00A20584" w:rsidRPr="00707A61" w:rsidTr="00606E8D">
        <w:trPr>
          <w:trHeight w:val="315"/>
        </w:trPr>
        <w:tc>
          <w:tcPr>
            <w:tcW w:w="900" w:type="dxa"/>
            <w:shd w:val="clear" w:color="auto" w:fill="404040" w:themeFill="text1" w:themeFillTint="BF"/>
            <w:noWrap/>
            <w:vAlign w:val="bottom"/>
            <w:hideMark/>
          </w:tcPr>
          <w:p w:rsidR="00A20584" w:rsidRPr="00707A61" w:rsidRDefault="00A20584" w:rsidP="00606E8D">
            <w:pPr>
              <w:keepNext/>
              <w:jc w:val="center"/>
              <w:rPr>
                <w:b/>
                <w:color w:val="FFFFFF" w:themeColor="background1"/>
              </w:rPr>
            </w:pPr>
            <w:r w:rsidRPr="00707A61">
              <w:rPr>
                <w:b/>
                <w:color w:val="FFFFFF" w:themeColor="background1"/>
              </w:rPr>
              <w:t>Code</w:t>
            </w:r>
          </w:p>
        </w:tc>
        <w:tc>
          <w:tcPr>
            <w:tcW w:w="2610" w:type="dxa"/>
            <w:shd w:val="clear" w:color="auto" w:fill="404040" w:themeFill="text1" w:themeFillTint="BF"/>
            <w:noWrap/>
            <w:vAlign w:val="bottom"/>
            <w:hideMark/>
          </w:tcPr>
          <w:p w:rsidR="00A20584" w:rsidRPr="00707A61" w:rsidRDefault="00A20584" w:rsidP="00606E8D">
            <w:pPr>
              <w:keepNext/>
              <w:jc w:val="center"/>
              <w:rPr>
                <w:b/>
                <w:color w:val="FFFFFF" w:themeColor="background1"/>
              </w:rPr>
            </w:pPr>
            <w:r w:rsidRPr="00707A61">
              <w:rPr>
                <w:b/>
                <w:color w:val="FFFFFF" w:themeColor="background1"/>
              </w:rPr>
              <w:t>Description</w:t>
            </w:r>
          </w:p>
        </w:tc>
        <w:tc>
          <w:tcPr>
            <w:tcW w:w="5580" w:type="dxa"/>
            <w:shd w:val="clear" w:color="auto" w:fill="404040" w:themeFill="text1" w:themeFillTint="BF"/>
            <w:noWrap/>
            <w:vAlign w:val="bottom"/>
            <w:hideMark/>
          </w:tcPr>
          <w:p w:rsidR="00A20584" w:rsidRPr="00707A61" w:rsidRDefault="00A20584" w:rsidP="00606E8D">
            <w:pPr>
              <w:keepNext/>
              <w:jc w:val="center"/>
              <w:rPr>
                <w:b/>
                <w:color w:val="FFFFFF" w:themeColor="background1"/>
              </w:rPr>
            </w:pPr>
            <w:r w:rsidRPr="00707A61">
              <w:rPr>
                <w:b/>
                <w:color w:val="FFFFFF" w:themeColor="background1"/>
              </w:rPr>
              <w:t>Comment</w:t>
            </w:r>
          </w:p>
        </w:tc>
      </w:tr>
      <w:tr w:rsidR="00A20584" w:rsidRPr="00707A61" w:rsidTr="00606E8D">
        <w:trPr>
          <w:trHeight w:val="600"/>
        </w:trPr>
        <w:tc>
          <w:tcPr>
            <w:tcW w:w="900" w:type="dxa"/>
            <w:shd w:val="clear" w:color="auto" w:fill="D9D9D9" w:themeFill="background1" w:themeFillShade="D9"/>
            <w:noWrap/>
            <w:vAlign w:val="center"/>
            <w:hideMark/>
          </w:tcPr>
          <w:p w:rsidR="00A20584" w:rsidRPr="00707A61" w:rsidRDefault="00A20584" w:rsidP="00606E8D">
            <w:pPr>
              <w:keepNext/>
            </w:pPr>
            <w:r w:rsidRPr="00707A61">
              <w:t>REA</w:t>
            </w:r>
          </w:p>
        </w:tc>
        <w:tc>
          <w:tcPr>
            <w:tcW w:w="2610" w:type="dxa"/>
            <w:shd w:val="clear" w:color="auto" w:fill="D9D9D9" w:themeFill="background1" w:themeFillShade="D9"/>
            <w:noWrap/>
            <w:vAlign w:val="center"/>
            <w:hideMark/>
          </w:tcPr>
          <w:p w:rsidR="00A20584" w:rsidRPr="00707A61" w:rsidRDefault="00A20584" w:rsidP="00606E8D">
            <w:pPr>
              <w:keepNext/>
            </w:pPr>
            <w:r w:rsidRPr="00707A61">
              <w:t>Retrofit Add On</w:t>
            </w:r>
          </w:p>
        </w:tc>
        <w:tc>
          <w:tcPr>
            <w:tcW w:w="5580" w:type="dxa"/>
            <w:shd w:val="clear" w:color="auto" w:fill="D9D9D9" w:themeFill="background1" w:themeFillShade="D9"/>
            <w:vAlign w:val="center"/>
            <w:hideMark/>
          </w:tcPr>
          <w:p w:rsidR="00A20584" w:rsidRPr="00B84E60" w:rsidRDefault="00A20584" w:rsidP="00606E8D">
            <w:pPr>
              <w:keepNext/>
              <w:rPr>
                <w:iCs/>
              </w:rPr>
            </w:pPr>
            <w:r w:rsidRPr="00B84E60">
              <w:rPr>
                <w:iCs/>
              </w:rPr>
              <w:t>Single baseline (above pre-existing), full measure costs required</w:t>
            </w:r>
          </w:p>
        </w:tc>
      </w:tr>
    </w:tbl>
    <w:p w:rsidR="00A20584" w:rsidRDefault="00A20584" w:rsidP="00A20584">
      <w:pPr>
        <w:keepNext/>
        <w:rPr>
          <w:i/>
          <w:highlight w:val="cyan"/>
        </w:rPr>
      </w:pPr>
    </w:p>
    <w:p w:rsidR="00D21E2F" w:rsidRPr="007F2477" w:rsidRDefault="00D21E2F" w:rsidP="00E35EAA"/>
    <w:p w:rsidR="007F2477" w:rsidRPr="007F2477" w:rsidRDefault="007F2477" w:rsidP="00E35EAA">
      <w:r w:rsidRPr="007F2477">
        <w:t>The Base Case of this work p</w:t>
      </w:r>
      <w:r w:rsidRPr="008634F1">
        <w:t>aper is considered to be</w:t>
      </w:r>
      <w:r w:rsidR="008634F1" w:rsidRPr="00C21706">
        <w:rPr>
          <w:rFonts w:ascii="Calibri" w:hAnsi="Calibri" w:cs="Calibri"/>
          <w:sz w:val="24"/>
          <w:szCs w:val="24"/>
        </w:rPr>
        <w:t xml:space="preserve"> </w:t>
      </w:r>
      <w:r w:rsidR="008634F1" w:rsidRPr="008634F1">
        <w:t>existing inefficient agricultural pumps with motors less than or equal to 25 horsepower</w:t>
      </w:r>
      <w:r w:rsidRPr="008634F1">
        <w:t xml:space="preserve">. The Measure Case is considered to be </w:t>
      </w:r>
      <w:r w:rsidR="008634F1" w:rsidRPr="008634F1">
        <w:t>a pump that is overhauled for improved efficiency to better match the design of the pump to the actual system operating conditions</w:t>
      </w:r>
      <w:r w:rsidR="008634F1">
        <w:t xml:space="preserve">. </w:t>
      </w:r>
      <w:r w:rsidRPr="008634F1">
        <w:t>Therefore, the measure application type is considered to be retrofit add-on</w:t>
      </w:r>
      <w:r w:rsidR="00106397">
        <w:t xml:space="preserve"> (REA)</w:t>
      </w:r>
      <w:r w:rsidRPr="008634F1">
        <w:t xml:space="preserve">.  </w:t>
      </w:r>
    </w:p>
    <w:p w:rsidR="008634F1" w:rsidRDefault="008634F1" w:rsidP="00E35EAA"/>
    <w:p w:rsidR="002A1F3E" w:rsidRDefault="002A1F3E" w:rsidP="00B16127">
      <w:pPr>
        <w:pStyle w:val="Heading2"/>
      </w:pPr>
      <w:r>
        <w:br w:type="page"/>
      </w:r>
    </w:p>
    <w:p w:rsidR="00E71EF1" w:rsidRPr="00314FE6" w:rsidRDefault="001248A3" w:rsidP="00B16127">
      <w:pPr>
        <w:pStyle w:val="Heading2"/>
      </w:pPr>
      <w:bookmarkStart w:id="19" w:name="_Toc392780003"/>
      <w:r w:rsidRPr="00314FE6">
        <w:lastRenderedPageBreak/>
        <w:t>1.</w:t>
      </w:r>
      <w:r w:rsidR="00806070" w:rsidRPr="00314FE6">
        <w:t>4</w:t>
      </w:r>
      <w:r w:rsidR="00FA595F" w:rsidRPr="00314FE6">
        <w:t xml:space="preserve"> </w:t>
      </w:r>
      <w:r w:rsidR="00AB797B">
        <w:t>Product Base Case and Measure Case Data</w:t>
      </w:r>
      <w:bookmarkEnd w:id="19"/>
      <w:r w:rsidR="008C6AD1" w:rsidRPr="00314FE6">
        <w:t xml:space="preserve"> </w:t>
      </w:r>
    </w:p>
    <w:p w:rsidR="007903E2" w:rsidRDefault="007903E2" w:rsidP="00E35EAA">
      <w:r>
        <w:tab/>
      </w:r>
    </w:p>
    <w:p w:rsidR="00F00C6F" w:rsidRPr="00314FE6" w:rsidRDefault="00F00C6F" w:rsidP="00B16127">
      <w:pPr>
        <w:pStyle w:val="Heading2"/>
      </w:pPr>
      <w:bookmarkStart w:id="20" w:name="_Toc392780004"/>
      <w:r w:rsidRPr="00314FE6">
        <w:t>1.</w:t>
      </w:r>
      <w:r>
        <w:t>4.1</w:t>
      </w:r>
      <w:r w:rsidRPr="00314FE6">
        <w:t xml:space="preserve"> </w:t>
      </w:r>
      <w:r>
        <w:t>DEER Base Case and Measure Case Information</w:t>
      </w:r>
      <w:bookmarkEnd w:id="20"/>
    </w:p>
    <w:p w:rsidR="00F00C6F" w:rsidRDefault="00F00C6F" w:rsidP="00E35EAA"/>
    <w:p w:rsidR="00476B67" w:rsidRPr="00887A41" w:rsidRDefault="00AE2EAC" w:rsidP="00E35EAA">
      <w:r w:rsidRPr="00314FE6">
        <w:t xml:space="preserve">The </w:t>
      </w:r>
      <w:r w:rsidRPr="00887A41">
        <w:t xml:space="preserve">Database </w:t>
      </w:r>
      <w:r w:rsidR="00FC697F" w:rsidRPr="00887A41">
        <w:t>for Energy Efficient Resources (</w:t>
      </w:r>
      <w:r w:rsidRPr="00890EF1">
        <w:t>DEER</w:t>
      </w:r>
      <w:r w:rsidR="00FC697F" w:rsidRPr="00890EF1">
        <w:t>)</w:t>
      </w:r>
      <w:r w:rsidRPr="00890EF1">
        <w:t xml:space="preserve"> 201</w:t>
      </w:r>
      <w:r w:rsidR="00890EF1" w:rsidRPr="00890EF1">
        <w:t>4</w:t>
      </w:r>
      <w:r w:rsidR="00C54DA2" w:rsidRPr="00890EF1">
        <w:t xml:space="preserve"> </w:t>
      </w:r>
      <w:r w:rsidRPr="00890EF1">
        <w:t xml:space="preserve">does not address </w:t>
      </w:r>
      <w:r w:rsidR="006A035C">
        <w:t>pump overhaul measures</w:t>
      </w:r>
      <w:r w:rsidRPr="00887A41">
        <w:t>.</w:t>
      </w:r>
    </w:p>
    <w:p w:rsidR="002574CF" w:rsidRPr="00887A41" w:rsidRDefault="002574CF" w:rsidP="00E35EAA"/>
    <w:p w:rsidR="006452D7" w:rsidRDefault="006452D7" w:rsidP="00E35EAA"/>
    <w:p w:rsidR="006A035C" w:rsidRPr="006A035C" w:rsidRDefault="006A035C" w:rsidP="006A035C">
      <w:pPr>
        <w:jc w:val="center"/>
        <w:rPr>
          <w:b/>
          <w:bCs/>
        </w:rPr>
      </w:pPr>
      <w:r w:rsidRPr="006A035C">
        <w:rPr>
          <w:b/>
          <w:bCs/>
        </w:rPr>
        <w:t xml:space="preserve">Table </w:t>
      </w:r>
      <w:r w:rsidRPr="006A035C">
        <w:rPr>
          <w:b/>
          <w:bCs/>
        </w:rPr>
        <w:fldChar w:fldCharType="begin"/>
      </w:r>
      <w:r w:rsidRPr="006A035C">
        <w:rPr>
          <w:b/>
          <w:bCs/>
        </w:rPr>
        <w:instrText xml:space="preserve"> SEQ Table \* ARABIC </w:instrText>
      </w:r>
      <w:r w:rsidRPr="006A035C">
        <w:rPr>
          <w:b/>
          <w:bCs/>
        </w:rPr>
        <w:fldChar w:fldCharType="separate"/>
      </w:r>
      <w:r w:rsidRPr="006A035C">
        <w:rPr>
          <w:b/>
          <w:bCs/>
        </w:rPr>
        <w:t>2</w:t>
      </w:r>
      <w:r w:rsidRPr="006A035C">
        <w:fldChar w:fldCharType="end"/>
      </w:r>
      <w:r w:rsidRPr="006A035C">
        <w:rPr>
          <w:b/>
          <w:bCs/>
        </w:rPr>
        <w:t xml:space="preserve"> DEER Difference Summary</w:t>
      </w:r>
    </w:p>
    <w:tbl>
      <w:tblPr>
        <w:tblW w:w="0" w:type="auto"/>
        <w:jc w:val="center"/>
        <w:tblInd w:w="-4618" w:type="dxa"/>
        <w:tblBorders>
          <w:insideH w:val="single" w:sz="18" w:space="0" w:color="FFFFFF"/>
          <w:insideV w:val="single" w:sz="18" w:space="0" w:color="FFFFFF"/>
        </w:tblBorders>
        <w:tblLook w:val="04A0" w:firstRow="1" w:lastRow="0" w:firstColumn="1" w:lastColumn="0" w:noHBand="0" w:noVBand="1"/>
      </w:tblPr>
      <w:tblGrid>
        <w:gridCol w:w="3173"/>
        <w:gridCol w:w="5513"/>
      </w:tblGrid>
      <w:tr w:rsidR="006A035C" w:rsidRPr="006A035C" w:rsidTr="00C21706">
        <w:trPr>
          <w:jc w:val="center"/>
        </w:trPr>
        <w:tc>
          <w:tcPr>
            <w:tcW w:w="8686" w:type="dxa"/>
            <w:gridSpan w:val="2"/>
            <w:shd w:val="pct20" w:color="000000" w:fill="FFFFFF"/>
            <w:vAlign w:val="center"/>
          </w:tcPr>
          <w:p w:rsidR="006A035C" w:rsidRPr="00C21706" w:rsidRDefault="006A035C" w:rsidP="00C21706">
            <w:pPr>
              <w:jc w:val="center"/>
              <w:rPr>
                <w:b/>
                <w:bCs/>
              </w:rPr>
            </w:pPr>
            <w:r w:rsidRPr="00C21706">
              <w:rPr>
                <w:b/>
                <w:bCs/>
              </w:rPr>
              <w:t>DEER Difference Summary Table</w:t>
            </w:r>
          </w:p>
        </w:tc>
      </w:tr>
      <w:tr w:rsidR="006A035C" w:rsidRPr="006A035C" w:rsidTr="00C21706">
        <w:trPr>
          <w:trHeight w:val="243"/>
          <w:jc w:val="center"/>
        </w:trPr>
        <w:tc>
          <w:tcPr>
            <w:tcW w:w="3173" w:type="dxa"/>
            <w:shd w:val="pct5" w:color="000000" w:fill="FFFFFF"/>
            <w:vAlign w:val="center"/>
          </w:tcPr>
          <w:p w:rsidR="006A035C" w:rsidRPr="006A035C" w:rsidRDefault="006A035C" w:rsidP="006A035C">
            <w:r w:rsidRPr="006A035C">
              <w:t xml:space="preserve">Modified DEER </w:t>
            </w:r>
            <w:proofErr w:type="spellStart"/>
            <w:r w:rsidRPr="006A035C">
              <w:t>Methodolgy</w:t>
            </w:r>
            <w:proofErr w:type="spellEnd"/>
          </w:p>
        </w:tc>
        <w:tc>
          <w:tcPr>
            <w:tcW w:w="5513" w:type="dxa"/>
            <w:shd w:val="pct5" w:color="000000" w:fill="FFFFFF"/>
            <w:vAlign w:val="center"/>
          </w:tcPr>
          <w:p w:rsidR="006A035C" w:rsidRPr="00C21706" w:rsidRDefault="006A035C" w:rsidP="00C21706">
            <w:pPr>
              <w:jc w:val="center"/>
              <w:rPr>
                <w:b/>
              </w:rPr>
            </w:pPr>
            <w:r w:rsidRPr="006A035C">
              <w:t>No</w:t>
            </w:r>
          </w:p>
        </w:tc>
      </w:tr>
      <w:tr w:rsidR="006A035C" w:rsidRPr="006A035C" w:rsidTr="00C21706">
        <w:trPr>
          <w:trHeight w:val="243"/>
          <w:jc w:val="center"/>
        </w:trPr>
        <w:tc>
          <w:tcPr>
            <w:tcW w:w="3173" w:type="dxa"/>
            <w:shd w:val="pct20" w:color="000000" w:fill="FFFFFF"/>
            <w:vAlign w:val="center"/>
          </w:tcPr>
          <w:p w:rsidR="006A035C" w:rsidRPr="006A035C" w:rsidRDefault="006A035C" w:rsidP="006A035C">
            <w:r w:rsidRPr="006A035C">
              <w:t>Scaled DEER Measure</w:t>
            </w:r>
          </w:p>
        </w:tc>
        <w:tc>
          <w:tcPr>
            <w:tcW w:w="5513" w:type="dxa"/>
            <w:shd w:val="pct20" w:color="000000" w:fill="FFFFFF"/>
            <w:vAlign w:val="center"/>
          </w:tcPr>
          <w:p w:rsidR="006A035C" w:rsidRPr="006A035C" w:rsidRDefault="006A035C" w:rsidP="00C21706">
            <w:pPr>
              <w:jc w:val="center"/>
            </w:pPr>
            <w:r w:rsidRPr="006A035C">
              <w:t>No</w:t>
            </w:r>
          </w:p>
        </w:tc>
      </w:tr>
      <w:tr w:rsidR="006A035C" w:rsidRPr="006A035C" w:rsidTr="00C21706">
        <w:trPr>
          <w:trHeight w:val="243"/>
          <w:jc w:val="center"/>
        </w:trPr>
        <w:tc>
          <w:tcPr>
            <w:tcW w:w="3173" w:type="dxa"/>
            <w:shd w:val="pct5" w:color="000000" w:fill="FFFFFF"/>
            <w:vAlign w:val="center"/>
          </w:tcPr>
          <w:p w:rsidR="006A035C" w:rsidRPr="006A035C" w:rsidRDefault="006A035C" w:rsidP="006A035C">
            <w:r w:rsidRPr="006A035C">
              <w:t>DEER Building Prototypes Used</w:t>
            </w:r>
          </w:p>
        </w:tc>
        <w:tc>
          <w:tcPr>
            <w:tcW w:w="5513" w:type="dxa"/>
            <w:shd w:val="pct5" w:color="000000" w:fill="FFFFFF"/>
            <w:vAlign w:val="center"/>
          </w:tcPr>
          <w:p w:rsidR="006A035C" w:rsidRPr="006A035C" w:rsidRDefault="006A035C" w:rsidP="00C21706">
            <w:pPr>
              <w:jc w:val="center"/>
            </w:pPr>
            <w:r w:rsidRPr="006A035C">
              <w:t>No</w:t>
            </w:r>
          </w:p>
        </w:tc>
      </w:tr>
      <w:tr w:rsidR="006A035C" w:rsidRPr="006A035C" w:rsidTr="00C21706">
        <w:trPr>
          <w:trHeight w:val="243"/>
          <w:jc w:val="center"/>
        </w:trPr>
        <w:tc>
          <w:tcPr>
            <w:tcW w:w="3173" w:type="dxa"/>
            <w:shd w:val="pct20" w:color="000000" w:fill="FFFFFF"/>
            <w:vAlign w:val="center"/>
          </w:tcPr>
          <w:p w:rsidR="006A035C" w:rsidRPr="006A035C" w:rsidRDefault="006A035C" w:rsidP="006A035C">
            <w:r w:rsidRPr="006A035C">
              <w:t>Deviation from DEER</w:t>
            </w:r>
          </w:p>
        </w:tc>
        <w:tc>
          <w:tcPr>
            <w:tcW w:w="5513" w:type="dxa"/>
            <w:shd w:val="pct20" w:color="000000" w:fill="FFFFFF"/>
            <w:vAlign w:val="center"/>
          </w:tcPr>
          <w:p w:rsidR="006A035C" w:rsidRPr="006A035C" w:rsidRDefault="006A035C" w:rsidP="00C21706">
            <w:pPr>
              <w:jc w:val="center"/>
            </w:pPr>
            <w:r w:rsidRPr="006A035C">
              <w:t>N/A</w:t>
            </w:r>
          </w:p>
        </w:tc>
      </w:tr>
      <w:tr w:rsidR="006A035C" w:rsidRPr="006A035C" w:rsidTr="00C21706">
        <w:trPr>
          <w:trHeight w:val="243"/>
          <w:jc w:val="center"/>
        </w:trPr>
        <w:tc>
          <w:tcPr>
            <w:tcW w:w="3173" w:type="dxa"/>
            <w:shd w:val="pct5" w:color="000000" w:fill="FFFFFF"/>
            <w:vAlign w:val="center"/>
          </w:tcPr>
          <w:p w:rsidR="006A035C" w:rsidRPr="006A035C" w:rsidRDefault="006A035C" w:rsidP="006A035C">
            <w:r w:rsidRPr="006A035C">
              <w:t>DEER Version</w:t>
            </w:r>
          </w:p>
        </w:tc>
        <w:tc>
          <w:tcPr>
            <w:tcW w:w="5513" w:type="dxa"/>
            <w:shd w:val="pct5" w:color="000000" w:fill="FFFFFF"/>
            <w:vAlign w:val="center"/>
          </w:tcPr>
          <w:p w:rsidR="006A035C" w:rsidRPr="006A035C" w:rsidRDefault="006A035C" w:rsidP="00661B9C">
            <w:pPr>
              <w:jc w:val="center"/>
            </w:pPr>
            <w:r w:rsidRPr="006A035C">
              <w:t>Measures are not included in DEER 201</w:t>
            </w:r>
            <w:r w:rsidR="00661B9C">
              <w:t>4</w:t>
            </w:r>
          </w:p>
        </w:tc>
      </w:tr>
      <w:tr w:rsidR="006A035C" w:rsidRPr="006A035C" w:rsidTr="00C21706">
        <w:trPr>
          <w:trHeight w:val="243"/>
          <w:jc w:val="center"/>
        </w:trPr>
        <w:tc>
          <w:tcPr>
            <w:tcW w:w="3173" w:type="dxa"/>
            <w:shd w:val="pct20" w:color="000000" w:fill="FFFFFF"/>
            <w:vAlign w:val="center"/>
          </w:tcPr>
          <w:p w:rsidR="006A035C" w:rsidRPr="006A035C" w:rsidRDefault="006A035C" w:rsidP="006A035C">
            <w:r w:rsidRPr="006A035C">
              <w:t>DEER Run ID and Measure Name (Sample)</w:t>
            </w:r>
          </w:p>
        </w:tc>
        <w:tc>
          <w:tcPr>
            <w:tcW w:w="5513" w:type="dxa"/>
            <w:shd w:val="pct20" w:color="000000" w:fill="FFFFFF"/>
            <w:vAlign w:val="center"/>
          </w:tcPr>
          <w:p w:rsidR="006A035C" w:rsidRPr="006A035C" w:rsidRDefault="006A035C" w:rsidP="00C21706">
            <w:pPr>
              <w:jc w:val="center"/>
            </w:pPr>
            <w:r w:rsidRPr="006A035C">
              <w:t>N/A</w:t>
            </w:r>
          </w:p>
        </w:tc>
      </w:tr>
    </w:tbl>
    <w:p w:rsidR="006A035C" w:rsidRDefault="006A035C" w:rsidP="00E35EAA"/>
    <w:p w:rsidR="006A035C" w:rsidRDefault="006A035C" w:rsidP="00E35EAA"/>
    <w:p w:rsidR="00244D6C" w:rsidRDefault="00244D6C" w:rsidP="00E35EAA"/>
    <w:p w:rsidR="00244D6C" w:rsidRPr="003F771B" w:rsidRDefault="00244D6C" w:rsidP="00E35EAA">
      <w:r w:rsidRPr="003F771B">
        <w:t>The Effective Useful Life is an estimate of the median number of years that the measures installed under the program are still in place and operable.</w:t>
      </w:r>
    </w:p>
    <w:p w:rsidR="00244D6C" w:rsidRPr="003F771B" w:rsidRDefault="00244D6C" w:rsidP="00E35EAA"/>
    <w:p w:rsidR="00244D6C" w:rsidRPr="003F771B" w:rsidRDefault="0028601A" w:rsidP="00E35EAA">
      <w:r>
        <w:t>Because these measures are not in the DEER database,</w:t>
      </w:r>
      <w:r w:rsidR="00E40194" w:rsidRPr="00071A4E">
        <w:t xml:space="preserve"> a study involving pump overhaul measures was consulted [</w:t>
      </w:r>
      <w:r w:rsidR="00071A4E" w:rsidRPr="00071A4E">
        <w:t xml:space="preserve">Reference </w:t>
      </w:r>
      <w:r w:rsidR="00BB6DB1">
        <w:t>5</w:t>
      </w:r>
      <w:r w:rsidR="00E40194" w:rsidRPr="00071A4E">
        <w:t xml:space="preserve">]. </w:t>
      </w:r>
      <w:r w:rsidR="0052757D" w:rsidRPr="00071A4E">
        <w:t xml:space="preserve">Table </w:t>
      </w:r>
      <w:r w:rsidR="00E40194" w:rsidRPr="00071A4E">
        <w:t>3</w:t>
      </w:r>
      <w:r w:rsidR="00244D6C" w:rsidRPr="00071A4E">
        <w:t xml:space="preserve"> below identifies the value/methodology used for the measures in this work paper.</w:t>
      </w:r>
    </w:p>
    <w:p w:rsidR="00244D6C" w:rsidRDefault="00244D6C" w:rsidP="00E35EAA"/>
    <w:p w:rsidR="00C45BFA" w:rsidRPr="00B341B7" w:rsidRDefault="00C45BFA" w:rsidP="00E35EAA"/>
    <w:p w:rsidR="00E40194" w:rsidRPr="00E40194" w:rsidRDefault="00E40194" w:rsidP="00E40194">
      <w:pPr>
        <w:jc w:val="center"/>
        <w:rPr>
          <w:b/>
          <w:bCs/>
        </w:rPr>
      </w:pPr>
      <w:r w:rsidRPr="00E40194">
        <w:rPr>
          <w:b/>
          <w:bCs/>
        </w:rPr>
        <w:t xml:space="preserve">Table </w:t>
      </w:r>
      <w:r>
        <w:rPr>
          <w:b/>
          <w:bCs/>
        </w:rPr>
        <w:t>3</w:t>
      </w:r>
      <w:r w:rsidRPr="00E40194">
        <w:rPr>
          <w:b/>
          <w:bCs/>
        </w:rPr>
        <w:t xml:space="preserve"> DEER08 EUL Value/Methodology</w:t>
      </w:r>
    </w:p>
    <w:tbl>
      <w:tblPr>
        <w:tblW w:w="9279" w:type="dxa"/>
        <w:jc w:val="center"/>
        <w:tblBorders>
          <w:insideH w:val="single" w:sz="18" w:space="0" w:color="FFFFFF"/>
          <w:insideV w:val="single" w:sz="18" w:space="0" w:color="FFFFFF"/>
        </w:tblBorders>
        <w:tblLook w:val="04A0" w:firstRow="1" w:lastRow="0" w:firstColumn="1" w:lastColumn="0" w:noHBand="0" w:noVBand="1"/>
      </w:tblPr>
      <w:tblGrid>
        <w:gridCol w:w="2192"/>
        <w:gridCol w:w="1754"/>
        <w:gridCol w:w="3550"/>
        <w:gridCol w:w="1783"/>
      </w:tblGrid>
      <w:tr w:rsidR="00F41A9B" w:rsidRPr="00E40194" w:rsidTr="00AD7A0D">
        <w:trPr>
          <w:trHeight w:val="218"/>
          <w:jc w:val="center"/>
        </w:trPr>
        <w:tc>
          <w:tcPr>
            <w:tcW w:w="2192" w:type="dxa"/>
            <w:shd w:val="pct20" w:color="000000" w:fill="FFFFFF"/>
          </w:tcPr>
          <w:p w:rsidR="00F41A9B" w:rsidRPr="00C21706" w:rsidRDefault="00F41A9B" w:rsidP="00E40194">
            <w:pPr>
              <w:rPr>
                <w:b/>
                <w:bCs/>
              </w:rPr>
            </w:pPr>
            <w:r w:rsidRPr="00C21706">
              <w:rPr>
                <w:b/>
                <w:bCs/>
              </w:rPr>
              <w:t>Market</w:t>
            </w:r>
          </w:p>
        </w:tc>
        <w:tc>
          <w:tcPr>
            <w:tcW w:w="1754" w:type="dxa"/>
            <w:shd w:val="pct20" w:color="000000" w:fill="FFFFFF"/>
          </w:tcPr>
          <w:p w:rsidR="00F41A9B" w:rsidRPr="00C21706" w:rsidRDefault="00F41A9B" w:rsidP="00E40194">
            <w:pPr>
              <w:rPr>
                <w:b/>
                <w:bCs/>
              </w:rPr>
            </w:pPr>
            <w:proofErr w:type="spellStart"/>
            <w:r w:rsidRPr="00C21706">
              <w:rPr>
                <w:b/>
                <w:bCs/>
              </w:rPr>
              <w:t>Enduse</w:t>
            </w:r>
            <w:proofErr w:type="spellEnd"/>
          </w:p>
        </w:tc>
        <w:tc>
          <w:tcPr>
            <w:tcW w:w="3550" w:type="dxa"/>
            <w:shd w:val="pct20" w:color="000000" w:fill="FFFFFF"/>
          </w:tcPr>
          <w:p w:rsidR="00F41A9B" w:rsidRPr="00C21706" w:rsidRDefault="00F41A9B" w:rsidP="00E40194">
            <w:pPr>
              <w:rPr>
                <w:b/>
                <w:bCs/>
              </w:rPr>
            </w:pPr>
            <w:r w:rsidRPr="00C21706">
              <w:rPr>
                <w:b/>
                <w:bCs/>
              </w:rPr>
              <w:t>Measure</w:t>
            </w:r>
          </w:p>
        </w:tc>
        <w:tc>
          <w:tcPr>
            <w:tcW w:w="1783" w:type="dxa"/>
            <w:shd w:val="pct20" w:color="000000" w:fill="FFFFFF"/>
          </w:tcPr>
          <w:p w:rsidR="00F41A9B" w:rsidRPr="00C21706" w:rsidRDefault="00F41A9B" w:rsidP="00C21706">
            <w:pPr>
              <w:jc w:val="center"/>
              <w:rPr>
                <w:b/>
                <w:bCs/>
              </w:rPr>
            </w:pPr>
            <w:r w:rsidRPr="00C21706">
              <w:rPr>
                <w:b/>
                <w:bCs/>
              </w:rPr>
              <w:t>EUL (Years)</w:t>
            </w:r>
          </w:p>
        </w:tc>
      </w:tr>
      <w:tr w:rsidR="00F41A9B" w:rsidRPr="00E40194" w:rsidTr="00AD7A0D">
        <w:trPr>
          <w:trHeight w:val="236"/>
          <w:jc w:val="center"/>
        </w:trPr>
        <w:tc>
          <w:tcPr>
            <w:tcW w:w="2192" w:type="dxa"/>
            <w:shd w:val="pct5" w:color="000000" w:fill="FFFFFF"/>
          </w:tcPr>
          <w:p w:rsidR="00F41A9B" w:rsidRPr="00E40194" w:rsidRDefault="00F41A9B" w:rsidP="00E40194">
            <w:r w:rsidRPr="00E40194">
              <w:t>Non-Residential</w:t>
            </w:r>
          </w:p>
        </w:tc>
        <w:tc>
          <w:tcPr>
            <w:tcW w:w="1754" w:type="dxa"/>
            <w:shd w:val="pct5" w:color="000000" w:fill="FFFFFF"/>
          </w:tcPr>
          <w:p w:rsidR="00F41A9B" w:rsidRPr="00E40194" w:rsidRDefault="00F41A9B" w:rsidP="00E40194">
            <w:r w:rsidRPr="00E40194">
              <w:t>Pumping</w:t>
            </w:r>
          </w:p>
        </w:tc>
        <w:tc>
          <w:tcPr>
            <w:tcW w:w="3550" w:type="dxa"/>
            <w:shd w:val="pct5" w:color="000000" w:fill="FFFFFF"/>
          </w:tcPr>
          <w:p w:rsidR="00F41A9B" w:rsidRPr="00E40194" w:rsidRDefault="00F41A9B" w:rsidP="00E40194">
            <w:r w:rsidRPr="00E40194">
              <w:t>Submersible Well Pump System Overhaul (&lt;=25hp)</w:t>
            </w:r>
          </w:p>
        </w:tc>
        <w:tc>
          <w:tcPr>
            <w:tcW w:w="1783" w:type="dxa"/>
            <w:shd w:val="pct5" w:color="000000" w:fill="FFFFFF"/>
          </w:tcPr>
          <w:p w:rsidR="00F41A9B" w:rsidRPr="00E40194" w:rsidRDefault="00F41A9B" w:rsidP="00C21706">
            <w:pPr>
              <w:jc w:val="center"/>
            </w:pPr>
            <w:r w:rsidRPr="00E40194">
              <w:t>6.5</w:t>
            </w:r>
          </w:p>
        </w:tc>
      </w:tr>
      <w:tr w:rsidR="00F41A9B" w:rsidRPr="00C21706" w:rsidTr="00AD7A0D">
        <w:trPr>
          <w:trHeight w:val="236"/>
          <w:jc w:val="center"/>
        </w:trPr>
        <w:tc>
          <w:tcPr>
            <w:tcW w:w="2192" w:type="dxa"/>
            <w:shd w:val="pct20" w:color="000000" w:fill="FFFFFF"/>
          </w:tcPr>
          <w:p w:rsidR="00F41A9B" w:rsidRPr="00D64B54" w:rsidRDefault="00F41A9B" w:rsidP="00E40194">
            <w:r w:rsidRPr="00D64B54">
              <w:t>Non-Residential</w:t>
            </w:r>
          </w:p>
        </w:tc>
        <w:tc>
          <w:tcPr>
            <w:tcW w:w="1754" w:type="dxa"/>
            <w:shd w:val="pct20" w:color="000000" w:fill="FFFFFF"/>
          </w:tcPr>
          <w:p w:rsidR="00F41A9B" w:rsidRPr="00D64B54" w:rsidRDefault="00F41A9B" w:rsidP="00E40194">
            <w:r w:rsidRPr="00D64B54">
              <w:t>Pumping</w:t>
            </w:r>
          </w:p>
        </w:tc>
        <w:tc>
          <w:tcPr>
            <w:tcW w:w="3550" w:type="dxa"/>
            <w:shd w:val="pct20" w:color="000000" w:fill="FFFFFF"/>
          </w:tcPr>
          <w:p w:rsidR="00F41A9B" w:rsidRPr="00D64B54" w:rsidRDefault="00F41A9B" w:rsidP="00E40194">
            <w:r w:rsidRPr="00D64B54">
              <w:t>Submersible Booster Pump System Overhaul (&lt;=25hp)</w:t>
            </w:r>
          </w:p>
        </w:tc>
        <w:tc>
          <w:tcPr>
            <w:tcW w:w="1783" w:type="dxa"/>
            <w:shd w:val="pct20" w:color="000000" w:fill="FFFFFF"/>
          </w:tcPr>
          <w:p w:rsidR="00F41A9B" w:rsidRPr="00D64B54" w:rsidRDefault="00F41A9B" w:rsidP="00C21706">
            <w:pPr>
              <w:jc w:val="center"/>
            </w:pPr>
            <w:r w:rsidRPr="00D64B54">
              <w:t>8.3</w:t>
            </w:r>
          </w:p>
        </w:tc>
      </w:tr>
      <w:tr w:rsidR="00F41A9B" w:rsidRPr="00E40194" w:rsidTr="00AD7A0D">
        <w:trPr>
          <w:trHeight w:val="236"/>
          <w:jc w:val="center"/>
        </w:trPr>
        <w:tc>
          <w:tcPr>
            <w:tcW w:w="2192" w:type="dxa"/>
            <w:shd w:val="pct5" w:color="000000" w:fill="FFFFFF"/>
          </w:tcPr>
          <w:p w:rsidR="00F41A9B" w:rsidRPr="00E40194" w:rsidRDefault="00F41A9B" w:rsidP="00E40194">
            <w:r w:rsidRPr="00E40194">
              <w:t>Non-Residential</w:t>
            </w:r>
          </w:p>
        </w:tc>
        <w:tc>
          <w:tcPr>
            <w:tcW w:w="1754" w:type="dxa"/>
            <w:shd w:val="pct5" w:color="000000" w:fill="FFFFFF"/>
          </w:tcPr>
          <w:p w:rsidR="00F41A9B" w:rsidRPr="00E40194" w:rsidRDefault="00F41A9B" w:rsidP="00E40194">
            <w:r w:rsidRPr="00E40194">
              <w:t>Pumping</w:t>
            </w:r>
          </w:p>
        </w:tc>
        <w:tc>
          <w:tcPr>
            <w:tcW w:w="3550" w:type="dxa"/>
            <w:shd w:val="pct5" w:color="000000" w:fill="FFFFFF"/>
          </w:tcPr>
          <w:p w:rsidR="00F41A9B" w:rsidRPr="00E40194" w:rsidRDefault="00F41A9B" w:rsidP="00E40194">
            <w:r w:rsidRPr="00E40194">
              <w:t>Centrifugal Booster Pump System Overhaul (&lt;=25hp)</w:t>
            </w:r>
          </w:p>
        </w:tc>
        <w:tc>
          <w:tcPr>
            <w:tcW w:w="1783" w:type="dxa"/>
            <w:shd w:val="pct5" w:color="000000" w:fill="FFFFFF"/>
          </w:tcPr>
          <w:p w:rsidR="00F41A9B" w:rsidRPr="00E40194" w:rsidRDefault="00F41A9B" w:rsidP="00C21706">
            <w:pPr>
              <w:jc w:val="center"/>
            </w:pPr>
            <w:r w:rsidRPr="00E40194">
              <w:t>12.7</w:t>
            </w:r>
          </w:p>
        </w:tc>
      </w:tr>
      <w:tr w:rsidR="00F41A9B" w:rsidRPr="00E40194" w:rsidTr="00AD7A0D">
        <w:trPr>
          <w:trHeight w:val="236"/>
          <w:jc w:val="center"/>
        </w:trPr>
        <w:tc>
          <w:tcPr>
            <w:tcW w:w="2192" w:type="dxa"/>
            <w:shd w:val="pct20" w:color="000000" w:fill="FFFFFF"/>
          </w:tcPr>
          <w:p w:rsidR="00F41A9B" w:rsidRPr="00E40194" w:rsidRDefault="00F41A9B" w:rsidP="00E40194">
            <w:r w:rsidRPr="00E40194">
              <w:t>Non-Residential</w:t>
            </w:r>
          </w:p>
        </w:tc>
        <w:tc>
          <w:tcPr>
            <w:tcW w:w="1754" w:type="dxa"/>
            <w:shd w:val="pct20" w:color="000000" w:fill="FFFFFF"/>
          </w:tcPr>
          <w:p w:rsidR="00F41A9B" w:rsidRPr="00E40194" w:rsidRDefault="00F41A9B" w:rsidP="00E40194">
            <w:r w:rsidRPr="00E40194">
              <w:t>Pumping</w:t>
            </w:r>
          </w:p>
        </w:tc>
        <w:tc>
          <w:tcPr>
            <w:tcW w:w="3550" w:type="dxa"/>
            <w:shd w:val="pct20" w:color="000000" w:fill="FFFFFF"/>
          </w:tcPr>
          <w:p w:rsidR="00F41A9B" w:rsidRPr="00E40194" w:rsidRDefault="00F41A9B" w:rsidP="00E40194">
            <w:r w:rsidRPr="00E40194">
              <w:t>Turbine Booster Pump System Overhaul (&lt;=25hp)</w:t>
            </w:r>
          </w:p>
        </w:tc>
        <w:tc>
          <w:tcPr>
            <w:tcW w:w="1783" w:type="dxa"/>
            <w:shd w:val="pct20" w:color="000000" w:fill="FFFFFF"/>
          </w:tcPr>
          <w:p w:rsidR="00F41A9B" w:rsidRPr="00E40194" w:rsidRDefault="00F41A9B" w:rsidP="00C21706">
            <w:pPr>
              <w:jc w:val="center"/>
            </w:pPr>
            <w:r w:rsidRPr="00E40194">
              <w:t>9.3</w:t>
            </w:r>
          </w:p>
        </w:tc>
      </w:tr>
      <w:tr w:rsidR="00F41A9B" w:rsidRPr="00E40194" w:rsidTr="00AD7A0D">
        <w:trPr>
          <w:trHeight w:val="236"/>
          <w:jc w:val="center"/>
        </w:trPr>
        <w:tc>
          <w:tcPr>
            <w:tcW w:w="2192" w:type="dxa"/>
            <w:shd w:val="pct5" w:color="000000" w:fill="FFFFFF"/>
          </w:tcPr>
          <w:p w:rsidR="00F41A9B" w:rsidRPr="00E40194" w:rsidRDefault="00F41A9B" w:rsidP="00E40194">
            <w:r w:rsidRPr="00E40194">
              <w:t>Non-Residential</w:t>
            </w:r>
          </w:p>
        </w:tc>
        <w:tc>
          <w:tcPr>
            <w:tcW w:w="1754" w:type="dxa"/>
            <w:shd w:val="pct5" w:color="000000" w:fill="FFFFFF"/>
          </w:tcPr>
          <w:p w:rsidR="00F41A9B" w:rsidRPr="00E40194" w:rsidRDefault="00F41A9B" w:rsidP="00E40194">
            <w:r w:rsidRPr="00E40194">
              <w:t>Pumping</w:t>
            </w:r>
          </w:p>
        </w:tc>
        <w:tc>
          <w:tcPr>
            <w:tcW w:w="3550" w:type="dxa"/>
            <w:shd w:val="pct5" w:color="000000" w:fill="FFFFFF"/>
          </w:tcPr>
          <w:p w:rsidR="00F41A9B" w:rsidRPr="00E40194" w:rsidRDefault="00F41A9B" w:rsidP="00E40194">
            <w:r w:rsidRPr="00E40194">
              <w:t>Turbine Well Pump System Overhaul (&lt;=25hp)</w:t>
            </w:r>
          </w:p>
        </w:tc>
        <w:tc>
          <w:tcPr>
            <w:tcW w:w="1783" w:type="dxa"/>
            <w:shd w:val="pct5" w:color="000000" w:fill="FFFFFF"/>
          </w:tcPr>
          <w:p w:rsidR="00F41A9B" w:rsidRPr="00E40194" w:rsidRDefault="00F41A9B" w:rsidP="00C21706">
            <w:pPr>
              <w:jc w:val="center"/>
            </w:pPr>
            <w:r w:rsidRPr="00E40194">
              <w:t>6.8</w:t>
            </w:r>
          </w:p>
        </w:tc>
      </w:tr>
    </w:tbl>
    <w:p w:rsidR="00C45BFA" w:rsidRPr="00B341B7" w:rsidRDefault="00C45BFA" w:rsidP="00E35EAA"/>
    <w:p w:rsidR="005C611A" w:rsidRDefault="005C611A" w:rsidP="00E35EAA"/>
    <w:p w:rsidR="00C45BFA" w:rsidRPr="00B341B7" w:rsidRDefault="00C45BFA" w:rsidP="00E35EAA">
      <w:r w:rsidRPr="00B341B7">
        <w:t xml:space="preserve">The NTG value was obtained from the </w:t>
      </w:r>
      <w:r w:rsidRPr="00F457AB">
        <w:t>DEER201</w:t>
      </w:r>
      <w:r w:rsidR="0028601A">
        <w:t>4</w:t>
      </w:r>
      <w:r w:rsidRPr="00F457AB">
        <w:t xml:space="preserve"> </w:t>
      </w:r>
      <w:r w:rsidR="00F41A9B">
        <w:t>documentation. The</w:t>
      </w:r>
      <w:r w:rsidRPr="00B341B7">
        <w:t xml:space="preserve"> relevant NTGR for this measure is shown in</w:t>
      </w:r>
      <w:r>
        <w:t xml:space="preserve"> Table </w:t>
      </w:r>
      <w:r w:rsidR="00F41A9B">
        <w:t>4</w:t>
      </w:r>
      <w:r w:rsidR="00F41A9B" w:rsidRPr="00B341B7">
        <w:t xml:space="preserve"> </w:t>
      </w:r>
      <w:r w:rsidRPr="00B341B7">
        <w:t>below.</w:t>
      </w:r>
    </w:p>
    <w:p w:rsidR="00C45BFA" w:rsidRDefault="00C45BFA" w:rsidP="00E35EAA"/>
    <w:p w:rsidR="00897B81" w:rsidRDefault="00897B81" w:rsidP="00E35EAA"/>
    <w:p w:rsidR="00F41A9B" w:rsidRDefault="00F41A9B" w:rsidP="00E35EAA"/>
    <w:p w:rsidR="00BB6DB1" w:rsidRDefault="00BB6DB1" w:rsidP="00E35EAA"/>
    <w:p w:rsidR="00BB6DB1" w:rsidRDefault="00BB6DB1" w:rsidP="00E35EAA"/>
    <w:p w:rsidR="00F41A9B" w:rsidRPr="007821CF" w:rsidRDefault="00F41A9B" w:rsidP="00E35EAA"/>
    <w:p w:rsidR="00C45BFA" w:rsidRPr="007B1426" w:rsidRDefault="00C45BFA" w:rsidP="00D368FB">
      <w:pPr>
        <w:pStyle w:val="Caption"/>
        <w:jc w:val="center"/>
      </w:pPr>
      <w:r w:rsidRPr="00CC3FCA">
        <w:t xml:space="preserve">Table </w:t>
      </w:r>
      <w:r w:rsidR="00D368FB">
        <w:t>4</w:t>
      </w:r>
      <w:r w:rsidRPr="00CC3FCA">
        <w:t xml:space="preserve">:  Net-to-Gross </w:t>
      </w:r>
      <w:r w:rsidRPr="007B1426">
        <w:t>Ratios</w:t>
      </w:r>
    </w:p>
    <w:tbl>
      <w:tblPr>
        <w:tblW w:w="4970" w:type="pct"/>
        <w:jc w:val="center"/>
        <w:tblInd w:w="1186" w:type="dxa"/>
        <w:tblBorders>
          <w:insideH w:val="single" w:sz="18" w:space="0" w:color="FFFFFF"/>
          <w:insideV w:val="single" w:sz="18" w:space="0" w:color="FFFFFF"/>
        </w:tblBorders>
        <w:tblLook w:val="01E0" w:firstRow="1" w:lastRow="1" w:firstColumn="1" w:lastColumn="1" w:noHBand="0" w:noVBand="0"/>
      </w:tblPr>
      <w:tblGrid>
        <w:gridCol w:w="1615"/>
        <w:gridCol w:w="2424"/>
        <w:gridCol w:w="1531"/>
        <w:gridCol w:w="1578"/>
        <w:gridCol w:w="1533"/>
        <w:gridCol w:w="838"/>
      </w:tblGrid>
      <w:tr w:rsidR="00BB6DB1" w:rsidRPr="00D368FB" w:rsidTr="00BB6DB1">
        <w:trPr>
          <w:trHeight w:val="174"/>
          <w:jc w:val="center"/>
        </w:trPr>
        <w:tc>
          <w:tcPr>
            <w:tcW w:w="848" w:type="pct"/>
            <w:tcBorders>
              <w:top w:val="nil"/>
              <w:left w:val="nil"/>
              <w:bottom w:val="single" w:sz="18" w:space="0" w:color="FFFFFF"/>
              <w:right w:val="single" w:sz="18" w:space="0" w:color="FFFFFF"/>
            </w:tcBorders>
            <w:shd w:val="pct20" w:color="000000" w:fill="FFFFFF"/>
            <w:vAlign w:val="center"/>
            <w:hideMark/>
          </w:tcPr>
          <w:p w:rsidR="00C45BFA" w:rsidRPr="00D368FB" w:rsidRDefault="00C45BFA" w:rsidP="00E35EAA">
            <w:pPr>
              <w:rPr>
                <w:sz w:val="18"/>
              </w:rPr>
            </w:pPr>
            <w:r w:rsidRPr="00D368FB">
              <w:rPr>
                <w:sz w:val="18"/>
              </w:rPr>
              <w:lastRenderedPageBreak/>
              <w:t>NTGR_ID*</w:t>
            </w:r>
          </w:p>
        </w:tc>
        <w:tc>
          <w:tcPr>
            <w:tcW w:w="1273" w:type="pct"/>
            <w:tcBorders>
              <w:top w:val="nil"/>
              <w:left w:val="single" w:sz="18" w:space="0" w:color="FFFFFF"/>
              <w:bottom w:val="single" w:sz="18" w:space="0" w:color="FFFFFF"/>
              <w:right w:val="single" w:sz="18" w:space="0" w:color="FFFFFF"/>
            </w:tcBorders>
            <w:shd w:val="pct20" w:color="000000" w:fill="FFFFFF"/>
            <w:vAlign w:val="center"/>
            <w:hideMark/>
          </w:tcPr>
          <w:p w:rsidR="00C45BFA" w:rsidRPr="00D368FB" w:rsidRDefault="00C45BFA" w:rsidP="00E35EAA">
            <w:pPr>
              <w:rPr>
                <w:sz w:val="18"/>
              </w:rPr>
            </w:pPr>
            <w:r w:rsidRPr="00D368FB">
              <w:rPr>
                <w:sz w:val="18"/>
              </w:rPr>
              <w:t>Description*</w:t>
            </w:r>
          </w:p>
        </w:tc>
        <w:tc>
          <w:tcPr>
            <w:tcW w:w="804" w:type="pct"/>
            <w:tcBorders>
              <w:top w:val="nil"/>
              <w:left w:val="single" w:sz="18" w:space="0" w:color="FFFFFF"/>
              <w:bottom w:val="single" w:sz="18" w:space="0" w:color="FFFFFF"/>
              <w:right w:val="single" w:sz="18" w:space="0" w:color="FFFFFF"/>
            </w:tcBorders>
            <w:shd w:val="pct20" w:color="000000" w:fill="FFFFFF"/>
            <w:vAlign w:val="center"/>
            <w:hideMark/>
          </w:tcPr>
          <w:p w:rsidR="00C45BFA" w:rsidRPr="00D368FB" w:rsidRDefault="00C45BFA" w:rsidP="00E35EAA">
            <w:pPr>
              <w:rPr>
                <w:sz w:val="18"/>
              </w:rPr>
            </w:pPr>
            <w:r w:rsidRPr="00D368FB">
              <w:rPr>
                <w:sz w:val="18"/>
              </w:rPr>
              <w:t>Sector*</w:t>
            </w:r>
          </w:p>
        </w:tc>
        <w:tc>
          <w:tcPr>
            <w:tcW w:w="829" w:type="pct"/>
            <w:tcBorders>
              <w:top w:val="nil"/>
              <w:left w:val="single" w:sz="18" w:space="0" w:color="FFFFFF"/>
              <w:bottom w:val="single" w:sz="18" w:space="0" w:color="FFFFFF"/>
              <w:right w:val="single" w:sz="18" w:space="0" w:color="FFFFFF"/>
            </w:tcBorders>
            <w:shd w:val="pct20" w:color="000000" w:fill="FFFFFF"/>
            <w:vAlign w:val="center"/>
            <w:hideMark/>
          </w:tcPr>
          <w:p w:rsidR="00C45BFA" w:rsidRPr="00D368FB" w:rsidRDefault="00C45BFA" w:rsidP="00E35EAA">
            <w:pPr>
              <w:rPr>
                <w:sz w:val="18"/>
              </w:rPr>
            </w:pPr>
            <w:proofErr w:type="spellStart"/>
            <w:r w:rsidRPr="00D368FB">
              <w:rPr>
                <w:sz w:val="18"/>
              </w:rPr>
              <w:t>BldgType</w:t>
            </w:r>
            <w:proofErr w:type="spellEnd"/>
            <w:r w:rsidRPr="00D368FB">
              <w:rPr>
                <w:sz w:val="18"/>
              </w:rPr>
              <w:t>*</w:t>
            </w:r>
          </w:p>
        </w:tc>
        <w:tc>
          <w:tcPr>
            <w:tcW w:w="805" w:type="pct"/>
            <w:tcBorders>
              <w:top w:val="nil"/>
              <w:left w:val="single" w:sz="18" w:space="0" w:color="FFFFFF"/>
              <w:bottom w:val="single" w:sz="18" w:space="0" w:color="FFFFFF"/>
              <w:right w:val="single" w:sz="18" w:space="0" w:color="FFFFFF"/>
            </w:tcBorders>
            <w:shd w:val="pct20" w:color="000000" w:fill="FFFFFF"/>
            <w:hideMark/>
          </w:tcPr>
          <w:p w:rsidR="00C45BFA" w:rsidRPr="00D368FB" w:rsidRDefault="00C45BFA" w:rsidP="00E35EAA">
            <w:pPr>
              <w:rPr>
                <w:sz w:val="18"/>
              </w:rPr>
            </w:pPr>
            <w:proofErr w:type="spellStart"/>
            <w:r w:rsidRPr="00D368FB">
              <w:rPr>
                <w:sz w:val="18"/>
              </w:rPr>
              <w:t>ProgDelivID</w:t>
            </w:r>
            <w:proofErr w:type="spellEnd"/>
            <w:r w:rsidRPr="00D368FB">
              <w:rPr>
                <w:sz w:val="18"/>
              </w:rPr>
              <w:t>*</w:t>
            </w:r>
          </w:p>
        </w:tc>
        <w:tc>
          <w:tcPr>
            <w:tcW w:w="440" w:type="pct"/>
            <w:tcBorders>
              <w:top w:val="nil"/>
              <w:left w:val="single" w:sz="18" w:space="0" w:color="FFFFFF"/>
              <w:bottom w:val="single" w:sz="18" w:space="0" w:color="FFFFFF"/>
              <w:right w:val="nil"/>
            </w:tcBorders>
            <w:shd w:val="pct20" w:color="000000" w:fill="FFFFFF"/>
            <w:vAlign w:val="center"/>
            <w:hideMark/>
          </w:tcPr>
          <w:p w:rsidR="00C45BFA" w:rsidRPr="00D368FB" w:rsidRDefault="00C45BFA" w:rsidP="00E35EAA">
            <w:pPr>
              <w:rPr>
                <w:sz w:val="18"/>
              </w:rPr>
            </w:pPr>
            <w:r w:rsidRPr="00D368FB">
              <w:rPr>
                <w:sz w:val="18"/>
              </w:rPr>
              <w:t>NTG*</w:t>
            </w:r>
          </w:p>
        </w:tc>
      </w:tr>
      <w:tr w:rsidR="00BB6DB1" w:rsidRPr="00D368FB" w:rsidTr="00BB6DB1">
        <w:trPr>
          <w:trHeight w:val="1060"/>
          <w:jc w:val="center"/>
        </w:trPr>
        <w:tc>
          <w:tcPr>
            <w:tcW w:w="848" w:type="pct"/>
            <w:tcBorders>
              <w:top w:val="single" w:sz="18" w:space="0" w:color="FFFFFF"/>
              <w:left w:val="nil"/>
              <w:bottom w:val="single" w:sz="18" w:space="0" w:color="FFFFFF"/>
              <w:right w:val="single" w:sz="18" w:space="0" w:color="FFFFFF"/>
            </w:tcBorders>
            <w:shd w:val="pct5" w:color="000000" w:fill="FFFFFF"/>
            <w:vAlign w:val="center"/>
            <w:hideMark/>
          </w:tcPr>
          <w:p w:rsidR="00C45BFA" w:rsidRPr="00D368FB" w:rsidRDefault="00C45BFA" w:rsidP="00E35EAA">
            <w:pPr>
              <w:rPr>
                <w:sz w:val="18"/>
              </w:rPr>
            </w:pPr>
            <w:r w:rsidRPr="00D368FB">
              <w:rPr>
                <w:sz w:val="18"/>
              </w:rPr>
              <w:t>All-Default&lt;=2yrs</w:t>
            </w:r>
          </w:p>
        </w:tc>
        <w:tc>
          <w:tcPr>
            <w:tcW w:w="1273" w:type="pct"/>
            <w:tcBorders>
              <w:top w:val="single" w:sz="18" w:space="0" w:color="FFFFFF"/>
              <w:left w:val="single" w:sz="18" w:space="0" w:color="FFFFFF"/>
              <w:bottom w:val="single" w:sz="18" w:space="0" w:color="FFFFFF"/>
              <w:right w:val="single" w:sz="18" w:space="0" w:color="FFFFFF"/>
            </w:tcBorders>
            <w:shd w:val="pct5" w:color="000000" w:fill="FFFFFF"/>
            <w:vAlign w:val="center"/>
            <w:hideMark/>
          </w:tcPr>
          <w:p w:rsidR="00C45BFA" w:rsidRPr="00D368FB" w:rsidRDefault="00C45BFA" w:rsidP="00E35EAA">
            <w:pPr>
              <w:rPr>
                <w:sz w:val="18"/>
              </w:rPr>
            </w:pPr>
            <w:r w:rsidRPr="00D368FB">
              <w:rPr>
                <w:sz w:val="18"/>
              </w:rPr>
              <w:t>All other EEMs with no evaluated NTGR; new technology in program for 2 or fewer years</w:t>
            </w:r>
          </w:p>
        </w:tc>
        <w:tc>
          <w:tcPr>
            <w:tcW w:w="804" w:type="pct"/>
            <w:tcBorders>
              <w:top w:val="single" w:sz="18" w:space="0" w:color="FFFFFF"/>
              <w:left w:val="single" w:sz="18" w:space="0" w:color="FFFFFF"/>
              <w:bottom w:val="single" w:sz="18" w:space="0" w:color="FFFFFF"/>
              <w:right w:val="single" w:sz="18" w:space="0" w:color="FFFFFF"/>
            </w:tcBorders>
            <w:shd w:val="pct5" w:color="000000" w:fill="FFFFFF"/>
            <w:vAlign w:val="center"/>
            <w:hideMark/>
          </w:tcPr>
          <w:p w:rsidR="00C45BFA" w:rsidRPr="00D368FB" w:rsidRDefault="00C45BFA" w:rsidP="00E35EAA">
            <w:pPr>
              <w:rPr>
                <w:sz w:val="18"/>
              </w:rPr>
            </w:pPr>
            <w:r w:rsidRPr="00D368FB">
              <w:rPr>
                <w:sz w:val="18"/>
              </w:rPr>
              <w:t>All</w:t>
            </w:r>
          </w:p>
        </w:tc>
        <w:tc>
          <w:tcPr>
            <w:tcW w:w="829" w:type="pct"/>
            <w:tcBorders>
              <w:top w:val="single" w:sz="18" w:space="0" w:color="FFFFFF"/>
              <w:left w:val="single" w:sz="18" w:space="0" w:color="FFFFFF"/>
              <w:bottom w:val="single" w:sz="18" w:space="0" w:color="FFFFFF"/>
              <w:right w:val="single" w:sz="18" w:space="0" w:color="FFFFFF"/>
            </w:tcBorders>
            <w:shd w:val="pct5" w:color="000000" w:fill="FFFFFF"/>
            <w:vAlign w:val="center"/>
            <w:hideMark/>
          </w:tcPr>
          <w:p w:rsidR="00C45BFA" w:rsidRPr="00D368FB" w:rsidRDefault="00C45BFA" w:rsidP="00E35EAA">
            <w:pPr>
              <w:rPr>
                <w:sz w:val="18"/>
              </w:rPr>
            </w:pPr>
            <w:r w:rsidRPr="00D368FB">
              <w:rPr>
                <w:sz w:val="18"/>
              </w:rPr>
              <w:t>Any</w:t>
            </w:r>
          </w:p>
        </w:tc>
        <w:tc>
          <w:tcPr>
            <w:tcW w:w="805" w:type="pct"/>
            <w:tcBorders>
              <w:top w:val="single" w:sz="18" w:space="0" w:color="FFFFFF"/>
              <w:left w:val="single" w:sz="18" w:space="0" w:color="FFFFFF"/>
              <w:bottom w:val="single" w:sz="18" w:space="0" w:color="FFFFFF"/>
              <w:right w:val="single" w:sz="18" w:space="0" w:color="FFFFFF"/>
            </w:tcBorders>
            <w:shd w:val="pct5" w:color="000000" w:fill="FFFFFF"/>
            <w:vAlign w:val="center"/>
            <w:hideMark/>
          </w:tcPr>
          <w:p w:rsidR="00C45BFA" w:rsidRPr="00D368FB" w:rsidRDefault="00C45BFA" w:rsidP="00E35EAA">
            <w:pPr>
              <w:rPr>
                <w:sz w:val="18"/>
              </w:rPr>
            </w:pPr>
            <w:r w:rsidRPr="00D368FB">
              <w:rPr>
                <w:sz w:val="18"/>
              </w:rPr>
              <w:t>All</w:t>
            </w:r>
          </w:p>
        </w:tc>
        <w:tc>
          <w:tcPr>
            <w:tcW w:w="440" w:type="pct"/>
            <w:tcBorders>
              <w:top w:val="single" w:sz="18" w:space="0" w:color="FFFFFF"/>
              <w:left w:val="single" w:sz="18" w:space="0" w:color="FFFFFF"/>
              <w:bottom w:val="single" w:sz="18" w:space="0" w:color="FFFFFF"/>
              <w:right w:val="nil"/>
            </w:tcBorders>
            <w:shd w:val="pct5" w:color="000000" w:fill="FFFFFF"/>
            <w:vAlign w:val="center"/>
            <w:hideMark/>
          </w:tcPr>
          <w:p w:rsidR="00C45BFA" w:rsidRPr="00D368FB" w:rsidRDefault="00C45BFA" w:rsidP="00E35EAA">
            <w:pPr>
              <w:rPr>
                <w:sz w:val="18"/>
              </w:rPr>
            </w:pPr>
            <w:r w:rsidRPr="00D368FB">
              <w:rPr>
                <w:sz w:val="18"/>
              </w:rPr>
              <w:t>0.7</w:t>
            </w:r>
          </w:p>
        </w:tc>
      </w:tr>
    </w:tbl>
    <w:p w:rsidR="00C45BFA" w:rsidRPr="00D368FB" w:rsidRDefault="00C45BFA" w:rsidP="00E35EAA">
      <w:pPr>
        <w:rPr>
          <w:sz w:val="18"/>
        </w:rPr>
      </w:pPr>
      <w:r w:rsidRPr="00D368FB">
        <w:rPr>
          <w:sz w:val="18"/>
        </w:rPr>
        <w:t>*Denotes that the column is taken from the DEER NTG Table.</w:t>
      </w:r>
    </w:p>
    <w:p w:rsidR="00C45BFA" w:rsidRDefault="00C45BFA" w:rsidP="00E35EAA"/>
    <w:p w:rsidR="00C45BFA" w:rsidRDefault="00C45BFA" w:rsidP="00E35EAA"/>
    <w:p w:rsidR="005C30B9" w:rsidRPr="00314FE6" w:rsidRDefault="005C30B9" w:rsidP="00B16127">
      <w:pPr>
        <w:pStyle w:val="Heading2"/>
      </w:pPr>
      <w:bookmarkStart w:id="21" w:name="_Toc392780005"/>
      <w:r w:rsidRPr="00314FE6">
        <w:t>1.</w:t>
      </w:r>
      <w:r w:rsidR="009219E4">
        <w:t>4.2</w:t>
      </w:r>
      <w:r w:rsidRPr="00314FE6">
        <w:t xml:space="preserve"> </w:t>
      </w:r>
      <w:r w:rsidR="00244D6C" w:rsidRPr="001248A3">
        <w:t xml:space="preserve">Codes &amp; Standards Requirements </w:t>
      </w:r>
      <w:r w:rsidR="00244D6C">
        <w:t>Base Case and Measure Information</w:t>
      </w:r>
      <w:bookmarkEnd w:id="21"/>
    </w:p>
    <w:p w:rsidR="005C30B9" w:rsidRDefault="005C30B9" w:rsidP="00E35EAA"/>
    <w:p w:rsidR="00244D6C" w:rsidRPr="006F085E" w:rsidRDefault="00244D6C" w:rsidP="00E35EAA">
      <w:pPr>
        <w:rPr>
          <w:i/>
        </w:rPr>
      </w:pPr>
      <w:r w:rsidRPr="006F085E">
        <w:rPr>
          <w:b/>
          <w:i/>
        </w:rPr>
        <w:t>Title 20:</w:t>
      </w:r>
      <w:r w:rsidRPr="006F085E">
        <w:t xml:space="preserve"> These measures do not fall under Title 20 of the California Energy Regulations. </w:t>
      </w:r>
    </w:p>
    <w:p w:rsidR="00244D6C" w:rsidRPr="006F085E" w:rsidRDefault="00244D6C" w:rsidP="00E35EAA">
      <w:pPr>
        <w:rPr>
          <w:i/>
        </w:rPr>
      </w:pPr>
      <w:r w:rsidRPr="006F085E">
        <w:rPr>
          <w:b/>
          <w:i/>
        </w:rPr>
        <w:t>Title 24:</w:t>
      </w:r>
      <w:r w:rsidRPr="006F085E">
        <w:t xml:space="preserve"> These measures do not fall under Title 24 of the California Energy Regulations. </w:t>
      </w:r>
    </w:p>
    <w:p w:rsidR="00244D6C" w:rsidRPr="006F085E" w:rsidRDefault="00244D6C" w:rsidP="00E35EAA">
      <w:r w:rsidRPr="006F085E">
        <w:rPr>
          <w:b/>
          <w:i/>
        </w:rPr>
        <w:t>Federal Standards:</w:t>
      </w:r>
      <w:r w:rsidRPr="006F085E">
        <w:t xml:space="preserve"> These measures do not fall under Federal DOE or EPA Energy Regulations. </w:t>
      </w:r>
    </w:p>
    <w:p w:rsidR="00244D6C" w:rsidRDefault="00244D6C" w:rsidP="00E35EAA"/>
    <w:p w:rsidR="002A1F3E" w:rsidRPr="00897CEC" w:rsidRDefault="002A1F3E" w:rsidP="00E35EAA"/>
    <w:p w:rsidR="005C30B9" w:rsidRPr="00314FE6" w:rsidRDefault="005C30B9" w:rsidP="00B16127">
      <w:pPr>
        <w:pStyle w:val="Heading2"/>
      </w:pPr>
      <w:bookmarkStart w:id="22" w:name="_Toc392780006"/>
      <w:r w:rsidRPr="00314FE6">
        <w:t>1.</w:t>
      </w:r>
      <w:r w:rsidR="009219E4">
        <w:t>4.3</w:t>
      </w:r>
      <w:r w:rsidRPr="00314FE6">
        <w:t xml:space="preserve"> </w:t>
      </w:r>
      <w:r w:rsidR="00C45BFA" w:rsidRPr="001248A3">
        <w:t>EM&amp;V</w:t>
      </w:r>
      <w:r w:rsidR="00C45BFA">
        <w:t>, Market Potential,</w:t>
      </w:r>
      <w:r w:rsidR="00C45BFA" w:rsidRPr="001248A3">
        <w:t xml:space="preserve"> </w:t>
      </w:r>
      <w:r w:rsidR="00C45BFA">
        <w:t xml:space="preserve">and Other </w:t>
      </w:r>
      <w:r w:rsidR="00C45BFA" w:rsidRPr="001248A3">
        <w:t>Studies</w:t>
      </w:r>
      <w:r w:rsidR="00C45BFA">
        <w:t xml:space="preserve"> – Base Case and Measure Case Information</w:t>
      </w:r>
      <w:bookmarkEnd w:id="22"/>
    </w:p>
    <w:p w:rsidR="00C45BFA" w:rsidRDefault="00C45BFA" w:rsidP="00E35EAA"/>
    <w:p w:rsidR="00C45BFA" w:rsidRDefault="00C45BFA" w:rsidP="00E35EAA">
      <w:r>
        <w:t xml:space="preserve">The measure of </w:t>
      </w:r>
      <w:r w:rsidR="001912A8">
        <w:t>overhauling agricultural pumps</w:t>
      </w:r>
      <w:r>
        <w:t xml:space="preserve"> is also evaluated</w:t>
      </w:r>
      <w:r w:rsidR="00064B58">
        <w:t xml:space="preserve"> and/or discussed</w:t>
      </w:r>
      <w:r>
        <w:t xml:space="preserve"> in the following studies: </w:t>
      </w:r>
    </w:p>
    <w:p w:rsidR="00C45BFA" w:rsidRPr="001912A8" w:rsidRDefault="00CF0BA6" w:rsidP="00CF0BA6">
      <w:pPr>
        <w:numPr>
          <w:ilvl w:val="0"/>
          <w:numId w:val="30"/>
        </w:numPr>
      </w:pPr>
      <w:r w:rsidRPr="00CF0BA6">
        <w:rPr>
          <w:i/>
        </w:rPr>
        <w:t>Agricultural Pump System Overhaul for Pumps Less Than or Equal to 25hp</w:t>
      </w:r>
      <w:r w:rsidR="00C45BFA" w:rsidRPr="00800859">
        <w:t xml:space="preserve">, </w:t>
      </w:r>
      <w:r>
        <w:t>Southern California Edis</w:t>
      </w:r>
      <w:r w:rsidRPr="001912A8">
        <w:t>on Company</w:t>
      </w:r>
      <w:r w:rsidR="00C45BFA" w:rsidRPr="001912A8">
        <w:t xml:space="preserve">, </w:t>
      </w:r>
      <w:r w:rsidRPr="001912A8">
        <w:t>Work Paper SCE13PR003 Rev. 0</w:t>
      </w:r>
      <w:r w:rsidR="00C45BFA" w:rsidRPr="001912A8">
        <w:t xml:space="preserve">, </w:t>
      </w:r>
      <w:r w:rsidRPr="001912A8">
        <w:t>June 1, 2012</w:t>
      </w:r>
      <w:r w:rsidR="00C45BFA" w:rsidRPr="001912A8">
        <w:t>.</w:t>
      </w:r>
    </w:p>
    <w:p w:rsidR="00C45BFA" w:rsidRPr="001912A8" w:rsidRDefault="00CF0BA6" w:rsidP="00CF0BA6">
      <w:pPr>
        <w:numPr>
          <w:ilvl w:val="0"/>
          <w:numId w:val="30"/>
        </w:numPr>
      </w:pPr>
      <w:r w:rsidRPr="001912A8">
        <w:rPr>
          <w:i/>
        </w:rPr>
        <w:t xml:space="preserve">Agricultural Water Energy Efficiency, </w:t>
      </w:r>
      <w:r w:rsidR="001912A8" w:rsidRPr="001912A8">
        <w:t>Prepared for the California Energy Commission, Prepared by the Irrigation Training and Research Center, December 2011, CEC-500-2011-049</w:t>
      </w:r>
    </w:p>
    <w:p w:rsidR="00C45BFA" w:rsidRDefault="00C45BFA" w:rsidP="00E35EAA"/>
    <w:p w:rsidR="005C30B9" w:rsidRPr="00CA6643" w:rsidRDefault="005C30B9" w:rsidP="00E35EAA"/>
    <w:p w:rsidR="00C45BFA" w:rsidRDefault="005C30B9" w:rsidP="00B16127">
      <w:pPr>
        <w:pStyle w:val="Heading2"/>
      </w:pPr>
      <w:bookmarkStart w:id="23" w:name="_Toc392780007"/>
      <w:r w:rsidRPr="009219E4">
        <w:t>1.4.</w:t>
      </w:r>
      <w:r w:rsidR="009219E4" w:rsidRPr="009219E4">
        <w:t>4</w:t>
      </w:r>
      <w:r w:rsidRPr="009219E4">
        <w:t xml:space="preserve"> </w:t>
      </w:r>
      <w:r w:rsidR="00C45BFA">
        <w:t>Assumptions and Calculations from other sources</w:t>
      </w:r>
      <w:r w:rsidR="00DF473A">
        <w:t xml:space="preserve"> – </w:t>
      </w:r>
      <w:r w:rsidR="00C45BFA">
        <w:t>Base and Measure Cases</w:t>
      </w:r>
      <w:bookmarkEnd w:id="23"/>
    </w:p>
    <w:p w:rsidR="00B16127" w:rsidRPr="00145F5B" w:rsidRDefault="00B16127" w:rsidP="00B16127">
      <w:pPr>
        <w:rPr>
          <w:i/>
        </w:rPr>
      </w:pPr>
      <w:r>
        <w:t>T</w:t>
      </w:r>
      <w:r w:rsidRPr="00B16127">
        <w:t xml:space="preserve">he Peak kW adjustment factor is taken to be the same for this work paper as that developed for </w:t>
      </w:r>
      <w:r w:rsidR="00351682">
        <w:t>PG&amp;E’s Advanced Pumping Efficiency Program (APEP)</w:t>
      </w:r>
      <w:r w:rsidRPr="00B16127">
        <w:t>.  Please refer to section 2.2 Demand Reduction Estimatio</w:t>
      </w:r>
      <w:r w:rsidR="00351682">
        <w:t>n Methodologies for more detail</w:t>
      </w:r>
      <w:r w:rsidRPr="00B16127">
        <w:t>.</w:t>
      </w:r>
    </w:p>
    <w:p w:rsidR="009C6048" w:rsidRDefault="009C6048" w:rsidP="00E35EAA"/>
    <w:p w:rsidR="002A1F3E" w:rsidRPr="00314FE6" w:rsidRDefault="002A1F3E" w:rsidP="00E35EAA"/>
    <w:p w:rsidR="00C45BFA" w:rsidRPr="00314FE6" w:rsidRDefault="001248A3" w:rsidP="00B16127">
      <w:pPr>
        <w:pStyle w:val="Heading2"/>
      </w:pPr>
      <w:bookmarkStart w:id="24" w:name="_Toc392780008"/>
      <w:r w:rsidRPr="00314FE6">
        <w:t>1.</w:t>
      </w:r>
      <w:r w:rsidR="005C30B9">
        <w:t>4.</w:t>
      </w:r>
      <w:r w:rsidR="009219E4">
        <w:t>5</w:t>
      </w:r>
      <w:r w:rsidR="00A02F0A" w:rsidRPr="00314FE6">
        <w:t xml:space="preserve"> </w:t>
      </w:r>
      <w:r w:rsidR="00C45BFA" w:rsidRPr="00314FE6">
        <w:t>Time-of-Use Adjustment Factor</w:t>
      </w:r>
      <w:bookmarkEnd w:id="24"/>
    </w:p>
    <w:p w:rsidR="00C45BFA" w:rsidRDefault="00C45BFA" w:rsidP="00E35EAA"/>
    <w:p w:rsidR="00C45BFA" w:rsidRDefault="00D368FB" w:rsidP="00E35EAA">
      <w:r w:rsidRPr="00D368FB">
        <w:t>As directed by the CPUC in decision 06-06-063 dated June 29, 2006, time-of-use (TOU) adjustment factors are to be applied for residential A/C and commercial A/C (packaged and split-system direct-expansion cooling) measures only.   Since this is not an A/C measure, the TOU adjustment factor is 0.</w:t>
      </w:r>
      <w:r w:rsidR="00C45BFA" w:rsidRPr="000F0370">
        <w:t xml:space="preserve">  </w:t>
      </w:r>
    </w:p>
    <w:p w:rsidR="00D368FB" w:rsidRDefault="00D368FB" w:rsidP="00E35EAA"/>
    <w:p w:rsidR="002A1F3E" w:rsidRDefault="002A1F3E" w:rsidP="00E35EAA"/>
    <w:p w:rsidR="00BB6DB1" w:rsidRDefault="00BB6DB1" w:rsidP="00E35EAA"/>
    <w:p w:rsidR="002E1661" w:rsidRDefault="002E1661" w:rsidP="00E35EAA"/>
    <w:p w:rsidR="002E1661" w:rsidRPr="00D368FB" w:rsidRDefault="002E1661" w:rsidP="00E35EAA"/>
    <w:p w:rsidR="00D368FB" w:rsidRPr="00D368FB" w:rsidRDefault="00D368FB" w:rsidP="00D368FB">
      <w:pPr>
        <w:pStyle w:val="Caption"/>
        <w:jc w:val="center"/>
        <w:rPr>
          <w:sz w:val="22"/>
          <w:szCs w:val="22"/>
        </w:rPr>
      </w:pPr>
      <w:r w:rsidRPr="00D368FB">
        <w:rPr>
          <w:sz w:val="22"/>
          <w:szCs w:val="22"/>
        </w:rPr>
        <w:t xml:space="preserve">Table </w:t>
      </w:r>
      <w:r>
        <w:rPr>
          <w:sz w:val="22"/>
          <w:szCs w:val="22"/>
        </w:rPr>
        <w:t>5</w:t>
      </w:r>
      <w:r w:rsidR="00B50D0A">
        <w:rPr>
          <w:sz w:val="22"/>
          <w:szCs w:val="22"/>
        </w:rPr>
        <w:t xml:space="preserve"> </w:t>
      </w:r>
      <w:r w:rsidRPr="00D368FB">
        <w:rPr>
          <w:sz w:val="22"/>
          <w:szCs w:val="22"/>
        </w:rPr>
        <w:t>TOU Summary Table</w:t>
      </w:r>
    </w:p>
    <w:tbl>
      <w:tblPr>
        <w:tblW w:w="3921" w:type="pct"/>
        <w:jc w:val="center"/>
        <w:tblInd w:w="-1954" w:type="dxa"/>
        <w:tblBorders>
          <w:insideH w:val="single" w:sz="18" w:space="0" w:color="FFFFFF"/>
          <w:insideV w:val="single" w:sz="18" w:space="0" w:color="FFFFFF"/>
        </w:tblBorders>
        <w:tblLook w:val="01E0" w:firstRow="1" w:lastRow="1" w:firstColumn="1" w:lastColumn="1" w:noHBand="0" w:noVBand="0"/>
      </w:tblPr>
      <w:tblGrid>
        <w:gridCol w:w="4942"/>
        <w:gridCol w:w="2567"/>
      </w:tblGrid>
      <w:tr w:rsidR="00D368FB" w:rsidRPr="00D368FB" w:rsidTr="00C21706">
        <w:trPr>
          <w:jc w:val="center"/>
        </w:trPr>
        <w:tc>
          <w:tcPr>
            <w:tcW w:w="3291" w:type="pct"/>
            <w:shd w:val="pct20" w:color="000000" w:fill="FFFFFF"/>
          </w:tcPr>
          <w:p w:rsidR="00D368FB" w:rsidRPr="00C21706" w:rsidRDefault="00D368FB" w:rsidP="00C21706">
            <w:pPr>
              <w:jc w:val="center"/>
              <w:rPr>
                <w:b/>
                <w:bCs/>
                <w:highlight w:val="yellow"/>
              </w:rPr>
            </w:pPr>
            <w:r w:rsidRPr="00C21706">
              <w:rPr>
                <w:b/>
                <w:bCs/>
              </w:rPr>
              <w:t>Measure</w:t>
            </w:r>
          </w:p>
        </w:tc>
        <w:tc>
          <w:tcPr>
            <w:tcW w:w="1709" w:type="pct"/>
            <w:shd w:val="pct20" w:color="000000" w:fill="FFFFFF"/>
          </w:tcPr>
          <w:p w:rsidR="00D368FB" w:rsidRPr="00C21706" w:rsidRDefault="00D368FB" w:rsidP="00C21706">
            <w:pPr>
              <w:jc w:val="center"/>
              <w:rPr>
                <w:b/>
                <w:bCs/>
                <w:highlight w:val="yellow"/>
              </w:rPr>
            </w:pPr>
            <w:r w:rsidRPr="00C21706">
              <w:rPr>
                <w:b/>
                <w:bCs/>
              </w:rPr>
              <w:t>%</w:t>
            </w:r>
          </w:p>
        </w:tc>
      </w:tr>
      <w:tr w:rsidR="00D368FB" w:rsidRPr="00D368FB" w:rsidTr="00C21706">
        <w:trPr>
          <w:jc w:val="center"/>
        </w:trPr>
        <w:tc>
          <w:tcPr>
            <w:tcW w:w="3291" w:type="pct"/>
            <w:shd w:val="pct5" w:color="000000" w:fill="FFFFFF"/>
          </w:tcPr>
          <w:p w:rsidR="00D368FB" w:rsidRPr="00D368FB" w:rsidRDefault="00D368FB" w:rsidP="00B16127">
            <w:r w:rsidRPr="00D368FB">
              <w:lastRenderedPageBreak/>
              <w:t>Submersible Well Pump System Overhaul (&lt;=25hp)</w:t>
            </w:r>
          </w:p>
        </w:tc>
        <w:tc>
          <w:tcPr>
            <w:tcW w:w="1709" w:type="pct"/>
            <w:shd w:val="pct5" w:color="000000" w:fill="FFFFFF"/>
          </w:tcPr>
          <w:p w:rsidR="00D368FB" w:rsidRPr="00D368FB" w:rsidRDefault="00D368FB" w:rsidP="00C21706">
            <w:pPr>
              <w:jc w:val="center"/>
            </w:pPr>
            <w:r w:rsidRPr="00D368FB">
              <w:t>0</w:t>
            </w:r>
          </w:p>
        </w:tc>
      </w:tr>
      <w:tr w:rsidR="00D368FB" w:rsidRPr="00C21706" w:rsidTr="00C21706">
        <w:trPr>
          <w:jc w:val="center"/>
        </w:trPr>
        <w:tc>
          <w:tcPr>
            <w:tcW w:w="3291" w:type="pct"/>
            <w:shd w:val="pct20" w:color="000000" w:fill="FFFFFF"/>
          </w:tcPr>
          <w:p w:rsidR="00D368FB" w:rsidRPr="00D64B54" w:rsidRDefault="00D368FB" w:rsidP="00B16127">
            <w:r w:rsidRPr="00D64B54">
              <w:t>Submersible Booster Pump System Overhaul (&lt;=25hp)</w:t>
            </w:r>
          </w:p>
        </w:tc>
        <w:tc>
          <w:tcPr>
            <w:tcW w:w="1709" w:type="pct"/>
            <w:shd w:val="pct20" w:color="000000" w:fill="FFFFFF"/>
          </w:tcPr>
          <w:p w:rsidR="00D368FB" w:rsidRPr="00D64B54" w:rsidRDefault="00D368FB" w:rsidP="00C21706">
            <w:pPr>
              <w:jc w:val="center"/>
            </w:pPr>
            <w:r w:rsidRPr="00D64B54">
              <w:t>0</w:t>
            </w:r>
          </w:p>
        </w:tc>
      </w:tr>
      <w:tr w:rsidR="00D368FB" w:rsidRPr="00D368FB" w:rsidTr="00C21706">
        <w:trPr>
          <w:jc w:val="center"/>
        </w:trPr>
        <w:tc>
          <w:tcPr>
            <w:tcW w:w="3291" w:type="pct"/>
            <w:shd w:val="pct5" w:color="000000" w:fill="FFFFFF"/>
          </w:tcPr>
          <w:p w:rsidR="00D368FB" w:rsidRPr="00D368FB" w:rsidRDefault="00D368FB" w:rsidP="00B16127">
            <w:r w:rsidRPr="00D368FB">
              <w:t>Centrifugal Booster Pump System Overhaul (&lt;=25hp)</w:t>
            </w:r>
          </w:p>
        </w:tc>
        <w:tc>
          <w:tcPr>
            <w:tcW w:w="1709" w:type="pct"/>
            <w:shd w:val="pct5" w:color="000000" w:fill="FFFFFF"/>
          </w:tcPr>
          <w:p w:rsidR="00D368FB" w:rsidRPr="00D368FB" w:rsidRDefault="00D368FB" w:rsidP="00C21706">
            <w:pPr>
              <w:jc w:val="center"/>
            </w:pPr>
            <w:r w:rsidRPr="00D368FB">
              <w:t>0</w:t>
            </w:r>
          </w:p>
        </w:tc>
      </w:tr>
      <w:tr w:rsidR="00D368FB" w:rsidRPr="00D368FB" w:rsidTr="00C21706">
        <w:trPr>
          <w:jc w:val="center"/>
        </w:trPr>
        <w:tc>
          <w:tcPr>
            <w:tcW w:w="3291" w:type="pct"/>
            <w:shd w:val="pct20" w:color="000000" w:fill="FFFFFF"/>
          </w:tcPr>
          <w:p w:rsidR="00D368FB" w:rsidRPr="00D368FB" w:rsidRDefault="00D368FB" w:rsidP="00B16127">
            <w:r w:rsidRPr="00D368FB">
              <w:t>Turbine Booster Pump System Overhaul (&lt;=25hp)</w:t>
            </w:r>
          </w:p>
        </w:tc>
        <w:tc>
          <w:tcPr>
            <w:tcW w:w="1709" w:type="pct"/>
            <w:shd w:val="pct20" w:color="000000" w:fill="FFFFFF"/>
          </w:tcPr>
          <w:p w:rsidR="00D368FB" w:rsidRPr="00D368FB" w:rsidRDefault="00D368FB" w:rsidP="00C21706">
            <w:pPr>
              <w:jc w:val="center"/>
            </w:pPr>
            <w:r w:rsidRPr="00D368FB">
              <w:t>0</w:t>
            </w:r>
          </w:p>
        </w:tc>
      </w:tr>
      <w:tr w:rsidR="00D368FB" w:rsidRPr="00D368FB" w:rsidTr="00C21706">
        <w:trPr>
          <w:jc w:val="center"/>
        </w:trPr>
        <w:tc>
          <w:tcPr>
            <w:tcW w:w="3291" w:type="pct"/>
            <w:shd w:val="pct5" w:color="000000" w:fill="FFFFFF"/>
          </w:tcPr>
          <w:p w:rsidR="00D368FB" w:rsidRPr="00D368FB" w:rsidRDefault="00D368FB" w:rsidP="00B16127">
            <w:r w:rsidRPr="00D368FB">
              <w:t>Turbine Well Pump System Overhaul (&lt;=25hp)</w:t>
            </w:r>
          </w:p>
        </w:tc>
        <w:tc>
          <w:tcPr>
            <w:tcW w:w="1709" w:type="pct"/>
            <w:shd w:val="pct5" w:color="000000" w:fill="FFFFFF"/>
          </w:tcPr>
          <w:p w:rsidR="00D368FB" w:rsidRPr="00D368FB" w:rsidRDefault="00D368FB" w:rsidP="00C21706">
            <w:pPr>
              <w:jc w:val="center"/>
            </w:pPr>
            <w:r w:rsidRPr="00D368FB">
              <w:t>0</w:t>
            </w:r>
          </w:p>
        </w:tc>
      </w:tr>
    </w:tbl>
    <w:p w:rsidR="00C45BFA" w:rsidRDefault="00C45BFA" w:rsidP="00E35EAA"/>
    <w:p w:rsidR="002413AC" w:rsidRDefault="002413AC" w:rsidP="00E35EAA"/>
    <w:p w:rsidR="002413AC" w:rsidRDefault="002413AC" w:rsidP="00E35EAA"/>
    <w:p w:rsidR="00A45BC9" w:rsidRPr="00314FE6" w:rsidRDefault="00A45BC9" w:rsidP="00B16127">
      <w:pPr>
        <w:pStyle w:val="Heading2"/>
      </w:pPr>
      <w:bookmarkStart w:id="25" w:name="_Toc392780009"/>
      <w:r w:rsidRPr="00314FE6">
        <w:t>1.</w:t>
      </w:r>
      <w:r>
        <w:t>5</w:t>
      </w:r>
      <w:r w:rsidRPr="00314FE6">
        <w:t xml:space="preserve"> </w:t>
      </w:r>
      <w:r w:rsidRPr="00EA38B4">
        <w:t>Summary of Inputs for Savings Calculations</w:t>
      </w:r>
      <w:bookmarkEnd w:id="25"/>
    </w:p>
    <w:p w:rsidR="00A45BC9" w:rsidRPr="00C45BFA" w:rsidRDefault="00A45BC9" w:rsidP="00E35EAA">
      <w:r w:rsidRPr="00C45BFA">
        <w:t>The following table provides references to sections that document the inputs for calculation:</w:t>
      </w:r>
    </w:p>
    <w:p w:rsidR="00A45BC9" w:rsidRDefault="00A45BC9" w:rsidP="00E35EAA"/>
    <w:p w:rsidR="00B50D0A" w:rsidRPr="00D368FB" w:rsidRDefault="00B50D0A" w:rsidP="00B50D0A">
      <w:pPr>
        <w:pStyle w:val="Caption"/>
        <w:jc w:val="center"/>
        <w:rPr>
          <w:sz w:val="22"/>
          <w:szCs w:val="22"/>
        </w:rPr>
      </w:pPr>
      <w:r w:rsidRPr="00D368FB">
        <w:rPr>
          <w:sz w:val="22"/>
          <w:szCs w:val="22"/>
        </w:rPr>
        <w:t xml:space="preserve">Table </w:t>
      </w:r>
      <w:r>
        <w:rPr>
          <w:sz w:val="22"/>
          <w:szCs w:val="22"/>
        </w:rPr>
        <w:t xml:space="preserve">6 </w:t>
      </w:r>
      <w:r w:rsidR="00351682">
        <w:rPr>
          <w:sz w:val="22"/>
          <w:szCs w:val="22"/>
        </w:rPr>
        <w:t>Summary of Inputs</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178"/>
        <w:gridCol w:w="1890"/>
        <w:gridCol w:w="1620"/>
        <w:gridCol w:w="1890"/>
        <w:gridCol w:w="1890"/>
      </w:tblGrid>
      <w:tr w:rsidR="00F41A9B" w:rsidRPr="00C45BFA" w:rsidTr="00AD7A0D">
        <w:tc>
          <w:tcPr>
            <w:tcW w:w="2178" w:type="dxa"/>
            <w:shd w:val="clear" w:color="auto" w:fill="262626"/>
            <w:vAlign w:val="bottom"/>
          </w:tcPr>
          <w:p w:rsidR="00F41A9B" w:rsidRPr="00C45BFA" w:rsidRDefault="00F41A9B" w:rsidP="00E35EAA">
            <w:r w:rsidRPr="00C45BFA">
              <w:t>Input Variable</w:t>
            </w:r>
          </w:p>
        </w:tc>
        <w:tc>
          <w:tcPr>
            <w:tcW w:w="1890" w:type="dxa"/>
            <w:shd w:val="clear" w:color="auto" w:fill="262626"/>
            <w:vAlign w:val="bottom"/>
          </w:tcPr>
          <w:p w:rsidR="00F41A9B" w:rsidRPr="00C45BFA" w:rsidRDefault="00F41A9B" w:rsidP="00E35EAA">
            <w:r w:rsidRPr="00C45BFA">
              <w:t>Variations</w:t>
            </w:r>
          </w:p>
        </w:tc>
        <w:tc>
          <w:tcPr>
            <w:tcW w:w="1620" w:type="dxa"/>
            <w:shd w:val="clear" w:color="auto" w:fill="262626"/>
            <w:vAlign w:val="bottom"/>
          </w:tcPr>
          <w:p w:rsidR="00F41A9B" w:rsidRPr="00C45BFA" w:rsidRDefault="00F41A9B" w:rsidP="00E35EAA">
            <w:r w:rsidRPr="00C45BFA">
              <w:t>Base Case 1 Average Value</w:t>
            </w:r>
          </w:p>
        </w:tc>
        <w:tc>
          <w:tcPr>
            <w:tcW w:w="1890" w:type="dxa"/>
            <w:shd w:val="clear" w:color="auto" w:fill="262626"/>
            <w:vAlign w:val="bottom"/>
          </w:tcPr>
          <w:p w:rsidR="00F41A9B" w:rsidRPr="00C45BFA" w:rsidRDefault="00F41A9B" w:rsidP="00E35EAA">
            <w:r w:rsidRPr="00C45BFA">
              <w:t>Measure Case Average Value</w:t>
            </w:r>
          </w:p>
        </w:tc>
        <w:tc>
          <w:tcPr>
            <w:tcW w:w="1890" w:type="dxa"/>
            <w:shd w:val="clear" w:color="auto" w:fill="262626"/>
            <w:vAlign w:val="bottom"/>
          </w:tcPr>
          <w:p w:rsidR="00F41A9B" w:rsidRPr="00C45BFA" w:rsidRDefault="00F41A9B" w:rsidP="00E35EAA">
            <w:r w:rsidRPr="00C45BFA">
              <w:t>Reference Section</w:t>
            </w:r>
          </w:p>
        </w:tc>
      </w:tr>
      <w:tr w:rsidR="00F41A9B" w:rsidRPr="00A45BC9" w:rsidTr="00AD7A0D">
        <w:tc>
          <w:tcPr>
            <w:tcW w:w="2178" w:type="dxa"/>
            <w:shd w:val="pct5" w:color="000000" w:fill="FFFFFF"/>
            <w:vAlign w:val="bottom"/>
          </w:tcPr>
          <w:p w:rsidR="00F41A9B" w:rsidRPr="00A45BC9" w:rsidRDefault="00F41A9B" w:rsidP="00E35EAA">
            <w:r w:rsidRPr="00A45BC9">
              <w:t>Electric Savings</w:t>
            </w:r>
          </w:p>
        </w:tc>
        <w:tc>
          <w:tcPr>
            <w:tcW w:w="1890" w:type="dxa"/>
            <w:shd w:val="pct5" w:color="000000" w:fill="FFFFFF"/>
            <w:vAlign w:val="bottom"/>
          </w:tcPr>
          <w:p w:rsidR="00F41A9B" w:rsidRPr="00846D30" w:rsidRDefault="00F41A9B" w:rsidP="00846D30">
            <w:r w:rsidRPr="00846D30">
              <w:t>CZ, Pump Type</w:t>
            </w:r>
          </w:p>
        </w:tc>
        <w:tc>
          <w:tcPr>
            <w:tcW w:w="1620" w:type="dxa"/>
            <w:shd w:val="pct5" w:color="000000" w:fill="FFFFFF"/>
            <w:vAlign w:val="bottom"/>
          </w:tcPr>
          <w:p w:rsidR="00F41A9B" w:rsidRPr="00A45BC9" w:rsidRDefault="00A33C4A" w:rsidP="00E35EAA">
            <w:r>
              <w:t>1,190</w:t>
            </w:r>
            <w:r w:rsidR="00E5399A">
              <w:t xml:space="preserve"> kWh/</w:t>
            </w:r>
            <w:proofErr w:type="spellStart"/>
            <w:r w:rsidR="00E5399A">
              <w:t>hp</w:t>
            </w:r>
            <w:proofErr w:type="spellEnd"/>
          </w:p>
        </w:tc>
        <w:tc>
          <w:tcPr>
            <w:tcW w:w="1890" w:type="dxa"/>
            <w:shd w:val="pct5" w:color="000000" w:fill="FFFFFF"/>
            <w:vAlign w:val="bottom"/>
          </w:tcPr>
          <w:p w:rsidR="00F41A9B" w:rsidRPr="00A45BC9" w:rsidRDefault="00A33C4A" w:rsidP="00E35EAA">
            <w:r>
              <w:t>903</w:t>
            </w:r>
            <w:r w:rsidR="00E5399A">
              <w:t xml:space="preserve"> kWh/</w:t>
            </w:r>
            <w:proofErr w:type="spellStart"/>
            <w:r w:rsidR="00E5399A">
              <w:t>hp</w:t>
            </w:r>
            <w:proofErr w:type="spellEnd"/>
          </w:p>
        </w:tc>
        <w:tc>
          <w:tcPr>
            <w:tcW w:w="1890" w:type="dxa"/>
            <w:shd w:val="pct5" w:color="000000" w:fill="FFFFFF"/>
            <w:vAlign w:val="bottom"/>
          </w:tcPr>
          <w:p w:rsidR="00F41A9B" w:rsidRDefault="00F41A9B" w:rsidP="00E35EAA">
            <w:r w:rsidRPr="00A45BC9">
              <w:t>Section 2.1</w:t>
            </w:r>
            <w:r w:rsidR="00E5399A">
              <w:t>;</w:t>
            </w:r>
          </w:p>
          <w:p w:rsidR="00E5399A" w:rsidRPr="00A45BC9" w:rsidRDefault="00E5399A" w:rsidP="00E35EAA">
            <w:r>
              <w:t>Attachment B</w:t>
            </w:r>
          </w:p>
        </w:tc>
      </w:tr>
      <w:tr w:rsidR="00F41A9B" w:rsidRPr="00A45BC9" w:rsidTr="00AD7A0D">
        <w:tc>
          <w:tcPr>
            <w:tcW w:w="2178" w:type="dxa"/>
            <w:shd w:val="pct20" w:color="000000" w:fill="FFFFFF"/>
            <w:vAlign w:val="bottom"/>
          </w:tcPr>
          <w:p w:rsidR="00F41A9B" w:rsidRPr="00A45BC9" w:rsidRDefault="00F41A9B" w:rsidP="00E35EAA">
            <w:r w:rsidRPr="00A45BC9">
              <w:t>Gas Savings</w:t>
            </w:r>
          </w:p>
        </w:tc>
        <w:tc>
          <w:tcPr>
            <w:tcW w:w="1890" w:type="dxa"/>
            <w:shd w:val="pct20" w:color="000000" w:fill="FFFFFF"/>
            <w:vAlign w:val="bottom"/>
          </w:tcPr>
          <w:p w:rsidR="00F41A9B" w:rsidRPr="00846D30" w:rsidRDefault="00F41A9B" w:rsidP="00E35EAA">
            <w:r w:rsidRPr="00846D30">
              <w:t>NA</w:t>
            </w:r>
          </w:p>
        </w:tc>
        <w:tc>
          <w:tcPr>
            <w:tcW w:w="1620" w:type="dxa"/>
            <w:shd w:val="pct20" w:color="000000" w:fill="FFFFFF"/>
            <w:vAlign w:val="bottom"/>
          </w:tcPr>
          <w:p w:rsidR="00F41A9B" w:rsidRPr="00A45BC9" w:rsidRDefault="00F41A9B" w:rsidP="00E35EAA">
            <w:r w:rsidRPr="00A45BC9">
              <w:t>NA</w:t>
            </w:r>
          </w:p>
        </w:tc>
        <w:tc>
          <w:tcPr>
            <w:tcW w:w="1890" w:type="dxa"/>
            <w:shd w:val="pct20" w:color="000000" w:fill="FFFFFF"/>
            <w:vAlign w:val="bottom"/>
          </w:tcPr>
          <w:p w:rsidR="00F41A9B" w:rsidRPr="00A45BC9" w:rsidRDefault="00F41A9B" w:rsidP="00E35EAA">
            <w:r w:rsidRPr="00A45BC9">
              <w:t>NA</w:t>
            </w:r>
          </w:p>
        </w:tc>
        <w:tc>
          <w:tcPr>
            <w:tcW w:w="1890" w:type="dxa"/>
            <w:shd w:val="pct20" w:color="000000" w:fill="FFFFFF"/>
            <w:vAlign w:val="bottom"/>
          </w:tcPr>
          <w:p w:rsidR="00F41A9B" w:rsidRPr="00A45BC9" w:rsidRDefault="00F41A9B" w:rsidP="00E35EAA">
            <w:r w:rsidRPr="00A45BC9">
              <w:t>NA</w:t>
            </w:r>
          </w:p>
        </w:tc>
      </w:tr>
      <w:tr w:rsidR="00F41A9B" w:rsidRPr="00A45BC9" w:rsidTr="00AD7A0D">
        <w:trPr>
          <w:trHeight w:val="297"/>
        </w:trPr>
        <w:tc>
          <w:tcPr>
            <w:tcW w:w="2178" w:type="dxa"/>
            <w:shd w:val="pct5" w:color="000000" w:fill="FFFFFF"/>
            <w:vAlign w:val="bottom"/>
          </w:tcPr>
          <w:p w:rsidR="00F41A9B" w:rsidRPr="00A45BC9" w:rsidRDefault="00F41A9B" w:rsidP="00E35EAA">
            <w:r w:rsidRPr="00A45BC9">
              <w:t>Hours of operation</w:t>
            </w:r>
          </w:p>
        </w:tc>
        <w:tc>
          <w:tcPr>
            <w:tcW w:w="1890" w:type="dxa"/>
            <w:shd w:val="pct5" w:color="000000" w:fill="FFFFFF"/>
            <w:vAlign w:val="bottom"/>
          </w:tcPr>
          <w:p w:rsidR="00F41A9B" w:rsidRPr="00846D30" w:rsidRDefault="00F41A9B" w:rsidP="00E35EAA">
            <w:r w:rsidRPr="00846D30">
              <w:t>CZ, Pump Type</w:t>
            </w:r>
          </w:p>
        </w:tc>
        <w:tc>
          <w:tcPr>
            <w:tcW w:w="1620" w:type="dxa"/>
            <w:shd w:val="pct5" w:color="000000" w:fill="FFFFFF"/>
            <w:vAlign w:val="bottom"/>
          </w:tcPr>
          <w:p w:rsidR="00F41A9B" w:rsidRPr="00A45BC9" w:rsidRDefault="00F41A9B" w:rsidP="00E35EAA">
            <w:r w:rsidRPr="00A45BC9">
              <w:t>various</w:t>
            </w:r>
          </w:p>
        </w:tc>
        <w:tc>
          <w:tcPr>
            <w:tcW w:w="1890" w:type="dxa"/>
            <w:shd w:val="pct5" w:color="000000" w:fill="FFFFFF"/>
            <w:vAlign w:val="bottom"/>
          </w:tcPr>
          <w:p w:rsidR="00F41A9B" w:rsidRPr="00A45BC9" w:rsidRDefault="00F41A9B" w:rsidP="00E35EAA">
            <w:r w:rsidRPr="00A45BC9">
              <w:t>various</w:t>
            </w:r>
          </w:p>
        </w:tc>
        <w:tc>
          <w:tcPr>
            <w:tcW w:w="1890" w:type="dxa"/>
            <w:shd w:val="pct5" w:color="000000" w:fill="FFFFFF"/>
            <w:vAlign w:val="bottom"/>
          </w:tcPr>
          <w:p w:rsidR="00F41A9B" w:rsidRPr="00A45BC9" w:rsidRDefault="00F41A9B" w:rsidP="00E35EAA">
            <w:r>
              <w:t>Section 2</w:t>
            </w:r>
          </w:p>
        </w:tc>
      </w:tr>
      <w:tr w:rsidR="00F41A9B" w:rsidRPr="00A45BC9" w:rsidTr="00AD7A0D">
        <w:tc>
          <w:tcPr>
            <w:tcW w:w="2178" w:type="dxa"/>
            <w:shd w:val="pct20" w:color="000000" w:fill="FFFFFF"/>
            <w:vAlign w:val="bottom"/>
          </w:tcPr>
          <w:p w:rsidR="00F41A9B" w:rsidRPr="00A45BC9" w:rsidRDefault="00F41A9B" w:rsidP="00E35EAA">
            <w:r w:rsidRPr="00A45BC9">
              <w:t xml:space="preserve">Full Cost </w:t>
            </w:r>
          </w:p>
        </w:tc>
        <w:tc>
          <w:tcPr>
            <w:tcW w:w="1890" w:type="dxa"/>
            <w:shd w:val="pct20" w:color="000000" w:fill="FFFFFF"/>
            <w:vAlign w:val="bottom"/>
          </w:tcPr>
          <w:p w:rsidR="00F41A9B" w:rsidRPr="00846D30" w:rsidRDefault="00F41A9B" w:rsidP="00E35EAA">
            <w:r w:rsidRPr="00846D30">
              <w:t>REA</w:t>
            </w:r>
          </w:p>
        </w:tc>
        <w:tc>
          <w:tcPr>
            <w:tcW w:w="1620" w:type="dxa"/>
            <w:shd w:val="pct20" w:color="000000" w:fill="FFFFFF"/>
            <w:vAlign w:val="bottom"/>
          </w:tcPr>
          <w:p w:rsidR="00F41A9B" w:rsidRPr="00A45BC9" w:rsidRDefault="00F41A9B" w:rsidP="00E35EAA">
            <w:r w:rsidRPr="00A45BC9">
              <w:t>$0</w:t>
            </w:r>
          </w:p>
        </w:tc>
        <w:tc>
          <w:tcPr>
            <w:tcW w:w="1890" w:type="dxa"/>
            <w:shd w:val="pct20" w:color="000000" w:fill="FFFFFF"/>
            <w:vAlign w:val="bottom"/>
          </w:tcPr>
          <w:p w:rsidR="00F41A9B" w:rsidRPr="00A45BC9" w:rsidRDefault="00F41A9B" w:rsidP="00E35EAA">
            <w:r w:rsidRPr="00A45BC9">
              <w:t>various</w:t>
            </w:r>
          </w:p>
        </w:tc>
        <w:tc>
          <w:tcPr>
            <w:tcW w:w="1890" w:type="dxa"/>
            <w:shd w:val="pct20" w:color="000000" w:fill="FFFFFF"/>
            <w:vAlign w:val="bottom"/>
          </w:tcPr>
          <w:p w:rsidR="00F41A9B" w:rsidRPr="00A45BC9" w:rsidRDefault="00F41A9B" w:rsidP="00E35EAA">
            <w:r w:rsidRPr="00A45BC9">
              <w:t>Section 4</w:t>
            </w:r>
          </w:p>
        </w:tc>
      </w:tr>
      <w:tr w:rsidR="00F41A9B" w:rsidRPr="00A45BC9" w:rsidTr="00AD7A0D">
        <w:tc>
          <w:tcPr>
            <w:tcW w:w="2178" w:type="dxa"/>
            <w:shd w:val="pct5" w:color="000000" w:fill="FFFFFF"/>
            <w:vAlign w:val="bottom"/>
          </w:tcPr>
          <w:p w:rsidR="00F41A9B" w:rsidRPr="00A45BC9" w:rsidRDefault="00F41A9B" w:rsidP="00E35EAA">
            <w:r w:rsidRPr="00A45BC9">
              <w:t>Incremental Cost</w:t>
            </w:r>
          </w:p>
        </w:tc>
        <w:tc>
          <w:tcPr>
            <w:tcW w:w="1890" w:type="dxa"/>
            <w:shd w:val="pct5" w:color="000000" w:fill="FFFFFF"/>
            <w:vAlign w:val="bottom"/>
          </w:tcPr>
          <w:p w:rsidR="00F41A9B" w:rsidRPr="00846D30" w:rsidRDefault="00F41A9B" w:rsidP="00E35EAA">
            <w:r w:rsidRPr="00846D30">
              <w:t>REA</w:t>
            </w:r>
          </w:p>
        </w:tc>
        <w:tc>
          <w:tcPr>
            <w:tcW w:w="1620" w:type="dxa"/>
            <w:shd w:val="pct5" w:color="000000" w:fill="FFFFFF"/>
            <w:vAlign w:val="bottom"/>
          </w:tcPr>
          <w:p w:rsidR="00F41A9B" w:rsidRPr="00A45BC9" w:rsidRDefault="00F41A9B" w:rsidP="00E35EAA">
            <w:r w:rsidRPr="00A45BC9">
              <w:t>$0</w:t>
            </w:r>
          </w:p>
        </w:tc>
        <w:tc>
          <w:tcPr>
            <w:tcW w:w="1890" w:type="dxa"/>
            <w:shd w:val="pct5" w:color="000000" w:fill="FFFFFF"/>
            <w:vAlign w:val="bottom"/>
          </w:tcPr>
          <w:p w:rsidR="00F41A9B" w:rsidRPr="00A45BC9" w:rsidRDefault="00F41A9B" w:rsidP="00E35EAA">
            <w:r w:rsidRPr="00A45BC9">
              <w:t>various</w:t>
            </w:r>
          </w:p>
        </w:tc>
        <w:tc>
          <w:tcPr>
            <w:tcW w:w="1890" w:type="dxa"/>
            <w:shd w:val="pct5" w:color="000000" w:fill="FFFFFF"/>
            <w:vAlign w:val="bottom"/>
          </w:tcPr>
          <w:p w:rsidR="00F41A9B" w:rsidRPr="00A45BC9" w:rsidRDefault="00F41A9B" w:rsidP="00E35EAA">
            <w:r w:rsidRPr="00A45BC9">
              <w:t>Section 4</w:t>
            </w:r>
          </w:p>
        </w:tc>
      </w:tr>
      <w:tr w:rsidR="00F41A9B" w:rsidRPr="00A45BC9" w:rsidTr="00AD7A0D">
        <w:tc>
          <w:tcPr>
            <w:tcW w:w="2178" w:type="dxa"/>
            <w:shd w:val="pct20" w:color="000000" w:fill="FFFFFF"/>
            <w:vAlign w:val="bottom"/>
          </w:tcPr>
          <w:p w:rsidR="00F41A9B" w:rsidRPr="00A45BC9" w:rsidRDefault="00F41A9B" w:rsidP="00E35EAA">
            <w:r w:rsidRPr="00A45BC9">
              <w:t>EUL /RUL</w:t>
            </w:r>
          </w:p>
        </w:tc>
        <w:tc>
          <w:tcPr>
            <w:tcW w:w="1890" w:type="dxa"/>
            <w:shd w:val="pct20" w:color="000000" w:fill="FFFFFF"/>
            <w:vAlign w:val="bottom"/>
          </w:tcPr>
          <w:p w:rsidR="00F41A9B" w:rsidRPr="00846D30" w:rsidRDefault="00F41A9B" w:rsidP="00E35EAA">
            <w:r w:rsidRPr="00846D30">
              <w:t>REA</w:t>
            </w:r>
          </w:p>
        </w:tc>
        <w:tc>
          <w:tcPr>
            <w:tcW w:w="1620" w:type="dxa"/>
            <w:shd w:val="pct20" w:color="000000" w:fill="FFFFFF"/>
            <w:vAlign w:val="bottom"/>
          </w:tcPr>
          <w:p w:rsidR="00F41A9B" w:rsidRPr="00A45BC9" w:rsidRDefault="00F41A9B" w:rsidP="00E35EAA">
            <w:r w:rsidRPr="00A45BC9">
              <w:t>NA</w:t>
            </w:r>
          </w:p>
        </w:tc>
        <w:tc>
          <w:tcPr>
            <w:tcW w:w="1890" w:type="dxa"/>
            <w:shd w:val="pct20" w:color="000000" w:fill="FFFFFF"/>
            <w:vAlign w:val="bottom"/>
          </w:tcPr>
          <w:p w:rsidR="00F41A9B" w:rsidRPr="00A45BC9" w:rsidRDefault="00F41A9B" w:rsidP="00E35EAA">
            <w:r w:rsidRPr="00A45BC9">
              <w:t>various</w:t>
            </w:r>
          </w:p>
        </w:tc>
        <w:tc>
          <w:tcPr>
            <w:tcW w:w="1890" w:type="dxa"/>
            <w:shd w:val="pct20" w:color="000000" w:fill="FFFFFF"/>
            <w:vAlign w:val="bottom"/>
          </w:tcPr>
          <w:p w:rsidR="00F41A9B" w:rsidRPr="00A45BC9" w:rsidRDefault="00F41A9B" w:rsidP="00E35EAA">
            <w:r>
              <w:t xml:space="preserve">Section </w:t>
            </w:r>
            <w:r w:rsidRPr="00A45BC9">
              <w:t>1.4.1</w:t>
            </w:r>
          </w:p>
        </w:tc>
      </w:tr>
      <w:tr w:rsidR="00F41A9B" w:rsidRPr="00A45BC9" w:rsidTr="00AD7A0D">
        <w:tc>
          <w:tcPr>
            <w:tcW w:w="2178" w:type="dxa"/>
            <w:shd w:val="pct5" w:color="000000" w:fill="FFFFFF"/>
            <w:vAlign w:val="bottom"/>
          </w:tcPr>
          <w:p w:rsidR="00F41A9B" w:rsidRPr="00D60C5E" w:rsidRDefault="00F41A9B" w:rsidP="00E35EAA">
            <w:r w:rsidRPr="00D60C5E">
              <w:t>NTG</w:t>
            </w:r>
          </w:p>
        </w:tc>
        <w:tc>
          <w:tcPr>
            <w:tcW w:w="1890" w:type="dxa"/>
            <w:shd w:val="pct5" w:color="000000" w:fill="FFFFFF"/>
            <w:vAlign w:val="bottom"/>
          </w:tcPr>
          <w:p w:rsidR="00F41A9B" w:rsidRPr="00D60C5E" w:rsidRDefault="00F41A9B" w:rsidP="00E35EAA">
            <w:r w:rsidRPr="00D60C5E">
              <w:t>One</w:t>
            </w:r>
          </w:p>
        </w:tc>
        <w:tc>
          <w:tcPr>
            <w:tcW w:w="1620" w:type="dxa"/>
            <w:shd w:val="pct5" w:color="000000" w:fill="FFFFFF"/>
            <w:vAlign w:val="bottom"/>
          </w:tcPr>
          <w:p w:rsidR="00F41A9B" w:rsidRPr="00A45BC9" w:rsidRDefault="00F41A9B" w:rsidP="00E35EAA">
            <w:r w:rsidRPr="00A45BC9">
              <w:t>NA</w:t>
            </w:r>
          </w:p>
        </w:tc>
        <w:tc>
          <w:tcPr>
            <w:tcW w:w="1890" w:type="dxa"/>
            <w:shd w:val="pct5" w:color="000000" w:fill="FFFFFF"/>
            <w:vAlign w:val="bottom"/>
          </w:tcPr>
          <w:p w:rsidR="00F41A9B" w:rsidRPr="00A45BC9" w:rsidRDefault="00F41A9B" w:rsidP="00E35EAA">
            <w:r w:rsidRPr="00A45BC9">
              <w:t>0.7</w:t>
            </w:r>
          </w:p>
        </w:tc>
        <w:tc>
          <w:tcPr>
            <w:tcW w:w="1890" w:type="dxa"/>
            <w:shd w:val="pct5" w:color="000000" w:fill="FFFFFF"/>
            <w:vAlign w:val="bottom"/>
          </w:tcPr>
          <w:p w:rsidR="00F41A9B" w:rsidRPr="00A45BC9" w:rsidRDefault="00F41A9B" w:rsidP="00E35EAA">
            <w:r>
              <w:t xml:space="preserve">Section </w:t>
            </w:r>
            <w:r w:rsidRPr="00A45BC9">
              <w:t>1.4.1</w:t>
            </w:r>
          </w:p>
        </w:tc>
      </w:tr>
      <w:tr w:rsidR="00F41A9B" w:rsidRPr="00A45BC9" w:rsidTr="00AD7A0D">
        <w:tc>
          <w:tcPr>
            <w:tcW w:w="2178" w:type="dxa"/>
            <w:shd w:val="pct20" w:color="000000" w:fill="FFFFFF"/>
            <w:vAlign w:val="bottom"/>
          </w:tcPr>
          <w:p w:rsidR="00F41A9B" w:rsidRPr="00AD7A0D" w:rsidRDefault="00F41A9B" w:rsidP="00E35EAA">
            <w:r w:rsidRPr="00AD7A0D">
              <w:t>ISR</w:t>
            </w:r>
          </w:p>
        </w:tc>
        <w:tc>
          <w:tcPr>
            <w:tcW w:w="1890" w:type="dxa"/>
            <w:shd w:val="pct20" w:color="000000" w:fill="FFFFFF"/>
            <w:vAlign w:val="bottom"/>
          </w:tcPr>
          <w:p w:rsidR="00F41A9B" w:rsidRPr="00AD7A0D" w:rsidRDefault="00F41A9B" w:rsidP="00E35EAA">
            <w:r w:rsidRPr="00AD7A0D">
              <w:t xml:space="preserve"> </w:t>
            </w:r>
            <w:r w:rsidRPr="00A80AF1">
              <w:t>NA</w:t>
            </w:r>
          </w:p>
        </w:tc>
        <w:tc>
          <w:tcPr>
            <w:tcW w:w="1620" w:type="dxa"/>
            <w:shd w:val="pct20" w:color="000000" w:fill="FFFFFF"/>
            <w:vAlign w:val="bottom"/>
          </w:tcPr>
          <w:p w:rsidR="00F41A9B" w:rsidRPr="00A45BC9" w:rsidRDefault="00F41A9B" w:rsidP="00E35EAA">
            <w:r w:rsidRPr="00A45BC9">
              <w:t>NA</w:t>
            </w:r>
          </w:p>
        </w:tc>
        <w:tc>
          <w:tcPr>
            <w:tcW w:w="1890" w:type="dxa"/>
            <w:shd w:val="pct20" w:color="000000" w:fill="FFFFFF"/>
            <w:vAlign w:val="bottom"/>
          </w:tcPr>
          <w:p w:rsidR="00F41A9B" w:rsidRPr="00A45BC9" w:rsidRDefault="00F41A9B" w:rsidP="00E35EAA">
            <w:r w:rsidRPr="00A45BC9">
              <w:t>1.0</w:t>
            </w:r>
          </w:p>
        </w:tc>
        <w:tc>
          <w:tcPr>
            <w:tcW w:w="1890" w:type="dxa"/>
            <w:shd w:val="pct20" w:color="000000" w:fill="FFFFFF"/>
            <w:vAlign w:val="bottom"/>
          </w:tcPr>
          <w:p w:rsidR="00F41A9B" w:rsidRPr="00A45BC9" w:rsidRDefault="00F41A9B" w:rsidP="00E35EAA">
            <w:r w:rsidRPr="00A45BC9">
              <w:t>NA</w:t>
            </w:r>
          </w:p>
        </w:tc>
      </w:tr>
      <w:tr w:rsidR="00F41A9B" w:rsidRPr="00C45BFA" w:rsidTr="00AD7A0D">
        <w:tc>
          <w:tcPr>
            <w:tcW w:w="2178" w:type="dxa"/>
            <w:shd w:val="pct5" w:color="000000" w:fill="FFFFFF"/>
            <w:vAlign w:val="bottom"/>
          </w:tcPr>
          <w:p w:rsidR="00F41A9B" w:rsidRPr="00A45BC9" w:rsidRDefault="00F41A9B" w:rsidP="00E35EAA">
            <w:r w:rsidRPr="00A45BC9">
              <w:t>TOU Factor</w:t>
            </w:r>
          </w:p>
        </w:tc>
        <w:tc>
          <w:tcPr>
            <w:tcW w:w="1890" w:type="dxa"/>
            <w:shd w:val="pct5" w:color="000000" w:fill="FFFFFF"/>
            <w:vAlign w:val="bottom"/>
          </w:tcPr>
          <w:p w:rsidR="00F41A9B" w:rsidRPr="00A45BC9" w:rsidRDefault="00F41A9B" w:rsidP="00E35EAA">
            <w:r>
              <w:t>NA</w:t>
            </w:r>
          </w:p>
        </w:tc>
        <w:tc>
          <w:tcPr>
            <w:tcW w:w="1620" w:type="dxa"/>
            <w:shd w:val="pct5" w:color="000000" w:fill="FFFFFF"/>
            <w:vAlign w:val="bottom"/>
          </w:tcPr>
          <w:p w:rsidR="00F41A9B" w:rsidRPr="00A45BC9" w:rsidRDefault="00F41A9B" w:rsidP="00E35EAA">
            <w:r w:rsidRPr="00A45BC9">
              <w:t>NA</w:t>
            </w:r>
          </w:p>
        </w:tc>
        <w:tc>
          <w:tcPr>
            <w:tcW w:w="1890" w:type="dxa"/>
            <w:shd w:val="pct5" w:color="000000" w:fill="FFFFFF"/>
            <w:vAlign w:val="bottom"/>
          </w:tcPr>
          <w:p w:rsidR="00F41A9B" w:rsidRPr="00A45BC9" w:rsidRDefault="00F41A9B" w:rsidP="00E35EAA">
            <w:r w:rsidRPr="00A45BC9">
              <w:t>NA</w:t>
            </w:r>
          </w:p>
        </w:tc>
        <w:tc>
          <w:tcPr>
            <w:tcW w:w="1890" w:type="dxa"/>
            <w:shd w:val="pct5" w:color="000000" w:fill="FFFFFF"/>
            <w:vAlign w:val="bottom"/>
          </w:tcPr>
          <w:p w:rsidR="00F41A9B" w:rsidRPr="00A45BC9" w:rsidRDefault="00F41A9B" w:rsidP="00E35EAA">
            <w:r w:rsidRPr="00A45BC9">
              <w:t>Section 1.4.5</w:t>
            </w:r>
          </w:p>
        </w:tc>
      </w:tr>
    </w:tbl>
    <w:p w:rsidR="00C45BFA" w:rsidRDefault="00C45BFA" w:rsidP="00E35EAA"/>
    <w:p w:rsidR="002A1F3E" w:rsidRDefault="002A1F3E" w:rsidP="00E35EAA">
      <w:pPr>
        <w:pStyle w:val="Heading1"/>
      </w:pPr>
      <w:r>
        <w:br w:type="page"/>
      </w:r>
    </w:p>
    <w:p w:rsidR="003B44BB" w:rsidRPr="005357FE" w:rsidRDefault="00CF3FF0" w:rsidP="00E35EAA">
      <w:pPr>
        <w:pStyle w:val="Heading1"/>
      </w:pPr>
      <w:bookmarkStart w:id="26" w:name="_Toc392780010"/>
      <w:proofErr w:type="gramStart"/>
      <w:r w:rsidRPr="00314FE6">
        <w:lastRenderedPageBreak/>
        <w:t xml:space="preserve">Section </w:t>
      </w:r>
      <w:r w:rsidR="00C069A2" w:rsidRPr="00314FE6">
        <w:t>2</w:t>
      </w:r>
      <w:r w:rsidR="003129E8" w:rsidRPr="00314FE6">
        <w:t>.</w:t>
      </w:r>
      <w:proofErr w:type="gramEnd"/>
      <w:r w:rsidR="00C069A2" w:rsidRPr="00314FE6">
        <w:t xml:space="preserve"> Calculation Methods</w:t>
      </w:r>
      <w:bookmarkEnd w:id="26"/>
    </w:p>
    <w:p w:rsidR="00C069A2" w:rsidRPr="00314FE6" w:rsidRDefault="00C069A2" w:rsidP="00B16127">
      <w:pPr>
        <w:pStyle w:val="Heading2"/>
      </w:pPr>
      <w:bookmarkStart w:id="27" w:name="_Toc392780011"/>
      <w:r w:rsidRPr="00B16127">
        <w:t xml:space="preserve">2.1 </w:t>
      </w:r>
      <w:r w:rsidR="007878B9" w:rsidRPr="00B16127">
        <w:t xml:space="preserve">Electric </w:t>
      </w:r>
      <w:r w:rsidRPr="00B16127">
        <w:t>Energy Savings Estimation Metho</w:t>
      </w:r>
      <w:r w:rsidRPr="00314FE6">
        <w:t>dologies</w:t>
      </w:r>
      <w:bookmarkEnd w:id="27"/>
      <w:r w:rsidR="007C1DEB" w:rsidRPr="00314FE6">
        <w:t xml:space="preserve"> </w:t>
      </w:r>
    </w:p>
    <w:p w:rsidR="005357FE" w:rsidRDefault="005357FE" w:rsidP="00E35EAA"/>
    <w:p w:rsidR="00B92E02" w:rsidRDefault="00B92E02" w:rsidP="00B92E02">
      <w:r>
        <w:t>The following variables must be estimated to quantify the savings resulting from overhauling pumps with motors that are less than or equal to 25hp:</w:t>
      </w:r>
    </w:p>
    <w:p w:rsidR="00B92E02" w:rsidRDefault="00B92E02" w:rsidP="00B92E02"/>
    <w:p w:rsidR="00B92E02" w:rsidRDefault="00B92E02" w:rsidP="00B92E02">
      <w:pPr>
        <w:ind w:left="720"/>
      </w:pPr>
      <w:r>
        <w:t>1)</w:t>
      </w:r>
      <w:r>
        <w:tab/>
        <w:t>Pump size</w:t>
      </w:r>
    </w:p>
    <w:p w:rsidR="00B92E02" w:rsidRDefault="00B92E02" w:rsidP="00B92E02">
      <w:pPr>
        <w:ind w:left="720"/>
      </w:pPr>
      <w:r>
        <w:t>2)</w:t>
      </w:r>
      <w:r>
        <w:tab/>
        <w:t>Annual hours of operation</w:t>
      </w:r>
    </w:p>
    <w:p w:rsidR="00B92E02" w:rsidRDefault="00B92E02" w:rsidP="00B92E02">
      <w:pPr>
        <w:ind w:left="720"/>
      </w:pPr>
      <w:r>
        <w:t>3)</w:t>
      </w:r>
      <w:r>
        <w:tab/>
        <w:t>Motor loading</w:t>
      </w:r>
    </w:p>
    <w:p w:rsidR="00B92E02" w:rsidRDefault="00B92E02" w:rsidP="00B92E02">
      <w:pPr>
        <w:ind w:left="720"/>
      </w:pPr>
      <w:r>
        <w:t>4)</w:t>
      </w:r>
      <w:r>
        <w:tab/>
        <w:t>Baseline Operating Plant Efficiency (OPE)</w:t>
      </w:r>
    </w:p>
    <w:p w:rsidR="00B92E02" w:rsidRDefault="00B92E02" w:rsidP="00B92E02">
      <w:pPr>
        <w:ind w:left="720"/>
      </w:pPr>
      <w:r>
        <w:t>5)</w:t>
      </w:r>
      <w:r>
        <w:tab/>
        <w:t>Post Operating Plant Efficiency</w:t>
      </w:r>
    </w:p>
    <w:p w:rsidR="00B92E02" w:rsidRDefault="00B92E02" w:rsidP="00B92E02"/>
    <w:p w:rsidR="00B92E02" w:rsidRPr="00897B81" w:rsidRDefault="00B92E02" w:rsidP="00B92E02">
      <w:r>
        <w:t>The Pacific Gas &amp; Electric (PG&amp;E) pump test database was used to obtain average values of the variables listed above. Data going back eight years wer</w:t>
      </w:r>
      <w:r w:rsidRPr="00897B81">
        <w:t xml:space="preserve">e used in estimating the averages [Attachment </w:t>
      </w:r>
      <w:r w:rsidR="00B71CA5">
        <w:t>B</w:t>
      </w:r>
      <w:r w:rsidRPr="00897B81">
        <w:t>]. As more data becomes available the averages provided in this work paper may need to be revised for accuracy.</w:t>
      </w:r>
    </w:p>
    <w:p w:rsidR="00B92E02" w:rsidRPr="00897B81" w:rsidRDefault="00B92E02" w:rsidP="00B92E02"/>
    <w:p w:rsidR="00B92E02" w:rsidRPr="00897B81" w:rsidRDefault="00B92E02" w:rsidP="00B92E02">
      <w:r w:rsidRPr="00897B81">
        <w:t>The data was disaggregated according to the following pump types for each climate zone within PG&amp;E’s service territory:</w:t>
      </w:r>
    </w:p>
    <w:p w:rsidR="00B92E02" w:rsidRPr="00897B81" w:rsidRDefault="00B92E02" w:rsidP="00B92E02">
      <w:pPr>
        <w:ind w:left="720"/>
      </w:pPr>
    </w:p>
    <w:p w:rsidR="0051455E" w:rsidRPr="00897B81" w:rsidRDefault="0051455E" w:rsidP="0051455E">
      <w:pPr>
        <w:numPr>
          <w:ilvl w:val="0"/>
          <w:numId w:val="37"/>
        </w:numPr>
      </w:pPr>
      <w:r w:rsidRPr="00897B81">
        <w:t xml:space="preserve">Centrifugal Booster </w:t>
      </w:r>
    </w:p>
    <w:p w:rsidR="00B92E02" w:rsidRPr="00897B81" w:rsidRDefault="00B92E02" w:rsidP="0051455E">
      <w:pPr>
        <w:numPr>
          <w:ilvl w:val="0"/>
          <w:numId w:val="37"/>
        </w:numPr>
      </w:pPr>
      <w:r w:rsidRPr="00897B81">
        <w:t>Submersible Well</w:t>
      </w:r>
    </w:p>
    <w:p w:rsidR="00B92E02" w:rsidRPr="00897B81" w:rsidRDefault="0051455E" w:rsidP="0051455E">
      <w:pPr>
        <w:ind w:left="720"/>
      </w:pPr>
      <w:r w:rsidRPr="00897B81">
        <w:t>2)</w:t>
      </w:r>
      <w:r w:rsidRPr="00897B81">
        <w:tab/>
        <w:t>Submersible Booster</w:t>
      </w:r>
    </w:p>
    <w:p w:rsidR="00B92E02" w:rsidRPr="00897B81" w:rsidRDefault="00B92E02" w:rsidP="00B92E02">
      <w:pPr>
        <w:ind w:left="720"/>
      </w:pPr>
      <w:r w:rsidRPr="00897B81">
        <w:t>4)</w:t>
      </w:r>
      <w:r w:rsidRPr="00897B81">
        <w:tab/>
        <w:t>Turbine Well</w:t>
      </w:r>
    </w:p>
    <w:p w:rsidR="00B92E02" w:rsidRPr="00897B81" w:rsidRDefault="00B92E02" w:rsidP="00B92E02">
      <w:pPr>
        <w:ind w:left="720"/>
      </w:pPr>
      <w:r w:rsidRPr="00897B81">
        <w:t>5)</w:t>
      </w:r>
      <w:r w:rsidRPr="00897B81">
        <w:tab/>
        <w:t>Turbine Booster</w:t>
      </w:r>
    </w:p>
    <w:p w:rsidR="00B92E02" w:rsidRPr="00897B81" w:rsidRDefault="00B92E02" w:rsidP="00B92E02"/>
    <w:p w:rsidR="00B92E02" w:rsidRDefault="00B92E02" w:rsidP="00B92E02">
      <w:r w:rsidRPr="00897B81">
        <w:t>The following table shows a sample breakdown of average values from CZ</w:t>
      </w:r>
      <w:r w:rsidR="00E5399A">
        <w:t>13</w:t>
      </w:r>
      <w:r w:rsidRPr="00897B81">
        <w:t>.  Average value calculations for the other PG&amp;E climate zones are provide</w:t>
      </w:r>
      <w:r w:rsidR="00B50D0A" w:rsidRPr="00897B81">
        <w:t>d in the “</w:t>
      </w:r>
      <w:r w:rsidR="009009CC" w:rsidRPr="00D37609">
        <w:t>PGECO</w:t>
      </w:r>
      <w:r w:rsidR="009009CC">
        <w:t>AGR114</w:t>
      </w:r>
      <w:r w:rsidR="009009CC" w:rsidRPr="00D37609">
        <w:t xml:space="preserve"> R0 Ag Pump Overhaul Measure Savings</w:t>
      </w:r>
      <w:r w:rsidR="009009CC" w:rsidRPr="00D444ED">
        <w:t>.xlsm</w:t>
      </w:r>
      <w:proofErr w:type="gramStart"/>
      <w:r w:rsidR="00B50D0A" w:rsidRPr="00897B81">
        <w:t xml:space="preserve">“ </w:t>
      </w:r>
      <w:r w:rsidRPr="00897B81">
        <w:t>file</w:t>
      </w:r>
      <w:proofErr w:type="gramEnd"/>
      <w:r w:rsidRPr="00897B81">
        <w:t xml:space="preserve"> in the “Attachments” section </w:t>
      </w:r>
      <w:r w:rsidR="00897B81" w:rsidRPr="00897B81">
        <w:t xml:space="preserve">[Attachment </w:t>
      </w:r>
      <w:r w:rsidR="00B71CA5">
        <w:t>B</w:t>
      </w:r>
      <w:r w:rsidR="00897B81" w:rsidRPr="00897B81">
        <w:t>]</w:t>
      </w:r>
      <w:r w:rsidRPr="00897B81">
        <w:t>.</w:t>
      </w:r>
    </w:p>
    <w:p w:rsidR="00B92E02" w:rsidRDefault="00B92E02" w:rsidP="00B92E02"/>
    <w:p w:rsidR="006C6627" w:rsidRDefault="006C6627" w:rsidP="00B92E02"/>
    <w:p w:rsidR="00B92E02" w:rsidRPr="00846D30" w:rsidRDefault="00B92E02" w:rsidP="00B92E02">
      <w:pPr>
        <w:jc w:val="center"/>
        <w:rPr>
          <w:b/>
          <w:bCs/>
        </w:rPr>
      </w:pPr>
      <w:r w:rsidRPr="00846D30">
        <w:rPr>
          <w:b/>
          <w:bCs/>
        </w:rPr>
        <w:t xml:space="preserve">Table </w:t>
      </w:r>
      <w:r w:rsidR="00B50D0A">
        <w:rPr>
          <w:b/>
          <w:bCs/>
        </w:rPr>
        <w:t>7</w:t>
      </w:r>
      <w:r w:rsidRPr="00846D30">
        <w:rPr>
          <w:b/>
          <w:bCs/>
        </w:rPr>
        <w:t xml:space="preserve"> Estimation of Variables for CZ </w:t>
      </w:r>
      <w:r w:rsidR="00E5399A">
        <w:rPr>
          <w:b/>
          <w:bCs/>
        </w:rPr>
        <w:t>13</w:t>
      </w:r>
    </w:p>
    <w:tbl>
      <w:tblPr>
        <w:tblW w:w="9278" w:type="dxa"/>
        <w:jc w:val="center"/>
        <w:tblBorders>
          <w:insideH w:val="single" w:sz="18" w:space="0" w:color="FFFFFF"/>
          <w:insideV w:val="single" w:sz="18" w:space="0" w:color="FFFFFF"/>
        </w:tblBorders>
        <w:tblLook w:val="04A0" w:firstRow="1" w:lastRow="0" w:firstColumn="1" w:lastColumn="0" w:noHBand="0" w:noVBand="1"/>
      </w:tblPr>
      <w:tblGrid>
        <w:gridCol w:w="2081"/>
        <w:gridCol w:w="1954"/>
        <w:gridCol w:w="1467"/>
        <w:gridCol w:w="1294"/>
        <w:gridCol w:w="1294"/>
        <w:gridCol w:w="1188"/>
      </w:tblGrid>
      <w:tr w:rsidR="00B92E02" w:rsidRPr="00846D30" w:rsidTr="004B05B2">
        <w:trPr>
          <w:trHeight w:val="900"/>
          <w:jc w:val="center"/>
        </w:trPr>
        <w:tc>
          <w:tcPr>
            <w:tcW w:w="2081" w:type="dxa"/>
            <w:shd w:val="pct20" w:color="000000" w:fill="FFFFFF"/>
            <w:noWrap/>
            <w:vAlign w:val="bottom"/>
            <w:hideMark/>
          </w:tcPr>
          <w:p w:rsidR="00B92E02" w:rsidRPr="00C21706" w:rsidRDefault="00B92E02" w:rsidP="00B16127">
            <w:pPr>
              <w:rPr>
                <w:b/>
                <w:bCs/>
                <w:sz w:val="18"/>
              </w:rPr>
            </w:pPr>
            <w:r w:rsidRPr="00C21706">
              <w:rPr>
                <w:b/>
                <w:bCs/>
                <w:sz w:val="18"/>
              </w:rPr>
              <w:t>Pump Type</w:t>
            </w:r>
          </w:p>
        </w:tc>
        <w:tc>
          <w:tcPr>
            <w:tcW w:w="1954" w:type="dxa"/>
            <w:shd w:val="pct20" w:color="000000" w:fill="FFFFFF"/>
            <w:vAlign w:val="bottom"/>
            <w:hideMark/>
          </w:tcPr>
          <w:p w:rsidR="00B92E02" w:rsidRPr="00C21706" w:rsidRDefault="00B92E02" w:rsidP="00C21706">
            <w:pPr>
              <w:jc w:val="center"/>
              <w:rPr>
                <w:b/>
                <w:bCs/>
                <w:sz w:val="18"/>
              </w:rPr>
            </w:pPr>
            <w:r w:rsidRPr="00C21706">
              <w:rPr>
                <w:b/>
                <w:bCs/>
                <w:sz w:val="18"/>
              </w:rPr>
              <w:t>Average Annual Hours of Operation (AOH)</w:t>
            </w:r>
          </w:p>
        </w:tc>
        <w:tc>
          <w:tcPr>
            <w:tcW w:w="1467" w:type="dxa"/>
            <w:shd w:val="pct20" w:color="000000" w:fill="FFFFFF"/>
            <w:vAlign w:val="bottom"/>
            <w:hideMark/>
          </w:tcPr>
          <w:p w:rsidR="00B92E02" w:rsidRPr="00C21706" w:rsidRDefault="00B92E02" w:rsidP="00C21706">
            <w:pPr>
              <w:jc w:val="center"/>
              <w:rPr>
                <w:b/>
                <w:bCs/>
                <w:sz w:val="18"/>
              </w:rPr>
            </w:pPr>
            <w:r w:rsidRPr="00C21706">
              <w:rPr>
                <w:b/>
                <w:bCs/>
                <w:sz w:val="18"/>
              </w:rPr>
              <w:t xml:space="preserve">Average Pump Size  (Nominal Motor </w:t>
            </w:r>
            <w:proofErr w:type="spellStart"/>
            <w:r w:rsidRPr="00C21706">
              <w:rPr>
                <w:b/>
                <w:bCs/>
                <w:sz w:val="18"/>
              </w:rPr>
              <w:t>hp</w:t>
            </w:r>
            <w:proofErr w:type="spellEnd"/>
            <w:r w:rsidRPr="00C21706">
              <w:rPr>
                <w:b/>
                <w:bCs/>
                <w:sz w:val="18"/>
              </w:rPr>
              <w:t>)</w:t>
            </w:r>
          </w:p>
        </w:tc>
        <w:tc>
          <w:tcPr>
            <w:tcW w:w="1294" w:type="dxa"/>
            <w:shd w:val="pct20" w:color="000000" w:fill="FFFFFF"/>
            <w:vAlign w:val="bottom"/>
            <w:hideMark/>
          </w:tcPr>
          <w:p w:rsidR="00B92E02" w:rsidRPr="00C21706" w:rsidRDefault="00B92E02" w:rsidP="00C21706">
            <w:pPr>
              <w:jc w:val="center"/>
              <w:rPr>
                <w:b/>
                <w:bCs/>
                <w:sz w:val="18"/>
              </w:rPr>
            </w:pPr>
            <w:r w:rsidRPr="00C21706">
              <w:rPr>
                <w:b/>
                <w:bCs/>
                <w:sz w:val="18"/>
              </w:rPr>
              <w:t>Average Baseline OPE (%)</w:t>
            </w:r>
          </w:p>
        </w:tc>
        <w:tc>
          <w:tcPr>
            <w:tcW w:w="1294" w:type="dxa"/>
            <w:shd w:val="pct20" w:color="000000" w:fill="FFFFFF"/>
            <w:vAlign w:val="bottom"/>
            <w:hideMark/>
          </w:tcPr>
          <w:p w:rsidR="00B92E02" w:rsidRPr="00C21706" w:rsidRDefault="00B92E02" w:rsidP="00C21706">
            <w:pPr>
              <w:jc w:val="center"/>
              <w:rPr>
                <w:b/>
                <w:bCs/>
                <w:sz w:val="18"/>
              </w:rPr>
            </w:pPr>
            <w:r w:rsidRPr="00C21706">
              <w:rPr>
                <w:b/>
                <w:bCs/>
                <w:sz w:val="18"/>
              </w:rPr>
              <w:t>Average Proposed OPE (%)</w:t>
            </w:r>
          </w:p>
        </w:tc>
        <w:tc>
          <w:tcPr>
            <w:tcW w:w="1188" w:type="dxa"/>
            <w:shd w:val="pct20" w:color="000000" w:fill="FFFFFF"/>
            <w:vAlign w:val="bottom"/>
            <w:hideMark/>
          </w:tcPr>
          <w:p w:rsidR="00B92E02" w:rsidRPr="00C21706" w:rsidRDefault="00B92E02" w:rsidP="00C21706">
            <w:pPr>
              <w:jc w:val="center"/>
              <w:rPr>
                <w:b/>
                <w:bCs/>
                <w:sz w:val="18"/>
              </w:rPr>
            </w:pPr>
            <w:r w:rsidRPr="00C21706">
              <w:rPr>
                <w:b/>
                <w:bCs/>
                <w:sz w:val="18"/>
              </w:rPr>
              <w:t>Average Motor Loading</w:t>
            </w:r>
          </w:p>
        </w:tc>
      </w:tr>
      <w:tr w:rsidR="00E5399A" w:rsidRPr="00846D30" w:rsidTr="00AD7A0D">
        <w:trPr>
          <w:trHeight w:val="300"/>
          <w:jc w:val="center"/>
        </w:trPr>
        <w:tc>
          <w:tcPr>
            <w:tcW w:w="2081" w:type="dxa"/>
            <w:shd w:val="pct5" w:color="000000" w:fill="FFFFFF"/>
            <w:noWrap/>
            <w:vAlign w:val="center"/>
            <w:hideMark/>
          </w:tcPr>
          <w:p w:rsidR="00E5399A" w:rsidRPr="00D64B54" w:rsidRDefault="00E5399A" w:rsidP="0051455E">
            <w:pPr>
              <w:rPr>
                <w:sz w:val="18"/>
              </w:rPr>
            </w:pPr>
            <w:r w:rsidRPr="00D64B54">
              <w:rPr>
                <w:sz w:val="18"/>
              </w:rPr>
              <w:t>Centrifugal Booster</w:t>
            </w:r>
          </w:p>
        </w:tc>
        <w:tc>
          <w:tcPr>
            <w:tcW w:w="1954" w:type="dxa"/>
            <w:shd w:val="pct5" w:color="000000" w:fill="FFFFFF"/>
            <w:noWrap/>
            <w:vAlign w:val="center"/>
            <w:hideMark/>
          </w:tcPr>
          <w:p w:rsidR="00E5399A" w:rsidRPr="00C11C6D" w:rsidRDefault="00E5399A" w:rsidP="00BB6DB1">
            <w:pPr>
              <w:jc w:val="center"/>
              <w:rPr>
                <w:sz w:val="18"/>
                <w:szCs w:val="18"/>
              </w:rPr>
            </w:pPr>
            <w:r w:rsidRPr="00AD7A0D">
              <w:rPr>
                <w:sz w:val="18"/>
                <w:szCs w:val="18"/>
              </w:rPr>
              <w:t>1,783.9</w:t>
            </w:r>
          </w:p>
        </w:tc>
        <w:tc>
          <w:tcPr>
            <w:tcW w:w="1467" w:type="dxa"/>
            <w:shd w:val="pct5" w:color="000000" w:fill="FFFFFF"/>
            <w:noWrap/>
            <w:vAlign w:val="center"/>
            <w:hideMark/>
          </w:tcPr>
          <w:p w:rsidR="00E5399A" w:rsidRPr="00BB6DB1" w:rsidRDefault="00E5399A" w:rsidP="00C11C6D">
            <w:pPr>
              <w:jc w:val="center"/>
              <w:rPr>
                <w:sz w:val="18"/>
                <w:szCs w:val="18"/>
              </w:rPr>
            </w:pPr>
            <w:r w:rsidRPr="00AD7A0D">
              <w:rPr>
                <w:sz w:val="18"/>
                <w:szCs w:val="18"/>
              </w:rPr>
              <w:t>25.0</w:t>
            </w:r>
          </w:p>
        </w:tc>
        <w:tc>
          <w:tcPr>
            <w:tcW w:w="1294" w:type="dxa"/>
            <w:shd w:val="pct5" w:color="000000" w:fill="FFFFFF"/>
            <w:noWrap/>
            <w:vAlign w:val="center"/>
            <w:hideMark/>
          </w:tcPr>
          <w:p w:rsidR="00E5399A" w:rsidRPr="00C11C6D" w:rsidRDefault="00E5399A" w:rsidP="006C6627">
            <w:pPr>
              <w:jc w:val="center"/>
              <w:rPr>
                <w:sz w:val="18"/>
                <w:szCs w:val="18"/>
              </w:rPr>
            </w:pPr>
            <w:r w:rsidRPr="00AD7A0D">
              <w:rPr>
                <w:sz w:val="18"/>
                <w:szCs w:val="18"/>
              </w:rPr>
              <w:t>35.9%</w:t>
            </w:r>
          </w:p>
        </w:tc>
        <w:tc>
          <w:tcPr>
            <w:tcW w:w="1294" w:type="dxa"/>
            <w:shd w:val="pct5" w:color="000000" w:fill="FFFFFF"/>
            <w:noWrap/>
            <w:vAlign w:val="center"/>
            <w:hideMark/>
          </w:tcPr>
          <w:p w:rsidR="00E5399A" w:rsidRPr="00C11C6D" w:rsidRDefault="00E5399A">
            <w:pPr>
              <w:jc w:val="center"/>
              <w:rPr>
                <w:sz w:val="18"/>
                <w:szCs w:val="18"/>
              </w:rPr>
            </w:pPr>
            <w:r w:rsidRPr="00AD7A0D">
              <w:rPr>
                <w:sz w:val="18"/>
                <w:szCs w:val="18"/>
              </w:rPr>
              <w:t>60.4%</w:t>
            </w:r>
          </w:p>
        </w:tc>
        <w:tc>
          <w:tcPr>
            <w:tcW w:w="1188" w:type="dxa"/>
            <w:shd w:val="pct5" w:color="000000" w:fill="FFFFFF"/>
            <w:noWrap/>
            <w:vAlign w:val="center"/>
            <w:hideMark/>
          </w:tcPr>
          <w:p w:rsidR="00E5399A" w:rsidRPr="00C11C6D" w:rsidRDefault="00E5399A">
            <w:pPr>
              <w:jc w:val="center"/>
              <w:rPr>
                <w:sz w:val="18"/>
                <w:szCs w:val="18"/>
              </w:rPr>
            </w:pPr>
            <w:r w:rsidRPr="00AD7A0D">
              <w:rPr>
                <w:sz w:val="18"/>
                <w:szCs w:val="18"/>
              </w:rPr>
              <w:t>86%</w:t>
            </w:r>
          </w:p>
        </w:tc>
      </w:tr>
      <w:tr w:rsidR="004B05B2" w:rsidRPr="00B50D0A" w:rsidTr="00AD7A0D">
        <w:trPr>
          <w:trHeight w:val="300"/>
          <w:jc w:val="center"/>
        </w:trPr>
        <w:tc>
          <w:tcPr>
            <w:tcW w:w="2081" w:type="dxa"/>
            <w:shd w:val="pct20" w:color="000000" w:fill="FFFFFF"/>
            <w:noWrap/>
            <w:vAlign w:val="center"/>
          </w:tcPr>
          <w:p w:rsidR="004B05B2" w:rsidRPr="00D64B54" w:rsidRDefault="004B05B2" w:rsidP="0051455E">
            <w:pPr>
              <w:rPr>
                <w:sz w:val="18"/>
              </w:rPr>
            </w:pPr>
            <w:r w:rsidRPr="00D64B54">
              <w:rPr>
                <w:sz w:val="18"/>
              </w:rPr>
              <w:t>Submersible Booster</w:t>
            </w:r>
          </w:p>
        </w:tc>
        <w:tc>
          <w:tcPr>
            <w:tcW w:w="1954" w:type="dxa"/>
            <w:shd w:val="pct20" w:color="000000" w:fill="FFFFFF"/>
            <w:noWrap/>
            <w:vAlign w:val="center"/>
          </w:tcPr>
          <w:p w:rsidR="004B05B2" w:rsidRPr="006C6627" w:rsidRDefault="004B05B2" w:rsidP="00BB6DB1">
            <w:pPr>
              <w:jc w:val="center"/>
              <w:rPr>
                <w:sz w:val="18"/>
                <w:szCs w:val="18"/>
              </w:rPr>
            </w:pPr>
            <w:r w:rsidRPr="007A0BEC">
              <w:rPr>
                <w:sz w:val="18"/>
                <w:szCs w:val="18"/>
              </w:rPr>
              <w:t>1,405.3</w:t>
            </w:r>
          </w:p>
        </w:tc>
        <w:tc>
          <w:tcPr>
            <w:tcW w:w="1467" w:type="dxa"/>
            <w:shd w:val="pct20" w:color="000000" w:fill="FFFFFF"/>
            <w:noWrap/>
            <w:vAlign w:val="center"/>
          </w:tcPr>
          <w:p w:rsidR="004B05B2" w:rsidRPr="0045675E" w:rsidRDefault="004B05B2">
            <w:pPr>
              <w:jc w:val="center"/>
              <w:rPr>
                <w:sz w:val="18"/>
                <w:szCs w:val="18"/>
              </w:rPr>
            </w:pPr>
            <w:r w:rsidRPr="007A0BEC">
              <w:rPr>
                <w:sz w:val="18"/>
                <w:szCs w:val="18"/>
              </w:rPr>
              <w:t>25.0</w:t>
            </w:r>
          </w:p>
        </w:tc>
        <w:tc>
          <w:tcPr>
            <w:tcW w:w="1294" w:type="dxa"/>
            <w:shd w:val="pct20" w:color="000000" w:fill="FFFFFF"/>
            <w:noWrap/>
            <w:vAlign w:val="center"/>
          </w:tcPr>
          <w:p w:rsidR="004B05B2" w:rsidRPr="0045675E" w:rsidRDefault="004B05B2">
            <w:pPr>
              <w:jc w:val="center"/>
              <w:rPr>
                <w:sz w:val="18"/>
                <w:szCs w:val="18"/>
              </w:rPr>
            </w:pPr>
            <w:r w:rsidRPr="007A0BEC">
              <w:rPr>
                <w:sz w:val="18"/>
                <w:szCs w:val="18"/>
              </w:rPr>
              <w:t>45.8%</w:t>
            </w:r>
          </w:p>
        </w:tc>
        <w:tc>
          <w:tcPr>
            <w:tcW w:w="1294" w:type="dxa"/>
            <w:shd w:val="pct20" w:color="000000" w:fill="FFFFFF"/>
            <w:noWrap/>
            <w:vAlign w:val="center"/>
          </w:tcPr>
          <w:p w:rsidR="004B05B2" w:rsidRPr="0045675E" w:rsidRDefault="004B05B2">
            <w:pPr>
              <w:jc w:val="center"/>
              <w:rPr>
                <w:sz w:val="18"/>
                <w:szCs w:val="18"/>
              </w:rPr>
            </w:pPr>
            <w:r w:rsidRPr="007A0BEC">
              <w:rPr>
                <w:sz w:val="18"/>
                <w:szCs w:val="18"/>
              </w:rPr>
              <w:t>61.1%</w:t>
            </w:r>
          </w:p>
        </w:tc>
        <w:tc>
          <w:tcPr>
            <w:tcW w:w="1188" w:type="dxa"/>
            <w:shd w:val="pct20" w:color="000000" w:fill="FFFFFF"/>
            <w:noWrap/>
            <w:vAlign w:val="center"/>
          </w:tcPr>
          <w:p w:rsidR="004B05B2" w:rsidRPr="0045675E" w:rsidRDefault="004B05B2">
            <w:pPr>
              <w:jc w:val="center"/>
              <w:rPr>
                <w:sz w:val="18"/>
                <w:szCs w:val="18"/>
              </w:rPr>
            </w:pPr>
            <w:r w:rsidRPr="007A0BEC">
              <w:rPr>
                <w:sz w:val="18"/>
                <w:szCs w:val="18"/>
              </w:rPr>
              <w:t>100%</w:t>
            </w:r>
          </w:p>
        </w:tc>
      </w:tr>
      <w:tr w:rsidR="00E5399A" w:rsidRPr="00846D30" w:rsidTr="00AD7A0D">
        <w:trPr>
          <w:trHeight w:val="300"/>
          <w:jc w:val="center"/>
        </w:trPr>
        <w:tc>
          <w:tcPr>
            <w:tcW w:w="2081" w:type="dxa"/>
            <w:shd w:val="clear" w:color="auto" w:fill="F2F2F2" w:themeFill="background1" w:themeFillShade="F2"/>
            <w:noWrap/>
            <w:vAlign w:val="center"/>
            <w:hideMark/>
          </w:tcPr>
          <w:p w:rsidR="00E5399A" w:rsidRPr="00D64B54" w:rsidRDefault="00E5399A" w:rsidP="0051455E">
            <w:pPr>
              <w:rPr>
                <w:sz w:val="18"/>
              </w:rPr>
            </w:pPr>
            <w:r w:rsidRPr="00D64B54">
              <w:rPr>
                <w:sz w:val="18"/>
              </w:rPr>
              <w:t>Submersible Well</w:t>
            </w:r>
          </w:p>
        </w:tc>
        <w:tc>
          <w:tcPr>
            <w:tcW w:w="1954" w:type="dxa"/>
            <w:shd w:val="clear" w:color="auto" w:fill="F2F2F2" w:themeFill="background1" w:themeFillShade="F2"/>
            <w:noWrap/>
            <w:vAlign w:val="center"/>
            <w:hideMark/>
          </w:tcPr>
          <w:p w:rsidR="00E5399A" w:rsidRPr="00C11C6D" w:rsidRDefault="00E5399A" w:rsidP="00BB6DB1">
            <w:pPr>
              <w:jc w:val="center"/>
              <w:rPr>
                <w:sz w:val="18"/>
                <w:szCs w:val="18"/>
              </w:rPr>
            </w:pPr>
            <w:r w:rsidRPr="00AD7A0D">
              <w:rPr>
                <w:sz w:val="18"/>
                <w:szCs w:val="18"/>
              </w:rPr>
              <w:t>1,353.5</w:t>
            </w:r>
          </w:p>
        </w:tc>
        <w:tc>
          <w:tcPr>
            <w:tcW w:w="1467" w:type="dxa"/>
            <w:shd w:val="clear" w:color="auto" w:fill="F2F2F2" w:themeFill="background1" w:themeFillShade="F2"/>
            <w:noWrap/>
            <w:vAlign w:val="center"/>
            <w:hideMark/>
          </w:tcPr>
          <w:p w:rsidR="00E5399A" w:rsidRPr="00C11C6D" w:rsidRDefault="00E5399A" w:rsidP="00C11C6D">
            <w:pPr>
              <w:jc w:val="center"/>
              <w:rPr>
                <w:sz w:val="18"/>
                <w:szCs w:val="18"/>
              </w:rPr>
            </w:pPr>
            <w:r w:rsidRPr="00AD7A0D">
              <w:rPr>
                <w:sz w:val="18"/>
                <w:szCs w:val="18"/>
              </w:rPr>
              <w:t>23.1</w:t>
            </w:r>
          </w:p>
        </w:tc>
        <w:tc>
          <w:tcPr>
            <w:tcW w:w="1294" w:type="dxa"/>
            <w:shd w:val="clear" w:color="auto" w:fill="F2F2F2" w:themeFill="background1" w:themeFillShade="F2"/>
            <w:noWrap/>
            <w:vAlign w:val="center"/>
            <w:hideMark/>
          </w:tcPr>
          <w:p w:rsidR="00E5399A" w:rsidRPr="00C11C6D" w:rsidRDefault="00E5399A" w:rsidP="006C6627">
            <w:pPr>
              <w:jc w:val="center"/>
              <w:rPr>
                <w:sz w:val="18"/>
                <w:szCs w:val="18"/>
              </w:rPr>
            </w:pPr>
            <w:r w:rsidRPr="00AD7A0D">
              <w:rPr>
                <w:sz w:val="18"/>
                <w:szCs w:val="18"/>
              </w:rPr>
              <w:t>39.6%</w:t>
            </w:r>
          </w:p>
        </w:tc>
        <w:tc>
          <w:tcPr>
            <w:tcW w:w="1294" w:type="dxa"/>
            <w:shd w:val="clear" w:color="auto" w:fill="F2F2F2" w:themeFill="background1" w:themeFillShade="F2"/>
            <w:noWrap/>
            <w:vAlign w:val="center"/>
            <w:hideMark/>
          </w:tcPr>
          <w:p w:rsidR="00E5399A" w:rsidRPr="00C11C6D" w:rsidRDefault="00E5399A">
            <w:pPr>
              <w:jc w:val="center"/>
              <w:rPr>
                <w:sz w:val="18"/>
                <w:szCs w:val="18"/>
              </w:rPr>
            </w:pPr>
            <w:r w:rsidRPr="00AD7A0D">
              <w:rPr>
                <w:sz w:val="18"/>
                <w:szCs w:val="18"/>
              </w:rPr>
              <w:t>56.6%</w:t>
            </w:r>
          </w:p>
        </w:tc>
        <w:tc>
          <w:tcPr>
            <w:tcW w:w="1188" w:type="dxa"/>
            <w:shd w:val="clear" w:color="auto" w:fill="F2F2F2" w:themeFill="background1" w:themeFillShade="F2"/>
            <w:noWrap/>
            <w:vAlign w:val="center"/>
            <w:hideMark/>
          </w:tcPr>
          <w:p w:rsidR="00E5399A" w:rsidRPr="00C11C6D" w:rsidRDefault="00E5399A">
            <w:pPr>
              <w:jc w:val="center"/>
              <w:rPr>
                <w:sz w:val="18"/>
                <w:szCs w:val="18"/>
              </w:rPr>
            </w:pPr>
            <w:r w:rsidRPr="00AD7A0D">
              <w:rPr>
                <w:sz w:val="18"/>
                <w:szCs w:val="18"/>
              </w:rPr>
              <w:t>108%</w:t>
            </w:r>
          </w:p>
        </w:tc>
      </w:tr>
      <w:tr w:rsidR="00E5399A" w:rsidRPr="00846D30" w:rsidTr="00AD7A0D">
        <w:trPr>
          <w:trHeight w:val="300"/>
          <w:jc w:val="center"/>
        </w:trPr>
        <w:tc>
          <w:tcPr>
            <w:tcW w:w="2081" w:type="dxa"/>
            <w:shd w:val="clear" w:color="auto" w:fill="D9D9D9" w:themeFill="background1" w:themeFillShade="D9"/>
            <w:noWrap/>
            <w:vAlign w:val="center"/>
            <w:hideMark/>
          </w:tcPr>
          <w:p w:rsidR="00E5399A" w:rsidRPr="00C21706" w:rsidRDefault="00E5399A" w:rsidP="0051455E">
            <w:pPr>
              <w:rPr>
                <w:sz w:val="18"/>
              </w:rPr>
            </w:pPr>
            <w:r w:rsidRPr="00C21706">
              <w:rPr>
                <w:sz w:val="18"/>
              </w:rPr>
              <w:t>Turbine Well</w:t>
            </w:r>
          </w:p>
        </w:tc>
        <w:tc>
          <w:tcPr>
            <w:tcW w:w="1954" w:type="dxa"/>
            <w:shd w:val="clear" w:color="auto" w:fill="D9D9D9" w:themeFill="background1" w:themeFillShade="D9"/>
            <w:noWrap/>
            <w:vAlign w:val="center"/>
            <w:hideMark/>
          </w:tcPr>
          <w:p w:rsidR="00E5399A" w:rsidRPr="00C11C6D" w:rsidRDefault="00E5399A" w:rsidP="00BB6DB1">
            <w:pPr>
              <w:jc w:val="center"/>
              <w:rPr>
                <w:sz w:val="18"/>
                <w:szCs w:val="18"/>
              </w:rPr>
            </w:pPr>
            <w:r w:rsidRPr="00AD7A0D">
              <w:rPr>
                <w:sz w:val="18"/>
                <w:szCs w:val="18"/>
              </w:rPr>
              <w:t>1,436.2</w:t>
            </w:r>
          </w:p>
        </w:tc>
        <w:tc>
          <w:tcPr>
            <w:tcW w:w="1467" w:type="dxa"/>
            <w:shd w:val="clear" w:color="auto" w:fill="D9D9D9" w:themeFill="background1" w:themeFillShade="D9"/>
            <w:noWrap/>
            <w:vAlign w:val="center"/>
            <w:hideMark/>
          </w:tcPr>
          <w:p w:rsidR="00E5399A" w:rsidRPr="00C11C6D" w:rsidRDefault="00E5399A" w:rsidP="00C11C6D">
            <w:pPr>
              <w:jc w:val="center"/>
              <w:rPr>
                <w:sz w:val="18"/>
                <w:szCs w:val="18"/>
              </w:rPr>
            </w:pPr>
            <w:r w:rsidRPr="00AD7A0D">
              <w:rPr>
                <w:sz w:val="18"/>
                <w:szCs w:val="18"/>
              </w:rPr>
              <w:t>24.5</w:t>
            </w:r>
          </w:p>
        </w:tc>
        <w:tc>
          <w:tcPr>
            <w:tcW w:w="1294" w:type="dxa"/>
            <w:shd w:val="clear" w:color="auto" w:fill="D9D9D9" w:themeFill="background1" w:themeFillShade="D9"/>
            <w:noWrap/>
            <w:vAlign w:val="center"/>
            <w:hideMark/>
          </w:tcPr>
          <w:p w:rsidR="00E5399A" w:rsidRPr="00C11C6D" w:rsidRDefault="00E5399A" w:rsidP="006C6627">
            <w:pPr>
              <w:jc w:val="center"/>
              <w:rPr>
                <w:sz w:val="18"/>
                <w:szCs w:val="18"/>
              </w:rPr>
            </w:pPr>
            <w:r w:rsidRPr="00AD7A0D">
              <w:rPr>
                <w:sz w:val="18"/>
                <w:szCs w:val="18"/>
              </w:rPr>
              <w:t>46.8%</w:t>
            </w:r>
          </w:p>
        </w:tc>
        <w:tc>
          <w:tcPr>
            <w:tcW w:w="1294" w:type="dxa"/>
            <w:shd w:val="clear" w:color="auto" w:fill="D9D9D9" w:themeFill="background1" w:themeFillShade="D9"/>
            <w:noWrap/>
            <w:vAlign w:val="center"/>
            <w:hideMark/>
          </w:tcPr>
          <w:p w:rsidR="00E5399A" w:rsidRPr="00C11C6D" w:rsidRDefault="00E5399A">
            <w:pPr>
              <w:jc w:val="center"/>
              <w:rPr>
                <w:sz w:val="18"/>
                <w:szCs w:val="18"/>
              </w:rPr>
            </w:pPr>
            <w:r w:rsidRPr="00AD7A0D">
              <w:rPr>
                <w:sz w:val="18"/>
                <w:szCs w:val="18"/>
              </w:rPr>
              <w:t>61.0%</w:t>
            </w:r>
          </w:p>
        </w:tc>
        <w:tc>
          <w:tcPr>
            <w:tcW w:w="1188" w:type="dxa"/>
            <w:shd w:val="clear" w:color="auto" w:fill="D9D9D9" w:themeFill="background1" w:themeFillShade="D9"/>
            <w:noWrap/>
            <w:vAlign w:val="center"/>
            <w:hideMark/>
          </w:tcPr>
          <w:p w:rsidR="00E5399A" w:rsidRPr="00C11C6D" w:rsidRDefault="00E5399A">
            <w:pPr>
              <w:jc w:val="center"/>
              <w:rPr>
                <w:sz w:val="18"/>
                <w:szCs w:val="18"/>
              </w:rPr>
            </w:pPr>
            <w:r w:rsidRPr="00AD7A0D">
              <w:rPr>
                <w:sz w:val="18"/>
                <w:szCs w:val="18"/>
              </w:rPr>
              <w:t>112%</w:t>
            </w:r>
          </w:p>
        </w:tc>
      </w:tr>
      <w:tr w:rsidR="00E5399A" w:rsidRPr="00846D30" w:rsidTr="00AD7A0D">
        <w:trPr>
          <w:trHeight w:val="300"/>
          <w:jc w:val="center"/>
        </w:trPr>
        <w:tc>
          <w:tcPr>
            <w:tcW w:w="2081" w:type="dxa"/>
            <w:shd w:val="clear" w:color="auto" w:fill="F2F2F2" w:themeFill="background1" w:themeFillShade="F2"/>
            <w:noWrap/>
            <w:vAlign w:val="center"/>
            <w:hideMark/>
          </w:tcPr>
          <w:p w:rsidR="00E5399A" w:rsidRPr="00C21706" w:rsidRDefault="00E5399A" w:rsidP="0051455E">
            <w:pPr>
              <w:rPr>
                <w:sz w:val="18"/>
              </w:rPr>
            </w:pPr>
            <w:r w:rsidRPr="00C21706">
              <w:rPr>
                <w:sz w:val="18"/>
              </w:rPr>
              <w:t>Turbine Booster</w:t>
            </w:r>
          </w:p>
        </w:tc>
        <w:tc>
          <w:tcPr>
            <w:tcW w:w="1954" w:type="dxa"/>
            <w:shd w:val="clear" w:color="auto" w:fill="F2F2F2" w:themeFill="background1" w:themeFillShade="F2"/>
            <w:noWrap/>
            <w:vAlign w:val="center"/>
            <w:hideMark/>
          </w:tcPr>
          <w:p w:rsidR="00E5399A" w:rsidRPr="00C11C6D" w:rsidRDefault="00E5399A" w:rsidP="00BB6DB1">
            <w:pPr>
              <w:jc w:val="center"/>
              <w:rPr>
                <w:sz w:val="18"/>
                <w:szCs w:val="18"/>
              </w:rPr>
            </w:pPr>
            <w:r w:rsidRPr="00AD7A0D">
              <w:rPr>
                <w:sz w:val="18"/>
                <w:szCs w:val="18"/>
              </w:rPr>
              <w:t>1,405.3</w:t>
            </w:r>
          </w:p>
        </w:tc>
        <w:tc>
          <w:tcPr>
            <w:tcW w:w="1467" w:type="dxa"/>
            <w:shd w:val="clear" w:color="auto" w:fill="F2F2F2" w:themeFill="background1" w:themeFillShade="F2"/>
            <w:noWrap/>
            <w:vAlign w:val="center"/>
            <w:hideMark/>
          </w:tcPr>
          <w:p w:rsidR="00E5399A" w:rsidRPr="00C11C6D" w:rsidRDefault="00E5399A" w:rsidP="00C11C6D">
            <w:pPr>
              <w:jc w:val="center"/>
              <w:rPr>
                <w:sz w:val="18"/>
                <w:szCs w:val="18"/>
              </w:rPr>
            </w:pPr>
            <w:r w:rsidRPr="00AD7A0D">
              <w:rPr>
                <w:sz w:val="18"/>
                <w:szCs w:val="18"/>
              </w:rPr>
              <w:t>25.0</w:t>
            </w:r>
          </w:p>
        </w:tc>
        <w:tc>
          <w:tcPr>
            <w:tcW w:w="1294" w:type="dxa"/>
            <w:shd w:val="clear" w:color="auto" w:fill="F2F2F2" w:themeFill="background1" w:themeFillShade="F2"/>
            <w:noWrap/>
            <w:vAlign w:val="center"/>
            <w:hideMark/>
          </w:tcPr>
          <w:p w:rsidR="00E5399A" w:rsidRPr="00C11C6D" w:rsidRDefault="00E5399A" w:rsidP="006C6627">
            <w:pPr>
              <w:jc w:val="center"/>
              <w:rPr>
                <w:sz w:val="18"/>
                <w:szCs w:val="18"/>
              </w:rPr>
            </w:pPr>
            <w:r w:rsidRPr="00AD7A0D">
              <w:rPr>
                <w:sz w:val="18"/>
                <w:szCs w:val="18"/>
              </w:rPr>
              <w:t>45.8%</w:t>
            </w:r>
          </w:p>
        </w:tc>
        <w:tc>
          <w:tcPr>
            <w:tcW w:w="1294" w:type="dxa"/>
            <w:shd w:val="clear" w:color="auto" w:fill="F2F2F2" w:themeFill="background1" w:themeFillShade="F2"/>
            <w:noWrap/>
            <w:vAlign w:val="center"/>
            <w:hideMark/>
          </w:tcPr>
          <w:p w:rsidR="00E5399A" w:rsidRPr="00C11C6D" w:rsidRDefault="00E5399A">
            <w:pPr>
              <w:jc w:val="center"/>
              <w:rPr>
                <w:sz w:val="18"/>
                <w:szCs w:val="18"/>
              </w:rPr>
            </w:pPr>
            <w:r w:rsidRPr="00AD7A0D">
              <w:rPr>
                <w:sz w:val="18"/>
                <w:szCs w:val="18"/>
              </w:rPr>
              <w:t>61.1%</w:t>
            </w:r>
          </w:p>
        </w:tc>
        <w:tc>
          <w:tcPr>
            <w:tcW w:w="1188" w:type="dxa"/>
            <w:shd w:val="clear" w:color="auto" w:fill="F2F2F2" w:themeFill="background1" w:themeFillShade="F2"/>
            <w:noWrap/>
            <w:vAlign w:val="center"/>
            <w:hideMark/>
          </w:tcPr>
          <w:p w:rsidR="00E5399A" w:rsidRPr="00C11C6D" w:rsidRDefault="00E5399A">
            <w:pPr>
              <w:jc w:val="center"/>
              <w:rPr>
                <w:sz w:val="18"/>
                <w:szCs w:val="18"/>
              </w:rPr>
            </w:pPr>
            <w:r w:rsidRPr="00AD7A0D">
              <w:rPr>
                <w:sz w:val="18"/>
                <w:szCs w:val="18"/>
              </w:rPr>
              <w:t>100%</w:t>
            </w:r>
          </w:p>
        </w:tc>
      </w:tr>
    </w:tbl>
    <w:p w:rsidR="00B92E02" w:rsidRDefault="00B92E02" w:rsidP="00E35EAA"/>
    <w:p w:rsidR="00B16127" w:rsidRDefault="00B16127" w:rsidP="00B92E02">
      <w:pPr>
        <w:rPr>
          <w:rFonts w:ascii="Calibri" w:hAnsi="Calibri" w:cs="Calibri"/>
          <w:sz w:val="22"/>
          <w:szCs w:val="22"/>
        </w:rPr>
      </w:pPr>
    </w:p>
    <w:p w:rsidR="00B92E02" w:rsidRDefault="00B92E02" w:rsidP="00B92E02">
      <w:pPr>
        <w:rPr>
          <w:rFonts w:ascii="Calibri" w:hAnsi="Calibri" w:cs="Calibri"/>
          <w:sz w:val="22"/>
          <w:szCs w:val="22"/>
        </w:rPr>
      </w:pPr>
      <w:r w:rsidRPr="00B92E02">
        <w:rPr>
          <w:rFonts w:ascii="Calibri" w:hAnsi="Calibri" w:cs="Calibri"/>
          <w:sz w:val="22"/>
          <w:szCs w:val="22"/>
        </w:rPr>
        <w:t>Equation 1</w:t>
      </w:r>
    </w:p>
    <w:p w:rsidR="00DE16C6" w:rsidRPr="00B92E02" w:rsidRDefault="00DE16C6" w:rsidP="00B92E02">
      <w:pPr>
        <w:rPr>
          <w:rFonts w:ascii="Calibri" w:hAnsi="Calibri" w:cs="Calibri"/>
          <w:sz w:val="22"/>
          <w:szCs w:val="22"/>
        </w:rPr>
      </w:pPr>
    </w:p>
    <w:p w:rsidR="00B92E02" w:rsidRPr="00700B46" w:rsidRDefault="00700B46" w:rsidP="00B92E02">
      <w:pPr>
        <w:jc w:val="center"/>
        <w:rPr>
          <w:rFonts w:ascii="Calibri" w:hAnsi="Calibri" w:cs="Calibri"/>
        </w:rPr>
      </w:pPr>
      <m:oMathPara>
        <m:oMath>
          <m:r>
            <m:rPr>
              <m:sty m:val="p"/>
            </m:rPr>
            <w:rPr>
              <w:rFonts w:ascii="Cambria Math" w:hAnsi="Cambria Math" w:cs="Calibri"/>
            </w:rPr>
            <m:t xml:space="preserve">kWh Savings=Avg. Pump Size </m:t>
          </m:r>
          <m:d>
            <m:dPr>
              <m:ctrlPr>
                <w:rPr>
                  <w:rFonts w:ascii="Cambria Math" w:hAnsi="Cambria Math" w:cs="Calibri"/>
                </w:rPr>
              </m:ctrlPr>
            </m:dPr>
            <m:e>
              <m:r>
                <m:rPr>
                  <m:sty m:val="p"/>
                </m:rPr>
                <w:rPr>
                  <w:rFonts w:ascii="Cambria Math" w:hAnsi="Cambria Math" w:cs="Calibri"/>
                </w:rPr>
                <m:t>hp</m:t>
              </m:r>
            </m:e>
          </m:d>
          <m:r>
            <m:rPr>
              <m:sty m:val="p"/>
            </m:rPr>
            <w:rPr>
              <w:rFonts w:ascii="Cambria Math" w:hAnsi="Cambria Math" w:cs="Calibri"/>
            </w:rPr>
            <m:t>x 0.746</m:t>
          </m:r>
          <m:f>
            <m:fPr>
              <m:ctrlPr>
                <w:rPr>
                  <w:rFonts w:ascii="Cambria Math" w:hAnsi="Cambria Math" w:cs="Calibri"/>
                </w:rPr>
              </m:ctrlPr>
            </m:fPr>
            <m:num>
              <m:r>
                <m:rPr>
                  <m:sty m:val="p"/>
                </m:rPr>
                <w:rPr>
                  <w:rFonts w:ascii="Cambria Math" w:hAnsi="Cambria Math" w:cs="Calibri"/>
                </w:rPr>
                <m:t>kW</m:t>
              </m:r>
            </m:num>
            <m:den>
              <m:r>
                <m:rPr>
                  <m:sty m:val="p"/>
                </m:rPr>
                <w:rPr>
                  <w:rFonts w:ascii="Cambria Math" w:hAnsi="Cambria Math" w:cs="Calibri"/>
                </w:rPr>
                <m:t>hp</m:t>
              </m:r>
            </m:den>
          </m:f>
          <m:r>
            <m:rPr>
              <m:sty m:val="p"/>
            </m:rPr>
            <w:rPr>
              <w:rFonts w:ascii="Cambria Math" w:hAnsi="Cambria Math" w:cs="Calibri"/>
            </w:rPr>
            <m:t xml:space="preserve"> x Avg. Motor Loading x Avg. AOH x </m:t>
          </m:r>
          <m:d>
            <m:dPr>
              <m:ctrlPr>
                <w:rPr>
                  <w:rFonts w:ascii="Cambria Math" w:hAnsi="Cambria Math" w:cs="Calibri"/>
                </w:rPr>
              </m:ctrlPr>
            </m:dPr>
            <m:e>
              <m:r>
                <m:rPr>
                  <m:sty m:val="p"/>
                </m:rPr>
                <w:rPr>
                  <w:rFonts w:ascii="Cambria Math" w:hAnsi="Cambria Math" w:cs="Calibri"/>
                </w:rPr>
                <m:t>1-</m:t>
              </m:r>
              <m:f>
                <m:fPr>
                  <m:ctrlPr>
                    <w:rPr>
                      <w:rFonts w:ascii="Cambria Math" w:hAnsi="Cambria Math" w:cs="Calibri"/>
                    </w:rPr>
                  </m:ctrlPr>
                </m:fPr>
                <m:num>
                  <m:sSub>
                    <m:sSubPr>
                      <m:ctrlPr>
                        <w:rPr>
                          <w:rFonts w:ascii="Cambria Math" w:hAnsi="Cambria Math" w:cs="Calibri"/>
                        </w:rPr>
                      </m:ctrlPr>
                    </m:sSubPr>
                    <m:e>
                      <m:r>
                        <m:rPr>
                          <m:sty m:val="p"/>
                        </m:rPr>
                        <w:rPr>
                          <w:rFonts w:ascii="Cambria Math" w:hAnsi="Cambria Math" w:cs="Calibri"/>
                        </w:rPr>
                        <m:t>OPE</m:t>
                      </m:r>
                    </m:e>
                    <m:sub>
                      <m:r>
                        <m:rPr>
                          <m:sty m:val="p"/>
                        </m:rPr>
                        <w:rPr>
                          <w:rFonts w:ascii="Cambria Math" w:hAnsi="Cambria Math" w:cs="Calibri"/>
                        </w:rPr>
                        <m:t>Base</m:t>
                      </m:r>
                    </m:sub>
                  </m:sSub>
                </m:num>
                <m:den>
                  <m:sSub>
                    <m:sSubPr>
                      <m:ctrlPr>
                        <w:rPr>
                          <w:rFonts w:ascii="Cambria Math" w:hAnsi="Cambria Math" w:cs="Calibri"/>
                        </w:rPr>
                      </m:ctrlPr>
                    </m:sSubPr>
                    <m:e>
                      <m:r>
                        <m:rPr>
                          <m:sty m:val="p"/>
                        </m:rPr>
                        <w:rPr>
                          <w:rFonts w:ascii="Cambria Math" w:hAnsi="Cambria Math" w:cs="Calibri"/>
                        </w:rPr>
                        <m:t>OPE</m:t>
                      </m:r>
                    </m:e>
                    <m:sub>
                      <m:r>
                        <m:rPr>
                          <m:sty m:val="p"/>
                        </m:rPr>
                        <w:rPr>
                          <w:rFonts w:ascii="Cambria Math" w:hAnsi="Cambria Math" w:cs="Calibri"/>
                        </w:rPr>
                        <m:t>Post</m:t>
                      </m:r>
                    </m:sub>
                  </m:sSub>
                </m:den>
              </m:f>
            </m:e>
          </m:d>
          <m:r>
            <m:rPr>
              <m:sty m:val="p"/>
            </m:rPr>
            <w:rPr>
              <w:rFonts w:ascii="Cambria Math" w:hAnsi="Cambria Math" w:cs="Calibri"/>
            </w:rPr>
            <m:t xml:space="preserve">/ </m:t>
          </m:r>
          <m:sSub>
            <m:sSubPr>
              <m:ctrlPr>
                <w:rPr>
                  <w:rFonts w:ascii="Cambria Math" w:hAnsi="Cambria Math" w:cs="Calibri"/>
                  <w:i/>
                </w:rPr>
              </m:ctrlPr>
            </m:sSubPr>
            <m:e>
              <m:r>
                <w:rPr>
                  <w:rFonts w:ascii="Cambria Math" w:hAnsi="Cambria Math" w:cs="Calibri"/>
                </w:rPr>
                <m:t>η</m:t>
              </m:r>
            </m:e>
            <m:sub>
              <m:r>
                <w:rPr>
                  <w:rFonts w:ascii="Cambria Math" w:hAnsi="Cambria Math" w:cs="Calibri"/>
                </w:rPr>
                <m:t>motor</m:t>
              </m:r>
            </m:sub>
          </m:sSub>
          <m:r>
            <m:rPr>
              <m:sty m:val="p"/>
            </m:rPr>
            <w:rPr>
              <w:rFonts w:ascii="Cambria Math" w:hAnsi="Cambria Math" w:cs="Calibri"/>
            </w:rPr>
            <m:t xml:space="preserve"> </m:t>
          </m:r>
        </m:oMath>
      </m:oMathPara>
    </w:p>
    <w:p w:rsidR="00B92E02" w:rsidRDefault="00B92E02" w:rsidP="00B92E02">
      <w:pPr>
        <w:jc w:val="center"/>
        <w:rPr>
          <w:rFonts w:ascii="Calibri" w:hAnsi="Calibri" w:cs="Calibri"/>
        </w:rPr>
      </w:pPr>
    </w:p>
    <w:p w:rsidR="00B16127" w:rsidRDefault="00B16127" w:rsidP="006321F6">
      <w:pPr>
        <w:rPr>
          <w:rFonts w:ascii="Calibri" w:hAnsi="Calibri" w:cs="Calibri"/>
          <w:sz w:val="22"/>
          <w:szCs w:val="22"/>
        </w:rPr>
      </w:pPr>
    </w:p>
    <w:p w:rsidR="006321F6" w:rsidRPr="006321F6" w:rsidRDefault="006321F6" w:rsidP="006321F6">
      <w:pPr>
        <w:rPr>
          <w:rFonts w:ascii="Calibri" w:hAnsi="Calibri" w:cs="Calibri"/>
          <w:sz w:val="22"/>
          <w:szCs w:val="22"/>
        </w:rPr>
      </w:pPr>
      <w:r w:rsidRPr="006321F6">
        <w:rPr>
          <w:rFonts w:ascii="Calibri" w:hAnsi="Calibri" w:cs="Calibri"/>
          <w:sz w:val="22"/>
          <w:szCs w:val="22"/>
        </w:rPr>
        <w:lastRenderedPageBreak/>
        <w:t xml:space="preserve">Equation </w:t>
      </w:r>
      <w:r>
        <w:rPr>
          <w:rFonts w:ascii="Calibri" w:hAnsi="Calibri" w:cs="Calibri"/>
          <w:sz w:val="22"/>
          <w:szCs w:val="22"/>
        </w:rPr>
        <w:t>2</w:t>
      </w:r>
    </w:p>
    <w:p w:rsidR="006321F6" w:rsidRPr="006321F6" w:rsidRDefault="006321F6" w:rsidP="006321F6">
      <w:pPr>
        <w:rPr>
          <w:rFonts w:ascii="Calibri" w:hAnsi="Calibri" w:cs="Calibri"/>
        </w:rPr>
      </w:pPr>
    </w:p>
    <w:p w:rsidR="006321F6" w:rsidRPr="00ED7B54" w:rsidRDefault="00ED7B54" w:rsidP="006321F6">
      <w:pPr>
        <w:jc w:val="center"/>
        <w:rPr>
          <w:rFonts w:ascii="Calibri" w:hAnsi="Calibri" w:cs="Calibri"/>
        </w:rPr>
      </w:pPr>
      <m:oMathPara>
        <m:oMath>
          <m:r>
            <w:rPr>
              <w:rFonts w:ascii="Cambria Math" w:hAnsi="Cambria Math" w:cs="Calibri"/>
            </w:rPr>
            <m:t xml:space="preserve">Gross Unit Annual Electricity Savings </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kWh</m:t>
                  </m:r>
                </m:num>
                <m:den>
                  <m:r>
                    <w:rPr>
                      <w:rFonts w:ascii="Cambria Math" w:hAnsi="Cambria Math" w:cs="Calibri"/>
                    </w:rPr>
                    <m:t>unit</m:t>
                  </m:r>
                </m:den>
              </m:f>
            </m:e>
          </m:d>
          <m:r>
            <w:rPr>
              <w:rFonts w:ascii="Cambria Math" w:hAnsi="Cambria Math" w:cs="Calibri"/>
            </w:rPr>
            <m:t>=</m:t>
          </m:r>
          <m:f>
            <m:fPr>
              <m:ctrlPr>
                <w:rPr>
                  <w:rFonts w:ascii="Cambria Math" w:hAnsi="Cambria Math" w:cs="Calibri"/>
                  <w:i/>
                </w:rPr>
              </m:ctrlPr>
            </m:fPr>
            <m:num>
              <m:r>
                <w:rPr>
                  <w:rFonts w:ascii="Cambria Math" w:hAnsi="Cambria Math" w:cs="Calibri"/>
                </w:rPr>
                <m:t>kWh Savings</m:t>
              </m:r>
            </m:num>
            <m:den>
              <m:r>
                <w:rPr>
                  <w:rFonts w:ascii="Cambria Math" w:hAnsi="Cambria Math" w:cs="Calibri"/>
                </w:rPr>
                <m:t>Avg. Pump Size</m:t>
              </m:r>
            </m:den>
          </m:f>
        </m:oMath>
      </m:oMathPara>
    </w:p>
    <w:p w:rsidR="006321F6" w:rsidRPr="00B92E02" w:rsidRDefault="006321F6" w:rsidP="00B92E02">
      <w:pPr>
        <w:jc w:val="center"/>
        <w:rPr>
          <w:rFonts w:ascii="Calibri" w:hAnsi="Calibri" w:cs="Calibri"/>
        </w:rPr>
      </w:pPr>
    </w:p>
    <w:p w:rsidR="00C069A2" w:rsidRPr="00314FE6" w:rsidRDefault="00B16127" w:rsidP="00B16127">
      <w:pPr>
        <w:pStyle w:val="Heading2"/>
      </w:pPr>
      <w:bookmarkStart w:id="28" w:name="_Toc392780012"/>
      <w:r>
        <w:t xml:space="preserve">2.2 </w:t>
      </w:r>
      <w:r w:rsidR="0030550A" w:rsidRPr="00314FE6">
        <w:t>Demand R</w:t>
      </w:r>
      <w:r w:rsidR="00C069A2" w:rsidRPr="00314FE6">
        <w:t>eduction Estimation Methodologies</w:t>
      </w:r>
      <w:bookmarkEnd w:id="28"/>
    </w:p>
    <w:p w:rsidR="006321F6" w:rsidRDefault="00333F6D" w:rsidP="00E35EAA">
      <w:r>
        <w:t>Demand reduction for this meas</w:t>
      </w:r>
      <w:r w:rsidRPr="00071A4E">
        <w:t xml:space="preserve">ure is based on PG&amp;E’s Advanced Pumping Efficiency Program </w:t>
      </w:r>
      <w:r w:rsidR="00990879" w:rsidRPr="00071A4E">
        <w:t xml:space="preserve">(APEP) </w:t>
      </w:r>
      <w:r w:rsidRPr="00071A4E">
        <w:t xml:space="preserve">demand reduction methodology </w:t>
      </w:r>
      <w:r w:rsidR="00AB542C">
        <w:t xml:space="preserve">as presented in </w:t>
      </w:r>
      <w:r w:rsidR="00071A4E" w:rsidRPr="00071A4E">
        <w:t>A</w:t>
      </w:r>
      <w:r w:rsidRPr="00071A4E">
        <w:t xml:space="preserve">ttachment </w:t>
      </w:r>
      <w:r w:rsidR="00071A4E" w:rsidRPr="00071A4E">
        <w:t>C</w:t>
      </w:r>
      <w:r w:rsidRPr="00071A4E">
        <w:t xml:space="preserve">.  </w:t>
      </w:r>
      <w:r w:rsidR="00990879" w:rsidRPr="00071A4E">
        <w:t>AP</w:t>
      </w:r>
      <w:r w:rsidR="00990879">
        <w:t>EP’s methodology is based on billing data analysis</w:t>
      </w:r>
      <w:r w:rsidR="00AA3F5C">
        <w:t xml:space="preserve"> for pump customers </w:t>
      </w:r>
      <w:r w:rsidR="00AB542C">
        <w:t>for a period of one</w:t>
      </w:r>
      <w:r w:rsidR="00AA3F5C">
        <w:t xml:space="preserve"> year with the </w:t>
      </w:r>
      <w:r w:rsidR="006321F6">
        <w:t>formulation shown below</w:t>
      </w:r>
      <w:r w:rsidR="00DC684C" w:rsidRPr="00A644BE">
        <w:t>.</w:t>
      </w:r>
    </w:p>
    <w:p w:rsidR="006321F6" w:rsidRDefault="006321F6" w:rsidP="00E35EAA"/>
    <w:p w:rsidR="009E2063" w:rsidRDefault="00DC684C" w:rsidP="009E2063">
      <w:r w:rsidRPr="00A644BE">
        <w:t xml:space="preserve"> </w:t>
      </w:r>
      <w:r w:rsidR="006321F6" w:rsidRPr="006321F6">
        <w:t xml:space="preserve">Equation </w:t>
      </w:r>
      <w:r w:rsidR="006321F6">
        <w:t>3</w:t>
      </w:r>
    </w:p>
    <w:p w:rsidR="009E2063" w:rsidRDefault="009E2063" w:rsidP="009E2063"/>
    <w:p w:rsidR="006321F6" w:rsidRPr="009E2063" w:rsidRDefault="00ED7B54" w:rsidP="009E2063">
      <w:pPr>
        <w:ind w:left="720" w:firstLine="720"/>
      </w:pPr>
      <m:oMathPara>
        <m:oMathParaPr>
          <m:jc m:val="left"/>
        </m:oMathParaPr>
        <m:oMath>
          <m:r>
            <w:rPr>
              <w:rFonts w:ascii="Cambria Math" w:hAnsi="Cambria Math" w:cs="Calibri"/>
            </w:rPr>
            <m:t>kW Savings=γ×</m:t>
          </m:r>
          <m:d>
            <m:dPr>
              <m:ctrlPr>
                <w:rPr>
                  <w:rFonts w:ascii="Cambria Math" w:hAnsi="Cambria Math" w:cs="Calibri"/>
                  <w:i/>
                </w:rPr>
              </m:ctrlPr>
            </m:dPr>
            <m:e>
              <m:r>
                <w:rPr>
                  <w:rFonts w:ascii="Cambria Math" w:hAnsi="Cambria Math" w:cs="Calibri"/>
                </w:rPr>
                <m:t xml:space="preserve">% </m:t>
              </m:r>
              <m:sSub>
                <m:sSubPr>
                  <m:ctrlPr>
                    <w:rPr>
                      <w:rFonts w:ascii="Cambria Math" w:hAnsi="Cambria Math" w:cs="Calibri"/>
                      <w:i/>
                    </w:rPr>
                  </m:ctrlPr>
                </m:sSubPr>
                <m:e>
                  <m:r>
                    <w:rPr>
                      <w:rFonts w:ascii="Cambria Math" w:hAnsi="Cambria Math" w:cs="Calibri"/>
                    </w:rPr>
                    <m:t>kWh</m:t>
                  </m:r>
                </m:e>
                <m:sub>
                  <m:r>
                    <w:rPr>
                      <w:rFonts w:ascii="Cambria Math" w:hAnsi="Cambria Math" w:cs="Calibri"/>
                    </w:rPr>
                    <m:t>saved</m:t>
                  </m:r>
                </m:sub>
              </m:sSub>
            </m:e>
          </m:d>
          <m:r>
            <w:rPr>
              <w:rFonts w:ascii="Cambria Math" w:hAnsi="Cambria Math" w:cs="Calibri"/>
            </w:rPr>
            <m:t>×</m:t>
          </m:r>
          <m:sSub>
            <m:sSubPr>
              <m:ctrlPr>
                <w:rPr>
                  <w:rFonts w:ascii="Cambria Math" w:hAnsi="Cambria Math" w:cs="Calibri"/>
                  <w:i/>
                </w:rPr>
              </m:ctrlPr>
            </m:sSubPr>
            <m:e>
              <m:r>
                <w:rPr>
                  <w:rFonts w:ascii="Cambria Math" w:hAnsi="Cambria Math" w:cs="Calibri"/>
                </w:rPr>
                <m:t>kW</m:t>
              </m:r>
            </m:e>
            <m:sub>
              <m:r>
                <w:rPr>
                  <w:rFonts w:ascii="Cambria Math" w:hAnsi="Cambria Math" w:cs="Calibri"/>
                </w:rPr>
                <m:t>Pump</m:t>
              </m:r>
            </m:sub>
          </m:sSub>
          <m:r>
            <w:rPr>
              <w:rFonts w:ascii="Cambria Math" w:hAnsi="Cambria Math" w:cs="Calibri"/>
            </w:rPr>
            <m:t xml:space="preserve"> </m:t>
          </m:r>
        </m:oMath>
      </m:oMathPara>
    </w:p>
    <w:p w:rsidR="00DC684C" w:rsidRDefault="00DC684C" w:rsidP="00E35EAA"/>
    <w:p w:rsidR="006321F6" w:rsidRDefault="009E2063" w:rsidP="00E35EAA">
      <w:r>
        <w:t>Where,</w:t>
      </w:r>
    </w:p>
    <w:p w:rsidR="009E2063" w:rsidRDefault="009E2063" w:rsidP="00E35EAA"/>
    <w:p w:rsidR="00990879" w:rsidRDefault="009E2063" w:rsidP="00E35EAA">
      <w:r>
        <w:tab/>
      </w:r>
      <w:r>
        <w:rPr>
          <w:rFonts w:ascii="Cambria Math" w:hAnsi="Cambria Math"/>
        </w:rPr>
        <w:t>𝛾</w:t>
      </w:r>
      <w:r>
        <w:t xml:space="preserve"> =</w:t>
      </w:r>
      <w:r>
        <w:tab/>
      </w:r>
      <w:r w:rsidR="00990879">
        <w:t xml:space="preserve">ratio of average Peak power draw to average Off Peak power draw (analysis of billing </w:t>
      </w:r>
    </w:p>
    <w:p w:rsidR="009E2063" w:rsidRDefault="00990879" w:rsidP="00990879">
      <w:pPr>
        <w:ind w:left="1440"/>
      </w:pPr>
      <w:proofErr w:type="gramStart"/>
      <w:r>
        <w:t>data</w:t>
      </w:r>
      <w:proofErr w:type="gramEnd"/>
      <w:r>
        <w:t xml:space="preserve"> for pump customers), function of percent pump improvement according to Figure 1 below.</w:t>
      </w:r>
    </w:p>
    <w:p w:rsidR="00990879" w:rsidRDefault="00990879" w:rsidP="00990879">
      <w:pPr>
        <w:ind w:left="1440"/>
      </w:pPr>
    </w:p>
    <w:p w:rsidR="00990879" w:rsidRDefault="00990879" w:rsidP="00990879">
      <w:pPr>
        <w:ind w:left="1440"/>
      </w:pPr>
    </w:p>
    <w:p w:rsidR="00990879" w:rsidRDefault="00990879" w:rsidP="00990879">
      <w:pPr>
        <w:ind w:left="1440"/>
        <w:jc w:val="center"/>
      </w:pPr>
      <w:r>
        <w:rPr>
          <w:noProof/>
        </w:rPr>
        <w:drawing>
          <wp:inline distT="0" distB="0" distL="0" distR="0" wp14:anchorId="2AE0B5C2" wp14:editId="09A99CC3">
            <wp:extent cx="4097547" cy="2912888"/>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04716" cy="2917984"/>
                    </a:xfrm>
                    <a:prstGeom prst="rect">
                      <a:avLst/>
                    </a:prstGeom>
                    <a:noFill/>
                  </pic:spPr>
                </pic:pic>
              </a:graphicData>
            </a:graphic>
          </wp:inline>
        </w:drawing>
      </w:r>
    </w:p>
    <w:p w:rsidR="00990879" w:rsidRDefault="00990879" w:rsidP="00990879">
      <w:pPr>
        <w:ind w:left="1440"/>
        <w:jc w:val="center"/>
      </w:pPr>
    </w:p>
    <w:p w:rsidR="00990879" w:rsidRDefault="00990879" w:rsidP="00990879">
      <w:pPr>
        <w:ind w:left="1440"/>
        <w:jc w:val="center"/>
      </w:pPr>
      <w:r w:rsidRPr="00990879">
        <w:rPr>
          <w:b/>
        </w:rPr>
        <w:t>Figure 1</w:t>
      </w:r>
      <w:r>
        <w:t xml:space="preserve"> </w:t>
      </w:r>
      <w:r w:rsidR="00AA3F5C">
        <w:t>–</w:t>
      </w:r>
      <w:r>
        <w:t xml:space="preserve"> </w:t>
      </w:r>
      <w:r w:rsidR="00AA3F5C">
        <w:t>Overhauled Pump Impr</w:t>
      </w:r>
      <w:r w:rsidR="00AA3F5C" w:rsidRPr="00071A4E">
        <w:t xml:space="preserve">ovement Percentage </w:t>
      </w:r>
      <w:proofErr w:type="gramStart"/>
      <w:r w:rsidR="00AA3F5C" w:rsidRPr="00071A4E">
        <w:t>Versus</w:t>
      </w:r>
      <w:proofErr w:type="gramEnd"/>
      <w:r w:rsidR="00AA3F5C" w:rsidRPr="00071A4E">
        <w:t xml:space="preserve"> Peak Demand Reduction (Attachment </w:t>
      </w:r>
      <w:r w:rsidR="00071A4E" w:rsidRPr="00071A4E">
        <w:t>C</w:t>
      </w:r>
      <w:r w:rsidR="00AA3F5C" w:rsidRPr="00071A4E">
        <w:t>)</w:t>
      </w:r>
    </w:p>
    <w:p w:rsidR="00990879" w:rsidRDefault="00990879" w:rsidP="00990879">
      <w:pPr>
        <w:ind w:left="1440"/>
        <w:jc w:val="center"/>
      </w:pPr>
    </w:p>
    <w:p w:rsidR="00990879" w:rsidRDefault="00990879" w:rsidP="00990879">
      <w:pPr>
        <w:ind w:left="1440"/>
        <w:jc w:val="center"/>
      </w:pPr>
    </w:p>
    <w:p w:rsidR="002A1F3E" w:rsidRDefault="002A1F3E" w:rsidP="00990879">
      <w:pPr>
        <w:ind w:left="1440"/>
        <w:jc w:val="center"/>
      </w:pPr>
    </w:p>
    <w:p w:rsidR="002A1F3E" w:rsidRDefault="002A1F3E" w:rsidP="00990879">
      <w:pPr>
        <w:ind w:left="1440"/>
        <w:jc w:val="center"/>
      </w:pPr>
    </w:p>
    <w:p w:rsidR="002A1F3E" w:rsidRDefault="002A1F3E" w:rsidP="00990879">
      <w:pPr>
        <w:ind w:left="1440"/>
        <w:jc w:val="center"/>
      </w:pPr>
    </w:p>
    <w:p w:rsidR="002A1F3E" w:rsidRDefault="002A1F3E" w:rsidP="00990879">
      <w:pPr>
        <w:ind w:left="1440"/>
        <w:jc w:val="center"/>
      </w:pPr>
    </w:p>
    <w:p w:rsidR="002A1F3E" w:rsidRDefault="002A1F3E" w:rsidP="00990879">
      <w:pPr>
        <w:ind w:left="1440"/>
        <w:jc w:val="center"/>
      </w:pPr>
    </w:p>
    <w:p w:rsidR="002A1F3E" w:rsidRDefault="002A1F3E" w:rsidP="00990879">
      <w:pPr>
        <w:ind w:left="1440"/>
        <w:jc w:val="center"/>
      </w:pPr>
    </w:p>
    <w:p w:rsidR="006321F6" w:rsidRPr="006321F6" w:rsidRDefault="006321F6" w:rsidP="006321F6">
      <w:pPr>
        <w:pStyle w:val="Caption"/>
        <w:jc w:val="center"/>
        <w:rPr>
          <w:rFonts w:ascii="Calibri" w:hAnsi="Calibri" w:cs="Calibri"/>
          <w:sz w:val="22"/>
          <w:szCs w:val="22"/>
        </w:rPr>
      </w:pPr>
      <w:r w:rsidRPr="006321F6">
        <w:rPr>
          <w:rFonts w:ascii="Calibri" w:hAnsi="Calibri" w:cs="Calibri"/>
          <w:sz w:val="22"/>
          <w:szCs w:val="22"/>
        </w:rPr>
        <w:t xml:space="preserve">Table </w:t>
      </w:r>
      <w:r w:rsidR="0051455E">
        <w:rPr>
          <w:rFonts w:ascii="Calibri" w:hAnsi="Calibri" w:cs="Calibri"/>
          <w:sz w:val="22"/>
          <w:szCs w:val="22"/>
        </w:rPr>
        <w:t>8</w:t>
      </w:r>
      <w:r w:rsidRPr="006321F6">
        <w:rPr>
          <w:rFonts w:ascii="Calibri" w:hAnsi="Calibri" w:cs="Calibri"/>
          <w:sz w:val="22"/>
          <w:szCs w:val="22"/>
        </w:rPr>
        <w:t xml:space="preserve"> Average Savings per Pump Type</w:t>
      </w:r>
      <w:r>
        <w:rPr>
          <w:rFonts w:ascii="Calibri" w:hAnsi="Calibri" w:cs="Calibri"/>
          <w:sz w:val="22"/>
          <w:szCs w:val="22"/>
        </w:rPr>
        <w:t xml:space="preserve"> for CZ </w:t>
      </w:r>
      <w:r w:rsidR="009D3B0A">
        <w:rPr>
          <w:rFonts w:ascii="Calibri" w:hAnsi="Calibri" w:cs="Calibri"/>
          <w:sz w:val="22"/>
          <w:szCs w:val="22"/>
        </w:rPr>
        <w:t>13</w:t>
      </w:r>
    </w:p>
    <w:tbl>
      <w:tblPr>
        <w:tblW w:w="8916" w:type="dxa"/>
        <w:jc w:val="center"/>
        <w:tblBorders>
          <w:insideH w:val="single" w:sz="18" w:space="0" w:color="FFFFFF"/>
          <w:insideV w:val="single" w:sz="18" w:space="0" w:color="FFFFFF"/>
        </w:tblBorders>
        <w:tblLook w:val="04A0" w:firstRow="1" w:lastRow="0" w:firstColumn="1" w:lastColumn="0" w:noHBand="0" w:noVBand="1"/>
      </w:tblPr>
      <w:tblGrid>
        <w:gridCol w:w="2946"/>
        <w:gridCol w:w="1998"/>
        <w:gridCol w:w="1468"/>
        <w:gridCol w:w="1144"/>
        <w:gridCol w:w="1360"/>
      </w:tblGrid>
      <w:tr w:rsidR="00AA3F5C" w:rsidRPr="009D3B0A" w:rsidTr="00AD7A0D">
        <w:trPr>
          <w:trHeight w:val="563"/>
          <w:jc w:val="center"/>
        </w:trPr>
        <w:tc>
          <w:tcPr>
            <w:tcW w:w="2946" w:type="dxa"/>
            <w:shd w:val="pct20" w:color="000000" w:fill="FFFFFF"/>
            <w:noWrap/>
            <w:vAlign w:val="bottom"/>
            <w:hideMark/>
          </w:tcPr>
          <w:p w:rsidR="00AA3F5C" w:rsidRPr="00BB6DB1" w:rsidRDefault="00AA3F5C" w:rsidP="0051455E">
            <w:pPr>
              <w:rPr>
                <w:rFonts w:ascii="Calibri" w:hAnsi="Calibri" w:cs="Calibri"/>
                <w:b/>
                <w:bCs/>
                <w:color w:val="000000"/>
                <w:sz w:val="22"/>
                <w:szCs w:val="22"/>
              </w:rPr>
            </w:pPr>
            <w:r w:rsidRPr="00BB6DB1">
              <w:rPr>
                <w:rFonts w:ascii="Calibri" w:hAnsi="Calibri" w:cs="Calibri"/>
                <w:b/>
                <w:bCs/>
                <w:color w:val="000000"/>
                <w:sz w:val="22"/>
                <w:szCs w:val="22"/>
              </w:rPr>
              <w:lastRenderedPageBreak/>
              <w:t>Pump Type</w:t>
            </w:r>
          </w:p>
        </w:tc>
        <w:tc>
          <w:tcPr>
            <w:tcW w:w="1998" w:type="dxa"/>
            <w:shd w:val="pct20" w:color="000000" w:fill="FFFFFF"/>
            <w:vAlign w:val="bottom"/>
            <w:hideMark/>
          </w:tcPr>
          <w:p w:rsidR="00AA3F5C" w:rsidRPr="009D3B0A" w:rsidRDefault="00AA3F5C" w:rsidP="00AA3F5C">
            <w:pPr>
              <w:jc w:val="center"/>
              <w:rPr>
                <w:rFonts w:ascii="Calibri" w:hAnsi="Calibri" w:cs="Calibri"/>
                <w:b/>
                <w:bCs/>
                <w:color w:val="000000"/>
                <w:sz w:val="22"/>
                <w:szCs w:val="22"/>
              </w:rPr>
            </w:pPr>
            <w:r w:rsidRPr="009D3B0A">
              <w:rPr>
                <w:rFonts w:ascii="Calibri" w:hAnsi="Calibri" w:cs="Calibri"/>
                <w:b/>
                <w:bCs/>
                <w:color w:val="000000"/>
                <w:sz w:val="22"/>
                <w:szCs w:val="22"/>
              </w:rPr>
              <w:t>kWh Savings (kWh/</w:t>
            </w:r>
            <w:proofErr w:type="spellStart"/>
            <w:r w:rsidRPr="009D3B0A">
              <w:rPr>
                <w:rFonts w:ascii="Calibri" w:hAnsi="Calibri" w:cs="Calibri"/>
                <w:b/>
                <w:bCs/>
                <w:color w:val="000000"/>
                <w:sz w:val="22"/>
                <w:szCs w:val="22"/>
              </w:rPr>
              <w:t>yr</w:t>
            </w:r>
            <w:proofErr w:type="spellEnd"/>
            <w:r w:rsidRPr="009D3B0A">
              <w:rPr>
                <w:rFonts w:ascii="Calibri" w:hAnsi="Calibri" w:cs="Calibri"/>
                <w:b/>
                <w:bCs/>
                <w:color w:val="000000"/>
                <w:sz w:val="22"/>
                <w:szCs w:val="22"/>
              </w:rPr>
              <w:t>)</w:t>
            </w:r>
          </w:p>
        </w:tc>
        <w:tc>
          <w:tcPr>
            <w:tcW w:w="1468" w:type="dxa"/>
            <w:shd w:val="pct20" w:color="000000" w:fill="FFFFFF"/>
            <w:vAlign w:val="bottom"/>
          </w:tcPr>
          <w:p w:rsidR="00AA3F5C" w:rsidRDefault="009D3B0A" w:rsidP="00AA3F5C">
            <w:pPr>
              <w:jc w:val="center"/>
              <w:rPr>
                <w:rFonts w:ascii="Calibri" w:hAnsi="Calibri" w:cs="Calibri"/>
                <w:b/>
                <w:bCs/>
                <w:color w:val="000000"/>
                <w:sz w:val="22"/>
                <w:szCs w:val="22"/>
              </w:rPr>
            </w:pPr>
            <w:r>
              <w:rPr>
                <w:rFonts w:ascii="Calibri" w:hAnsi="Calibri" w:cs="Calibri"/>
                <w:b/>
                <w:bCs/>
                <w:color w:val="000000"/>
                <w:sz w:val="22"/>
                <w:szCs w:val="22"/>
              </w:rPr>
              <w:t>Pump Improvement</w:t>
            </w:r>
          </w:p>
          <w:p w:rsidR="009D3B0A" w:rsidRPr="00BB6DB1" w:rsidRDefault="009D3B0A" w:rsidP="00AA3F5C">
            <w:pPr>
              <w:jc w:val="center"/>
              <w:rPr>
                <w:rFonts w:ascii="Calibri" w:hAnsi="Calibri" w:cs="Calibri"/>
                <w:b/>
                <w:bCs/>
                <w:color w:val="000000"/>
                <w:sz w:val="22"/>
                <w:szCs w:val="22"/>
              </w:rPr>
            </w:pPr>
            <w:r>
              <w:rPr>
                <w:rFonts w:ascii="Calibri" w:hAnsi="Calibri" w:cs="Calibri"/>
                <w:b/>
                <w:bCs/>
                <w:color w:val="000000"/>
                <w:sz w:val="22"/>
                <w:szCs w:val="22"/>
              </w:rPr>
              <w:t>%</w:t>
            </w:r>
          </w:p>
        </w:tc>
        <w:tc>
          <w:tcPr>
            <w:tcW w:w="1144" w:type="dxa"/>
            <w:shd w:val="pct20" w:color="000000" w:fill="FFFFFF"/>
            <w:vAlign w:val="bottom"/>
          </w:tcPr>
          <w:p w:rsidR="00AA3F5C" w:rsidRPr="009D3B0A" w:rsidRDefault="00AA3F5C" w:rsidP="00AA3F5C">
            <w:pPr>
              <w:jc w:val="center"/>
              <w:rPr>
                <w:rFonts w:ascii="Cambria Math" w:hAnsi="Cambria Math" w:cs="Calibri"/>
                <w:b/>
                <w:bCs/>
                <w:color w:val="000000"/>
                <w:sz w:val="22"/>
                <w:szCs w:val="22"/>
              </w:rPr>
            </w:pPr>
            <w:r w:rsidRPr="009D3B0A">
              <w:rPr>
                <w:rFonts w:ascii="Cambria Math" w:hAnsi="Cambria Math" w:cs="Calibri"/>
                <w:b/>
                <w:bCs/>
                <w:color w:val="000000"/>
                <w:sz w:val="22"/>
                <w:szCs w:val="22"/>
              </w:rPr>
              <w:t>𝛾</w:t>
            </w:r>
          </w:p>
          <w:p w:rsidR="00AA3F5C" w:rsidRPr="009D3B0A" w:rsidRDefault="00AA3F5C" w:rsidP="00AA3F5C">
            <w:pPr>
              <w:jc w:val="center"/>
              <w:rPr>
                <w:rFonts w:ascii="Calibri" w:hAnsi="Calibri" w:cs="Calibri"/>
                <w:b/>
                <w:bCs/>
                <w:color w:val="000000"/>
                <w:sz w:val="22"/>
                <w:szCs w:val="22"/>
              </w:rPr>
            </w:pPr>
          </w:p>
        </w:tc>
        <w:tc>
          <w:tcPr>
            <w:tcW w:w="1360" w:type="dxa"/>
            <w:shd w:val="pct20" w:color="000000" w:fill="FFFFFF"/>
            <w:vAlign w:val="bottom"/>
            <w:hideMark/>
          </w:tcPr>
          <w:p w:rsidR="00AA3F5C" w:rsidRPr="009D3B0A" w:rsidRDefault="00AA3F5C" w:rsidP="00AA3F5C">
            <w:pPr>
              <w:jc w:val="center"/>
              <w:rPr>
                <w:rFonts w:ascii="Calibri" w:hAnsi="Calibri" w:cs="Calibri"/>
                <w:b/>
                <w:bCs/>
                <w:color w:val="000000"/>
                <w:sz w:val="22"/>
                <w:szCs w:val="22"/>
              </w:rPr>
            </w:pPr>
            <w:r w:rsidRPr="009D3B0A">
              <w:rPr>
                <w:rFonts w:ascii="Calibri" w:hAnsi="Calibri" w:cs="Calibri"/>
                <w:b/>
                <w:bCs/>
                <w:color w:val="000000"/>
                <w:sz w:val="22"/>
                <w:szCs w:val="22"/>
              </w:rPr>
              <w:t>kW Savings</w:t>
            </w:r>
          </w:p>
        </w:tc>
      </w:tr>
      <w:tr w:rsidR="00F73305" w:rsidRPr="009D3B0A" w:rsidTr="00AD7A0D">
        <w:trPr>
          <w:trHeight w:val="313"/>
          <w:jc w:val="center"/>
        </w:trPr>
        <w:tc>
          <w:tcPr>
            <w:tcW w:w="2946" w:type="dxa"/>
            <w:shd w:val="pct5" w:color="000000" w:fill="FFFFFF"/>
            <w:noWrap/>
            <w:vAlign w:val="center"/>
            <w:hideMark/>
          </w:tcPr>
          <w:p w:rsidR="00F73305" w:rsidRPr="00AD7A0D" w:rsidRDefault="00F73305" w:rsidP="0051455E">
            <w:pPr>
              <w:rPr>
                <w:rFonts w:asciiTheme="minorHAnsi" w:hAnsiTheme="minorHAnsi" w:cstheme="minorHAnsi"/>
                <w:color w:val="000000"/>
                <w:sz w:val="22"/>
              </w:rPr>
            </w:pPr>
            <w:r w:rsidRPr="00AD7A0D">
              <w:rPr>
                <w:rFonts w:asciiTheme="minorHAnsi" w:hAnsiTheme="minorHAnsi" w:cstheme="minorHAnsi"/>
                <w:color w:val="000000"/>
                <w:sz w:val="22"/>
              </w:rPr>
              <w:t>Centrifugal Booster</w:t>
            </w:r>
          </w:p>
        </w:tc>
        <w:tc>
          <w:tcPr>
            <w:tcW w:w="1998" w:type="dxa"/>
            <w:shd w:val="pct5" w:color="000000" w:fill="FFFFFF"/>
            <w:noWrap/>
            <w:vAlign w:val="bottom"/>
            <w:hideMark/>
          </w:tcPr>
          <w:p w:rsidR="00F73305" w:rsidRPr="00AD7A0D" w:rsidRDefault="00F73305" w:rsidP="0051455E">
            <w:pPr>
              <w:jc w:val="center"/>
              <w:rPr>
                <w:rFonts w:asciiTheme="minorHAnsi" w:hAnsiTheme="minorHAnsi" w:cstheme="minorHAnsi"/>
                <w:sz w:val="22"/>
              </w:rPr>
            </w:pPr>
            <w:r>
              <w:rPr>
                <w:rFonts w:ascii="Calibri" w:hAnsi="Calibri" w:cs="Calibri"/>
                <w:color w:val="000000"/>
                <w:sz w:val="22"/>
                <w:szCs w:val="22"/>
              </w:rPr>
              <w:t>13,173.50</w:t>
            </w:r>
          </w:p>
        </w:tc>
        <w:tc>
          <w:tcPr>
            <w:tcW w:w="1468" w:type="dxa"/>
            <w:shd w:val="pct5"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24.5%</w:t>
            </w:r>
          </w:p>
        </w:tc>
        <w:tc>
          <w:tcPr>
            <w:tcW w:w="1144" w:type="dxa"/>
            <w:shd w:val="pct5"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37.6%</w:t>
            </w:r>
          </w:p>
        </w:tc>
        <w:tc>
          <w:tcPr>
            <w:tcW w:w="1360" w:type="dxa"/>
            <w:shd w:val="pct5" w:color="000000" w:fill="FFFFFF"/>
            <w:noWrap/>
            <w:vAlign w:val="bottom"/>
            <w:hideMark/>
          </w:tcPr>
          <w:p w:rsidR="00F73305" w:rsidRPr="00AD7A0D" w:rsidRDefault="00F73305" w:rsidP="00990879">
            <w:pPr>
              <w:jc w:val="center"/>
              <w:rPr>
                <w:rFonts w:asciiTheme="minorHAnsi" w:hAnsiTheme="minorHAnsi" w:cstheme="minorHAnsi"/>
                <w:sz w:val="22"/>
              </w:rPr>
            </w:pPr>
            <w:r>
              <w:rPr>
                <w:rFonts w:ascii="Calibri" w:hAnsi="Calibri" w:cs="Calibri"/>
                <w:color w:val="000000"/>
                <w:sz w:val="22"/>
                <w:szCs w:val="22"/>
              </w:rPr>
              <w:t>2.78</w:t>
            </w:r>
          </w:p>
        </w:tc>
      </w:tr>
      <w:tr w:rsidR="00F73305" w:rsidRPr="009D3B0A" w:rsidTr="00AD7A0D">
        <w:trPr>
          <w:trHeight w:val="313"/>
          <w:jc w:val="center"/>
        </w:trPr>
        <w:tc>
          <w:tcPr>
            <w:tcW w:w="2946" w:type="dxa"/>
            <w:shd w:val="pct20" w:color="000000" w:fill="FFFFFF"/>
            <w:noWrap/>
            <w:vAlign w:val="center"/>
            <w:hideMark/>
          </w:tcPr>
          <w:p w:rsidR="00F73305" w:rsidRPr="00AD7A0D" w:rsidRDefault="00F73305" w:rsidP="0051455E">
            <w:pPr>
              <w:rPr>
                <w:rFonts w:asciiTheme="minorHAnsi" w:hAnsiTheme="minorHAnsi" w:cstheme="minorHAnsi"/>
                <w:color w:val="000000"/>
                <w:sz w:val="22"/>
              </w:rPr>
            </w:pPr>
            <w:r w:rsidRPr="00AD7A0D">
              <w:rPr>
                <w:rFonts w:asciiTheme="minorHAnsi" w:hAnsiTheme="minorHAnsi" w:cstheme="minorHAnsi"/>
                <w:color w:val="000000"/>
                <w:sz w:val="22"/>
              </w:rPr>
              <w:t>Submersible Booster</w:t>
            </w:r>
          </w:p>
        </w:tc>
        <w:tc>
          <w:tcPr>
            <w:tcW w:w="1998" w:type="dxa"/>
            <w:shd w:val="pct20" w:color="000000" w:fill="FFFFFF"/>
            <w:noWrap/>
            <w:vAlign w:val="bottom"/>
          </w:tcPr>
          <w:p w:rsidR="00F73305" w:rsidRPr="00AD7A0D" w:rsidRDefault="00F73305" w:rsidP="0051455E">
            <w:pPr>
              <w:jc w:val="center"/>
              <w:rPr>
                <w:rFonts w:asciiTheme="minorHAnsi" w:hAnsiTheme="minorHAnsi" w:cstheme="minorHAnsi"/>
                <w:sz w:val="22"/>
              </w:rPr>
            </w:pPr>
            <w:r>
              <w:rPr>
                <w:rFonts w:ascii="Calibri" w:hAnsi="Calibri" w:cs="Calibri"/>
                <w:color w:val="000000"/>
                <w:sz w:val="22"/>
                <w:szCs w:val="22"/>
              </w:rPr>
              <w:t>13,173.50</w:t>
            </w:r>
          </w:p>
        </w:tc>
        <w:tc>
          <w:tcPr>
            <w:tcW w:w="1468" w:type="dxa"/>
            <w:shd w:val="pct20"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24.5%</w:t>
            </w:r>
          </w:p>
        </w:tc>
        <w:tc>
          <w:tcPr>
            <w:tcW w:w="1144" w:type="dxa"/>
            <w:shd w:val="pct20"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37.6%</w:t>
            </w:r>
          </w:p>
        </w:tc>
        <w:tc>
          <w:tcPr>
            <w:tcW w:w="1360" w:type="dxa"/>
            <w:shd w:val="pct20" w:color="000000" w:fill="FFFFFF"/>
            <w:noWrap/>
            <w:vAlign w:val="bottom"/>
          </w:tcPr>
          <w:p w:rsidR="00F73305" w:rsidRPr="00AD7A0D" w:rsidRDefault="00F73305" w:rsidP="00990879">
            <w:pPr>
              <w:jc w:val="center"/>
              <w:rPr>
                <w:rFonts w:asciiTheme="minorHAnsi" w:hAnsiTheme="minorHAnsi" w:cstheme="minorHAnsi"/>
                <w:sz w:val="22"/>
              </w:rPr>
            </w:pPr>
            <w:r>
              <w:rPr>
                <w:rFonts w:ascii="Calibri" w:hAnsi="Calibri" w:cs="Calibri"/>
                <w:color w:val="000000"/>
                <w:sz w:val="22"/>
                <w:szCs w:val="22"/>
              </w:rPr>
              <w:t>2.78</w:t>
            </w:r>
          </w:p>
        </w:tc>
      </w:tr>
      <w:tr w:rsidR="00F73305" w:rsidRPr="009D3B0A" w:rsidTr="00AD7A0D">
        <w:trPr>
          <w:trHeight w:val="313"/>
          <w:jc w:val="center"/>
        </w:trPr>
        <w:tc>
          <w:tcPr>
            <w:tcW w:w="2946" w:type="dxa"/>
            <w:shd w:val="pct5" w:color="000000" w:fill="FFFFFF"/>
            <w:noWrap/>
            <w:vAlign w:val="center"/>
            <w:hideMark/>
          </w:tcPr>
          <w:p w:rsidR="00F73305" w:rsidRPr="00AD7A0D" w:rsidRDefault="00F73305" w:rsidP="0051455E">
            <w:pPr>
              <w:rPr>
                <w:rFonts w:asciiTheme="minorHAnsi" w:hAnsiTheme="minorHAnsi" w:cstheme="minorHAnsi"/>
                <w:color w:val="000000"/>
                <w:sz w:val="22"/>
              </w:rPr>
            </w:pPr>
            <w:r w:rsidRPr="00AD7A0D">
              <w:rPr>
                <w:rFonts w:asciiTheme="minorHAnsi" w:hAnsiTheme="minorHAnsi" w:cstheme="minorHAnsi"/>
                <w:color w:val="000000"/>
                <w:sz w:val="22"/>
              </w:rPr>
              <w:t>Submersible Well</w:t>
            </w:r>
          </w:p>
        </w:tc>
        <w:tc>
          <w:tcPr>
            <w:tcW w:w="1998" w:type="dxa"/>
            <w:shd w:val="pct5" w:color="000000" w:fill="FFFFFF"/>
            <w:noWrap/>
            <w:vAlign w:val="bottom"/>
          </w:tcPr>
          <w:p w:rsidR="00F73305" w:rsidRPr="00AD7A0D" w:rsidRDefault="00F73305" w:rsidP="0051455E">
            <w:pPr>
              <w:jc w:val="center"/>
              <w:rPr>
                <w:rFonts w:asciiTheme="minorHAnsi" w:hAnsiTheme="minorHAnsi" w:cstheme="minorHAnsi"/>
                <w:sz w:val="22"/>
              </w:rPr>
            </w:pPr>
            <w:r>
              <w:rPr>
                <w:rFonts w:ascii="Calibri" w:hAnsi="Calibri" w:cs="Calibri"/>
                <w:color w:val="000000"/>
                <w:sz w:val="22"/>
                <w:szCs w:val="22"/>
              </w:rPr>
              <w:t>8,985.73</w:t>
            </w:r>
          </w:p>
        </w:tc>
        <w:tc>
          <w:tcPr>
            <w:tcW w:w="1468" w:type="dxa"/>
            <w:shd w:val="pct5"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17.0%</w:t>
            </w:r>
          </w:p>
        </w:tc>
        <w:tc>
          <w:tcPr>
            <w:tcW w:w="1144" w:type="dxa"/>
            <w:shd w:val="pct5"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34.5%</w:t>
            </w:r>
          </w:p>
        </w:tc>
        <w:tc>
          <w:tcPr>
            <w:tcW w:w="1360" w:type="dxa"/>
            <w:shd w:val="pct5" w:color="000000" w:fill="FFFFFF"/>
            <w:noWrap/>
            <w:vAlign w:val="bottom"/>
          </w:tcPr>
          <w:p w:rsidR="00F73305" w:rsidRPr="00AD7A0D" w:rsidRDefault="00F73305" w:rsidP="00990879">
            <w:pPr>
              <w:jc w:val="center"/>
              <w:rPr>
                <w:rFonts w:asciiTheme="minorHAnsi" w:hAnsiTheme="minorHAnsi" w:cstheme="minorHAnsi"/>
                <w:sz w:val="22"/>
              </w:rPr>
            </w:pPr>
            <w:r>
              <w:rPr>
                <w:rFonts w:ascii="Calibri" w:hAnsi="Calibri" w:cs="Calibri"/>
                <w:color w:val="000000"/>
                <w:sz w:val="22"/>
                <w:szCs w:val="22"/>
              </w:rPr>
              <w:t>2.29</w:t>
            </w:r>
          </w:p>
        </w:tc>
      </w:tr>
      <w:tr w:rsidR="00F73305" w:rsidRPr="009D3B0A" w:rsidTr="00AD7A0D">
        <w:trPr>
          <w:trHeight w:val="313"/>
          <w:jc w:val="center"/>
        </w:trPr>
        <w:tc>
          <w:tcPr>
            <w:tcW w:w="2946" w:type="dxa"/>
            <w:shd w:val="pct20" w:color="000000" w:fill="FFFFFF"/>
            <w:noWrap/>
            <w:vAlign w:val="center"/>
            <w:hideMark/>
          </w:tcPr>
          <w:p w:rsidR="00F73305" w:rsidRPr="00AD7A0D" w:rsidRDefault="00F73305" w:rsidP="0051455E">
            <w:pPr>
              <w:rPr>
                <w:rFonts w:asciiTheme="minorHAnsi" w:hAnsiTheme="minorHAnsi" w:cstheme="minorHAnsi"/>
                <w:color w:val="000000"/>
                <w:sz w:val="22"/>
              </w:rPr>
            </w:pPr>
            <w:r w:rsidRPr="00AD7A0D">
              <w:rPr>
                <w:rFonts w:asciiTheme="minorHAnsi" w:hAnsiTheme="minorHAnsi" w:cstheme="minorHAnsi"/>
                <w:color w:val="000000"/>
                <w:sz w:val="22"/>
              </w:rPr>
              <w:t>Turbine Well</w:t>
            </w:r>
          </w:p>
        </w:tc>
        <w:tc>
          <w:tcPr>
            <w:tcW w:w="1998" w:type="dxa"/>
            <w:shd w:val="pct20" w:color="000000" w:fill="FFFFFF"/>
            <w:noWrap/>
            <w:vAlign w:val="bottom"/>
            <w:hideMark/>
          </w:tcPr>
          <w:p w:rsidR="00F73305" w:rsidRPr="00AD7A0D" w:rsidRDefault="00F73305" w:rsidP="0051455E">
            <w:pPr>
              <w:jc w:val="center"/>
              <w:rPr>
                <w:rFonts w:asciiTheme="minorHAnsi" w:hAnsiTheme="minorHAnsi" w:cstheme="minorHAnsi"/>
                <w:sz w:val="22"/>
              </w:rPr>
            </w:pPr>
            <w:r>
              <w:rPr>
                <w:rFonts w:ascii="Calibri" w:hAnsi="Calibri" w:cs="Calibri"/>
                <w:color w:val="000000"/>
                <w:sz w:val="22"/>
                <w:szCs w:val="22"/>
              </w:rPr>
              <w:t>7,672.40</w:t>
            </w:r>
          </w:p>
        </w:tc>
        <w:tc>
          <w:tcPr>
            <w:tcW w:w="1468" w:type="dxa"/>
            <w:shd w:val="pct20"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14.2%</w:t>
            </w:r>
          </w:p>
        </w:tc>
        <w:tc>
          <w:tcPr>
            <w:tcW w:w="1144" w:type="dxa"/>
            <w:shd w:val="pct20"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32.9%</w:t>
            </w:r>
          </w:p>
        </w:tc>
        <w:tc>
          <w:tcPr>
            <w:tcW w:w="1360" w:type="dxa"/>
            <w:shd w:val="pct20" w:color="000000" w:fill="FFFFFF"/>
            <w:noWrap/>
            <w:vAlign w:val="bottom"/>
            <w:hideMark/>
          </w:tcPr>
          <w:p w:rsidR="00F73305" w:rsidRPr="00AD7A0D" w:rsidRDefault="00F73305" w:rsidP="00990879">
            <w:pPr>
              <w:jc w:val="center"/>
              <w:rPr>
                <w:rFonts w:asciiTheme="minorHAnsi" w:hAnsiTheme="minorHAnsi" w:cstheme="minorHAnsi"/>
                <w:sz w:val="22"/>
              </w:rPr>
            </w:pPr>
            <w:r>
              <w:rPr>
                <w:rFonts w:ascii="Calibri" w:hAnsi="Calibri" w:cs="Calibri"/>
                <w:color w:val="000000"/>
                <w:sz w:val="22"/>
                <w:szCs w:val="22"/>
              </w:rPr>
              <w:t>1.76</w:t>
            </w:r>
          </w:p>
        </w:tc>
      </w:tr>
      <w:tr w:rsidR="00F73305" w:rsidRPr="009D3B0A" w:rsidTr="00AD7A0D">
        <w:trPr>
          <w:trHeight w:val="313"/>
          <w:jc w:val="center"/>
        </w:trPr>
        <w:tc>
          <w:tcPr>
            <w:tcW w:w="2946" w:type="dxa"/>
            <w:shd w:val="pct5" w:color="000000" w:fill="FFFFFF"/>
            <w:noWrap/>
            <w:vAlign w:val="center"/>
            <w:hideMark/>
          </w:tcPr>
          <w:p w:rsidR="00F73305" w:rsidRPr="00AD7A0D" w:rsidRDefault="00F73305" w:rsidP="0051455E">
            <w:pPr>
              <w:rPr>
                <w:rFonts w:asciiTheme="minorHAnsi" w:hAnsiTheme="minorHAnsi" w:cstheme="minorHAnsi"/>
                <w:color w:val="000000"/>
                <w:sz w:val="22"/>
              </w:rPr>
            </w:pPr>
            <w:r w:rsidRPr="00AD7A0D">
              <w:rPr>
                <w:rFonts w:asciiTheme="minorHAnsi" w:hAnsiTheme="minorHAnsi" w:cstheme="minorHAnsi"/>
                <w:color w:val="000000"/>
                <w:sz w:val="22"/>
              </w:rPr>
              <w:t>Turbine Booster</w:t>
            </w:r>
          </w:p>
        </w:tc>
        <w:tc>
          <w:tcPr>
            <w:tcW w:w="1998" w:type="dxa"/>
            <w:shd w:val="pct5" w:color="000000" w:fill="FFFFFF"/>
            <w:noWrap/>
            <w:vAlign w:val="bottom"/>
            <w:hideMark/>
          </w:tcPr>
          <w:p w:rsidR="00F73305" w:rsidRPr="00AD7A0D" w:rsidRDefault="00F73305" w:rsidP="0051455E">
            <w:pPr>
              <w:jc w:val="center"/>
              <w:rPr>
                <w:rFonts w:asciiTheme="minorHAnsi" w:hAnsiTheme="minorHAnsi" w:cstheme="minorHAnsi"/>
                <w:sz w:val="22"/>
              </w:rPr>
            </w:pPr>
            <w:r>
              <w:rPr>
                <w:rFonts w:ascii="Calibri" w:hAnsi="Calibri" w:cs="Calibri"/>
                <w:color w:val="000000"/>
                <w:sz w:val="22"/>
                <w:szCs w:val="22"/>
              </w:rPr>
              <w:t>7,374.08</w:t>
            </w:r>
          </w:p>
        </w:tc>
        <w:tc>
          <w:tcPr>
            <w:tcW w:w="1468" w:type="dxa"/>
            <w:shd w:val="pct5"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15.3%</w:t>
            </w:r>
          </w:p>
        </w:tc>
        <w:tc>
          <w:tcPr>
            <w:tcW w:w="1144" w:type="dxa"/>
            <w:shd w:val="pct5"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33.6%</w:t>
            </w:r>
          </w:p>
        </w:tc>
        <w:tc>
          <w:tcPr>
            <w:tcW w:w="1360" w:type="dxa"/>
            <w:shd w:val="pct5" w:color="000000" w:fill="FFFFFF"/>
            <w:noWrap/>
            <w:vAlign w:val="bottom"/>
            <w:hideMark/>
          </w:tcPr>
          <w:p w:rsidR="00F73305" w:rsidRPr="00AD7A0D" w:rsidRDefault="00F73305" w:rsidP="00990879">
            <w:pPr>
              <w:jc w:val="center"/>
              <w:rPr>
                <w:rFonts w:asciiTheme="minorHAnsi" w:hAnsiTheme="minorHAnsi" w:cstheme="minorHAnsi"/>
                <w:sz w:val="22"/>
              </w:rPr>
            </w:pPr>
            <w:r>
              <w:rPr>
                <w:rFonts w:ascii="Calibri" w:hAnsi="Calibri" w:cs="Calibri"/>
                <w:color w:val="000000"/>
                <w:sz w:val="22"/>
                <w:szCs w:val="22"/>
              </w:rPr>
              <w:t>1.76</w:t>
            </w:r>
          </w:p>
        </w:tc>
      </w:tr>
    </w:tbl>
    <w:p w:rsidR="006321F6" w:rsidRPr="00A644BE" w:rsidRDefault="006321F6" w:rsidP="00E35EAA"/>
    <w:p w:rsidR="00CF3FF0" w:rsidRDefault="00CF3FF0" w:rsidP="00E35EAA">
      <w:pPr>
        <w:rPr>
          <w:highlight w:val="yellow"/>
        </w:rPr>
      </w:pPr>
    </w:p>
    <w:p w:rsidR="006321F6" w:rsidRPr="006321F6" w:rsidRDefault="006321F6" w:rsidP="006321F6">
      <w:pPr>
        <w:rPr>
          <w:rFonts w:ascii="Calibri" w:hAnsi="Calibri" w:cs="Calibri"/>
          <w:sz w:val="22"/>
          <w:szCs w:val="22"/>
        </w:rPr>
      </w:pPr>
      <w:r w:rsidRPr="006321F6">
        <w:rPr>
          <w:rFonts w:ascii="Calibri" w:hAnsi="Calibri" w:cs="Calibri"/>
          <w:sz w:val="22"/>
          <w:szCs w:val="22"/>
        </w:rPr>
        <w:t>Equation 4</w:t>
      </w:r>
    </w:p>
    <w:p w:rsidR="006321F6" w:rsidRPr="00ED7B54" w:rsidRDefault="00ED7B54" w:rsidP="006321F6">
      <w:pPr>
        <w:jc w:val="center"/>
        <w:rPr>
          <w:rFonts w:ascii="Calibri" w:hAnsi="Calibri" w:cs="Calibri"/>
        </w:rPr>
      </w:pPr>
      <m:oMathPara>
        <m:oMath>
          <m:r>
            <w:rPr>
              <w:rFonts w:ascii="Cambria Math" w:hAnsi="Cambria Math" w:cs="Calibri"/>
            </w:rPr>
            <m:t>Gross Peak Demand Reduction</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kW</m:t>
                  </m:r>
                </m:num>
                <m:den>
                  <m:r>
                    <w:rPr>
                      <w:rFonts w:ascii="Cambria Math" w:hAnsi="Cambria Math" w:cs="Calibri"/>
                    </w:rPr>
                    <m:t>unit</m:t>
                  </m:r>
                </m:den>
              </m:f>
            </m:e>
          </m:d>
          <m:r>
            <w:rPr>
              <w:rFonts w:ascii="Cambria Math" w:hAnsi="Cambria Math" w:cs="Calibri"/>
            </w:rPr>
            <m:t>=</m:t>
          </m:r>
          <m:f>
            <m:fPr>
              <m:ctrlPr>
                <w:rPr>
                  <w:rFonts w:ascii="Cambria Math" w:hAnsi="Cambria Math" w:cs="Calibri"/>
                  <w:i/>
                </w:rPr>
              </m:ctrlPr>
            </m:fPr>
            <m:num>
              <m:r>
                <w:rPr>
                  <w:rFonts w:ascii="Cambria Math" w:hAnsi="Cambria Math" w:cs="Calibri"/>
                </w:rPr>
                <m:t xml:space="preserve">kW Savings </m:t>
              </m:r>
            </m:num>
            <m:den>
              <m:r>
                <w:rPr>
                  <w:rFonts w:ascii="Cambria Math" w:hAnsi="Cambria Math" w:cs="Calibri"/>
                </w:rPr>
                <m:t>Avg. Pump Size</m:t>
              </m:r>
            </m:den>
          </m:f>
          <m:r>
            <w:rPr>
              <w:rFonts w:ascii="Cambria Math" w:hAnsi="Cambria Math" w:cs="Calibri"/>
            </w:rPr>
            <m:t xml:space="preserve"> </m:t>
          </m:r>
        </m:oMath>
      </m:oMathPara>
    </w:p>
    <w:p w:rsidR="006321F6" w:rsidRDefault="006321F6" w:rsidP="00E35EAA">
      <w:pPr>
        <w:rPr>
          <w:highlight w:val="yellow"/>
        </w:rPr>
      </w:pPr>
    </w:p>
    <w:p w:rsidR="006321F6" w:rsidRPr="00314FE6" w:rsidRDefault="006321F6" w:rsidP="00E35EAA">
      <w:pPr>
        <w:rPr>
          <w:highlight w:val="yellow"/>
        </w:rPr>
      </w:pPr>
    </w:p>
    <w:p w:rsidR="007878B9" w:rsidRPr="005A7B97" w:rsidRDefault="00276ED1" w:rsidP="00B16127">
      <w:pPr>
        <w:pStyle w:val="Heading2"/>
      </w:pPr>
      <w:bookmarkStart w:id="29" w:name="_Toc392780013"/>
      <w:r w:rsidRPr="005A7B97">
        <w:t xml:space="preserve">2.3. </w:t>
      </w:r>
      <w:r w:rsidR="007878B9" w:rsidRPr="005A7B97">
        <w:t>Gas Energy Savings Estimation Methodologies</w:t>
      </w:r>
      <w:bookmarkEnd w:id="29"/>
    </w:p>
    <w:p w:rsidR="00CF186A" w:rsidRPr="005A7B97" w:rsidRDefault="00CF0BFF" w:rsidP="00E35EAA">
      <w:pPr>
        <w:rPr>
          <w:color w:val="FF0000"/>
        </w:rPr>
      </w:pPr>
      <w:r>
        <w:t>There will not be any natural gas savings for this measure.</w:t>
      </w:r>
    </w:p>
    <w:p w:rsidR="00AD20C0" w:rsidRDefault="00AD20C0" w:rsidP="00E35EAA">
      <w:pPr>
        <w:pStyle w:val="Heading1"/>
        <w:sectPr w:rsidR="00AD20C0" w:rsidSect="00D64B54">
          <w:footerReference w:type="default" r:id="rId17"/>
          <w:endnotePr>
            <w:numFmt w:val="decimal"/>
          </w:endnotePr>
          <w:pgSz w:w="12240" w:h="15840"/>
          <w:pgMar w:top="1440" w:right="1440" w:bottom="1440" w:left="1440" w:header="720" w:footer="720" w:gutter="0"/>
          <w:pgNumType w:start="1" w:chapStyle="1"/>
          <w:cols w:space="720"/>
          <w:docGrid w:linePitch="360"/>
        </w:sectPr>
      </w:pPr>
    </w:p>
    <w:p w:rsidR="00B7164C" w:rsidRPr="00E7660C" w:rsidRDefault="00C069A2" w:rsidP="00E35EAA">
      <w:pPr>
        <w:pStyle w:val="Heading1"/>
      </w:pPr>
      <w:bookmarkStart w:id="30" w:name="_Toc392780014"/>
      <w:proofErr w:type="gramStart"/>
      <w:r w:rsidRPr="00E7660C">
        <w:lastRenderedPageBreak/>
        <w:t>Section 3</w:t>
      </w:r>
      <w:r w:rsidR="003129E8" w:rsidRPr="00E7660C">
        <w:t>.</w:t>
      </w:r>
      <w:proofErr w:type="gramEnd"/>
      <w:r w:rsidRPr="00E7660C">
        <w:t xml:space="preserve"> Load Shapes</w:t>
      </w:r>
      <w:bookmarkEnd w:id="30"/>
      <w:r w:rsidR="00844B27" w:rsidRPr="00E7660C">
        <w:t xml:space="preserve"> </w:t>
      </w:r>
    </w:p>
    <w:p w:rsidR="005357FE" w:rsidRPr="00E101A7" w:rsidRDefault="005357FE" w:rsidP="00E35EAA">
      <w:bookmarkStart w:id="31" w:name="_Toc173742997"/>
    </w:p>
    <w:p w:rsidR="001B21DD" w:rsidRPr="00E101A7" w:rsidRDefault="001B21DD" w:rsidP="001B21DD">
      <w:r w:rsidRPr="00E101A7">
        <w:t>This section of the work paper explains the measure</w:t>
      </w:r>
      <w:r>
        <w:t>’s</w:t>
      </w:r>
      <w:r w:rsidRPr="00E101A7">
        <w:t xml:space="preserve"> load shape, which indicates what fraction of annual energy usage and savings occurs in each time period of the year. </w:t>
      </w:r>
    </w:p>
    <w:p w:rsidR="001B21DD" w:rsidRDefault="001B21DD" w:rsidP="00CF0BFF"/>
    <w:p w:rsidR="00CF0BFF" w:rsidRDefault="00CF0BFF" w:rsidP="00CF0BFF">
      <w:r>
        <w:t>The difference between the base case load shape and the measure load shape would be the most appropriate load shape; however, only end-use profiles are available.  Therefore, the closest load shape chosen for this me</w:t>
      </w:r>
      <w:r w:rsidRPr="00071A4E">
        <w:t>asure is the A</w:t>
      </w:r>
      <w:r w:rsidR="001B21DD">
        <w:t>gricultural</w:t>
      </w:r>
      <w:r w:rsidRPr="00071A4E">
        <w:t xml:space="preserve"> load shape</w:t>
      </w:r>
      <w:r w:rsidR="001B21DD">
        <w:t xml:space="preserve"> based on E3 calculators</w:t>
      </w:r>
      <w:r w:rsidRPr="00071A4E">
        <w:t xml:space="preserve">.  See table below for </w:t>
      </w:r>
      <w:r w:rsidR="001B21DD">
        <w:t>the measure</w:t>
      </w:r>
      <w:r w:rsidRPr="00071A4E">
        <w:t xml:space="preserve"> Load Shape.  Please refer to </w:t>
      </w:r>
      <w:r w:rsidR="00E20F12">
        <w:t>Attachment A</w:t>
      </w:r>
      <w:r w:rsidRPr="00071A4E">
        <w:t xml:space="preserve"> for </w:t>
      </w:r>
      <w:r w:rsidR="001B21DD">
        <w:t>reference</w:t>
      </w:r>
      <w:r w:rsidRPr="00071A4E">
        <w:t xml:space="preserve"> regarding the load shapes for this measure.</w:t>
      </w:r>
    </w:p>
    <w:p w:rsidR="00CF0BFF" w:rsidRDefault="00CF0BFF" w:rsidP="00CF0BFF"/>
    <w:p w:rsidR="00CF0BFF" w:rsidRDefault="00CF0BFF" w:rsidP="00CF0BFF"/>
    <w:p w:rsidR="00CF0BFF" w:rsidRPr="00CF0BFF" w:rsidRDefault="00CF0BFF" w:rsidP="00CF0BFF">
      <w:pPr>
        <w:pStyle w:val="Caption"/>
        <w:jc w:val="center"/>
        <w:rPr>
          <w:rFonts w:ascii="Calibri" w:hAnsi="Calibri" w:cs="Calibri"/>
          <w:b w:val="0"/>
          <w:sz w:val="22"/>
          <w:szCs w:val="22"/>
        </w:rPr>
      </w:pPr>
      <w:bookmarkStart w:id="32" w:name="_Ref296597958"/>
      <w:r w:rsidRPr="00CF0BFF">
        <w:rPr>
          <w:rFonts w:ascii="Calibri" w:hAnsi="Calibri" w:cs="Calibri"/>
          <w:sz w:val="22"/>
          <w:szCs w:val="22"/>
        </w:rPr>
        <w:t xml:space="preserve">Table </w:t>
      </w:r>
      <w:bookmarkEnd w:id="32"/>
      <w:r w:rsidR="0051455E">
        <w:rPr>
          <w:rFonts w:ascii="Calibri" w:hAnsi="Calibri" w:cs="Calibri"/>
          <w:sz w:val="22"/>
          <w:szCs w:val="22"/>
        </w:rPr>
        <w:t>9</w:t>
      </w:r>
      <w:r w:rsidRPr="00CF0BFF">
        <w:rPr>
          <w:rFonts w:ascii="Calibri" w:hAnsi="Calibri" w:cs="Calibri"/>
          <w:sz w:val="22"/>
          <w:szCs w:val="22"/>
        </w:rPr>
        <w:t xml:space="preserve"> Load Shapes</w:t>
      </w:r>
    </w:p>
    <w:tbl>
      <w:tblPr>
        <w:tblW w:w="4645" w:type="pct"/>
        <w:jc w:val="center"/>
        <w:tblInd w:w="108" w:type="dxa"/>
        <w:tblBorders>
          <w:insideH w:val="single" w:sz="18" w:space="0" w:color="FFFFFF"/>
          <w:insideV w:val="single" w:sz="18" w:space="0" w:color="FFFFFF"/>
        </w:tblBorders>
        <w:tblLook w:val="01E0" w:firstRow="1" w:lastRow="1" w:firstColumn="1" w:lastColumn="1" w:noHBand="0" w:noVBand="0"/>
      </w:tblPr>
      <w:tblGrid>
        <w:gridCol w:w="2647"/>
        <w:gridCol w:w="2790"/>
        <w:gridCol w:w="3459"/>
      </w:tblGrid>
      <w:tr w:rsidR="00CF0BFF" w:rsidRPr="000F130A" w:rsidTr="00AD7A0D">
        <w:trPr>
          <w:trHeight w:val="258"/>
          <w:jc w:val="center"/>
        </w:trPr>
        <w:tc>
          <w:tcPr>
            <w:tcW w:w="1488" w:type="pct"/>
            <w:shd w:val="pct20" w:color="000000" w:fill="FFFFFF"/>
          </w:tcPr>
          <w:p w:rsidR="00CF0BFF" w:rsidRPr="00C21706" w:rsidRDefault="001B21DD" w:rsidP="00C21706">
            <w:pPr>
              <w:jc w:val="center"/>
              <w:rPr>
                <w:rFonts w:ascii="Calibri" w:hAnsi="Calibri" w:cs="Calibri"/>
                <w:b/>
                <w:bCs/>
                <w:highlight w:val="yellow"/>
              </w:rPr>
            </w:pPr>
            <w:r w:rsidRPr="00C21706">
              <w:rPr>
                <w:rFonts w:ascii="Calibri" w:hAnsi="Calibri" w:cs="Calibri"/>
                <w:b/>
                <w:bCs/>
              </w:rPr>
              <w:t xml:space="preserve">E3 </w:t>
            </w:r>
            <w:r>
              <w:rPr>
                <w:rFonts w:ascii="Calibri" w:hAnsi="Calibri" w:cs="Calibri"/>
                <w:b/>
                <w:bCs/>
              </w:rPr>
              <w:t>Target Sector</w:t>
            </w:r>
            <w:r w:rsidRPr="00C21706" w:rsidDel="001B21DD">
              <w:rPr>
                <w:rFonts w:ascii="Calibri" w:hAnsi="Calibri" w:cs="Calibri"/>
                <w:b/>
                <w:bCs/>
              </w:rPr>
              <w:t xml:space="preserve"> </w:t>
            </w:r>
          </w:p>
        </w:tc>
        <w:tc>
          <w:tcPr>
            <w:tcW w:w="1568" w:type="pct"/>
            <w:shd w:val="pct20" w:color="000000" w:fill="FFFFFF"/>
          </w:tcPr>
          <w:p w:rsidR="00CF0BFF" w:rsidRPr="00C21706" w:rsidRDefault="001B21DD" w:rsidP="00BB6DB1">
            <w:pPr>
              <w:jc w:val="center"/>
              <w:rPr>
                <w:rFonts w:ascii="Calibri" w:hAnsi="Calibri" w:cs="Calibri"/>
                <w:b/>
                <w:bCs/>
                <w:highlight w:val="yellow"/>
              </w:rPr>
            </w:pPr>
            <w:r w:rsidRPr="00C21706">
              <w:rPr>
                <w:rFonts w:ascii="Calibri" w:hAnsi="Calibri" w:cs="Calibri"/>
                <w:b/>
                <w:bCs/>
              </w:rPr>
              <w:t>Load Shape</w:t>
            </w:r>
            <w:r w:rsidRPr="00C21706" w:rsidDel="001B21DD">
              <w:rPr>
                <w:rFonts w:ascii="Calibri" w:hAnsi="Calibri" w:cs="Calibri"/>
                <w:b/>
                <w:bCs/>
              </w:rPr>
              <w:t xml:space="preserve"> </w:t>
            </w:r>
          </w:p>
        </w:tc>
        <w:tc>
          <w:tcPr>
            <w:tcW w:w="1944" w:type="pct"/>
            <w:shd w:val="pct20" w:color="000000" w:fill="FFFFFF"/>
          </w:tcPr>
          <w:p w:rsidR="00CF0BFF" w:rsidRPr="00C21706" w:rsidRDefault="001B21DD" w:rsidP="00C21706">
            <w:pPr>
              <w:jc w:val="center"/>
              <w:rPr>
                <w:rFonts w:ascii="Calibri" w:hAnsi="Calibri" w:cs="Calibri"/>
                <w:b/>
                <w:bCs/>
              </w:rPr>
            </w:pPr>
            <w:r>
              <w:rPr>
                <w:rFonts w:ascii="Calibri" w:hAnsi="Calibri" w:cs="Calibri"/>
                <w:b/>
                <w:bCs/>
              </w:rPr>
              <w:t>Code</w:t>
            </w:r>
          </w:p>
        </w:tc>
      </w:tr>
      <w:tr w:rsidR="00CF0BFF" w:rsidRPr="002A3D26" w:rsidTr="00AD7A0D">
        <w:trPr>
          <w:trHeight w:val="258"/>
          <w:jc w:val="center"/>
        </w:trPr>
        <w:tc>
          <w:tcPr>
            <w:tcW w:w="1488" w:type="pct"/>
            <w:shd w:val="pct5" w:color="000000" w:fill="FFFFFF"/>
          </w:tcPr>
          <w:p w:rsidR="00CF0BFF" w:rsidRPr="00C21706" w:rsidRDefault="001B21DD" w:rsidP="00C21706">
            <w:pPr>
              <w:jc w:val="center"/>
              <w:rPr>
                <w:rFonts w:ascii="Calibri" w:hAnsi="Calibri" w:cs="Calibri"/>
              </w:rPr>
            </w:pPr>
            <w:r w:rsidRPr="00C21706">
              <w:rPr>
                <w:rFonts w:ascii="Calibri" w:hAnsi="Calibri" w:cs="Calibri"/>
              </w:rPr>
              <w:t>Agricultural</w:t>
            </w:r>
            <w:r w:rsidRPr="00C21706" w:rsidDel="001B21DD">
              <w:rPr>
                <w:rFonts w:ascii="Calibri" w:hAnsi="Calibri" w:cs="Calibri"/>
              </w:rPr>
              <w:t xml:space="preserve"> </w:t>
            </w:r>
          </w:p>
        </w:tc>
        <w:tc>
          <w:tcPr>
            <w:tcW w:w="1568" w:type="pct"/>
            <w:shd w:val="pct5" w:color="000000" w:fill="FFFFFF"/>
          </w:tcPr>
          <w:p w:rsidR="00CF0BFF" w:rsidRPr="00C21706" w:rsidRDefault="001B21DD" w:rsidP="00C21706">
            <w:pPr>
              <w:jc w:val="center"/>
              <w:rPr>
                <w:rFonts w:ascii="Calibri" w:hAnsi="Calibri" w:cs="Calibri"/>
              </w:rPr>
            </w:pPr>
            <w:r>
              <w:rPr>
                <w:rFonts w:ascii="Calibri" w:hAnsi="Calibri" w:cs="Calibri"/>
              </w:rPr>
              <w:t>14 = Agricultural</w:t>
            </w:r>
            <w:r w:rsidRPr="00C21706" w:rsidDel="001B21DD">
              <w:rPr>
                <w:rFonts w:ascii="Calibri" w:hAnsi="Calibri" w:cs="Calibri"/>
              </w:rPr>
              <w:t xml:space="preserve"> </w:t>
            </w:r>
          </w:p>
        </w:tc>
        <w:tc>
          <w:tcPr>
            <w:tcW w:w="1944" w:type="pct"/>
            <w:shd w:val="pct5" w:color="000000" w:fill="FFFFFF"/>
          </w:tcPr>
          <w:p w:rsidR="00CF0BFF" w:rsidRPr="00C21706" w:rsidRDefault="001B21DD" w:rsidP="00C21706">
            <w:pPr>
              <w:jc w:val="center"/>
              <w:rPr>
                <w:rFonts w:ascii="Calibri" w:hAnsi="Calibri" w:cs="Calibri"/>
              </w:rPr>
            </w:pPr>
            <w:r w:rsidRPr="001B21DD">
              <w:rPr>
                <w:rFonts w:ascii="Calibri" w:hAnsi="Calibri" w:cs="Calibri"/>
              </w:rPr>
              <w:t>PGE:AGRICULTURAL:14 = Agricultural</w:t>
            </w:r>
          </w:p>
        </w:tc>
      </w:tr>
    </w:tbl>
    <w:p w:rsidR="008840FA" w:rsidRPr="00800859" w:rsidRDefault="008840FA" w:rsidP="00E35EAA"/>
    <w:bookmarkEnd w:id="31"/>
    <w:p w:rsidR="00451B66" w:rsidRPr="00314FE6" w:rsidRDefault="00451B66" w:rsidP="00E35EAA"/>
    <w:p w:rsidR="00AD20C0" w:rsidRDefault="00AD20C0" w:rsidP="00E35EAA">
      <w:pPr>
        <w:pStyle w:val="Heading1"/>
        <w:sectPr w:rsidR="00AD20C0" w:rsidSect="00A30CB3">
          <w:endnotePr>
            <w:numFmt w:val="decimal"/>
          </w:endnotePr>
          <w:pgSz w:w="12240" w:h="15840"/>
          <w:pgMar w:top="1440" w:right="1440" w:bottom="1440" w:left="1440" w:header="720" w:footer="720" w:gutter="0"/>
          <w:pgNumType w:chapStyle="1"/>
          <w:cols w:space="720"/>
          <w:docGrid w:linePitch="360"/>
        </w:sectPr>
      </w:pPr>
    </w:p>
    <w:p w:rsidR="0091058D" w:rsidRPr="00314FE6" w:rsidRDefault="00C069A2" w:rsidP="00E35EAA">
      <w:pPr>
        <w:pStyle w:val="Heading1"/>
      </w:pPr>
      <w:bookmarkStart w:id="33" w:name="_Toc392780015"/>
      <w:proofErr w:type="gramStart"/>
      <w:r w:rsidRPr="00314FE6">
        <w:lastRenderedPageBreak/>
        <w:t>Section 4</w:t>
      </w:r>
      <w:r w:rsidR="003129E8" w:rsidRPr="00314FE6">
        <w:t>.</w:t>
      </w:r>
      <w:proofErr w:type="gramEnd"/>
      <w:r w:rsidRPr="00314FE6">
        <w:t xml:space="preserve"> Base Case &amp; Measure Costs</w:t>
      </w:r>
      <w:bookmarkEnd w:id="33"/>
    </w:p>
    <w:p w:rsidR="00D17F75" w:rsidRPr="0016606B" w:rsidRDefault="00C069A2" w:rsidP="00B16127">
      <w:pPr>
        <w:pStyle w:val="Heading2"/>
      </w:pPr>
      <w:bookmarkStart w:id="34" w:name="_Toc392780016"/>
      <w:r w:rsidRPr="00314FE6">
        <w:t xml:space="preserve">4.1 </w:t>
      </w:r>
      <w:r w:rsidRPr="0016606B">
        <w:t>Base Case</w:t>
      </w:r>
      <w:r w:rsidR="00C221D5" w:rsidRPr="0016606B">
        <w:t>(</w:t>
      </w:r>
      <w:r w:rsidRPr="0016606B">
        <w:t>s</w:t>
      </w:r>
      <w:r w:rsidR="00C221D5" w:rsidRPr="0016606B">
        <w:t>)</w:t>
      </w:r>
      <w:r w:rsidRPr="0016606B">
        <w:t xml:space="preserve"> Costs</w:t>
      </w:r>
      <w:bookmarkEnd w:id="34"/>
    </w:p>
    <w:p w:rsidR="00DD1C47" w:rsidRPr="00314FE6" w:rsidRDefault="00A44B8D" w:rsidP="00E35EAA">
      <w:r w:rsidRPr="00A44B8D">
        <w:t xml:space="preserve">For this measure category, the base case cost is assumed to be zero because these are discretionary modifications (retrofit) to the customers’ existing equipment.  Their alternative is </w:t>
      </w:r>
      <w:r>
        <w:t xml:space="preserve">not </w:t>
      </w:r>
      <w:r w:rsidRPr="00A44B8D">
        <w:t xml:space="preserve">to make </w:t>
      </w:r>
      <w:r>
        <w:t>any</w:t>
      </w:r>
      <w:r w:rsidRPr="00A44B8D">
        <w:t xml:space="preserve"> changes to their existing system.</w:t>
      </w:r>
    </w:p>
    <w:p w:rsidR="005910C8" w:rsidRDefault="005910C8" w:rsidP="00B16127">
      <w:pPr>
        <w:pStyle w:val="Heading2"/>
      </w:pPr>
      <w:bookmarkStart w:id="35" w:name="_Toc392780017"/>
      <w:r w:rsidRPr="00314FE6">
        <w:t>4.2 Measure Case Costs</w:t>
      </w:r>
      <w:bookmarkEnd w:id="35"/>
    </w:p>
    <w:p w:rsidR="00A44B8D" w:rsidRPr="00A44B8D" w:rsidRDefault="00A44B8D" w:rsidP="00A44B8D">
      <w:r w:rsidRPr="00A44B8D">
        <w:t>Per the E3, the Gross Measure Cost (GMC) is the cost to install an energy efficient measure.  This definition implies two different meanings depending on the install type.  In the case of RET and REA, GMC means the full cost of the measure to purchase and install. In the case of ROB and NEW, GMC means the cost premium required to install the energy efficient measure over a less efficient piece of equipment. Being that RET, REA, ROB, and NEW have different definitions, there is a clear distinction between the equations for the various install types.</w:t>
      </w:r>
    </w:p>
    <w:p w:rsidR="00A44B8D" w:rsidRPr="00A44B8D" w:rsidRDefault="00A44B8D" w:rsidP="00A44B8D"/>
    <w:p w:rsidR="00A44B8D" w:rsidRPr="00A44B8D" w:rsidRDefault="00A44B8D" w:rsidP="00A44B8D">
      <w:r w:rsidRPr="00A44B8D">
        <w:t xml:space="preserve">For </w:t>
      </w:r>
      <w:r w:rsidRPr="00A44B8D">
        <w:rPr>
          <w:b/>
        </w:rPr>
        <w:t xml:space="preserve">RET </w:t>
      </w:r>
      <w:r w:rsidRPr="00A44B8D">
        <w:t xml:space="preserve">and </w:t>
      </w:r>
      <w:r w:rsidRPr="00A44B8D">
        <w:rPr>
          <w:b/>
        </w:rPr>
        <w:t>REA</w:t>
      </w:r>
      <w:r w:rsidRPr="00A44B8D">
        <w:t>, GMC is represented by the equation below:</w:t>
      </w:r>
    </w:p>
    <w:p w:rsidR="00A44B8D" w:rsidRPr="00A44B8D" w:rsidRDefault="00A44B8D" w:rsidP="00A44B8D"/>
    <w:p w:rsidR="00A44B8D" w:rsidRPr="00A44B8D" w:rsidRDefault="00A44B8D" w:rsidP="00A44B8D">
      <w:pPr>
        <w:ind w:firstLine="720"/>
        <w:rPr>
          <w:i/>
        </w:rPr>
      </w:pPr>
      <w:r w:rsidRPr="00A44B8D">
        <w:rPr>
          <w:i/>
        </w:rPr>
        <w:t>GMC = Measure Equipment Cost + Measure Labor Cost</w:t>
      </w:r>
    </w:p>
    <w:p w:rsidR="00A44B8D" w:rsidRPr="00A44B8D" w:rsidRDefault="00A44B8D" w:rsidP="00A44B8D"/>
    <w:p w:rsidR="00A44B8D" w:rsidRPr="00A44B8D" w:rsidRDefault="00A44B8D" w:rsidP="00A44B8D">
      <w:r w:rsidRPr="00A44B8D">
        <w:t>For this deemed measure, cost data was obtain</w:t>
      </w:r>
      <w:r w:rsidRPr="004B05B2">
        <w:t xml:space="preserve">ed from existing program data. The cost is </w:t>
      </w:r>
      <w:r w:rsidR="00983E36" w:rsidRPr="004B05B2">
        <w:t xml:space="preserve">based </w:t>
      </w:r>
      <w:proofErr w:type="gramStart"/>
      <w:r w:rsidR="00983E36" w:rsidRPr="004B05B2">
        <w:t xml:space="preserve">on  </w:t>
      </w:r>
      <w:r w:rsidRPr="004B05B2">
        <w:t>implemented</w:t>
      </w:r>
      <w:proofErr w:type="gramEnd"/>
      <w:r w:rsidRPr="004B05B2">
        <w:t xml:space="preserve"> pump overhaul projects and is equal to $</w:t>
      </w:r>
      <w:r w:rsidR="00983E36" w:rsidRPr="004B05B2">
        <w:t>603.85 per</w:t>
      </w:r>
      <w:r w:rsidR="00983E36">
        <w:t xml:space="preserve"> nominal horsepower rating of pump motor</w:t>
      </w:r>
      <w:r w:rsidRPr="00071A4E">
        <w:t xml:space="preserve"> (Attachment </w:t>
      </w:r>
      <w:r w:rsidR="00071A4E" w:rsidRPr="00071A4E">
        <w:t>B</w:t>
      </w:r>
      <w:r w:rsidRPr="00071A4E">
        <w:t>).</w:t>
      </w:r>
    </w:p>
    <w:p w:rsidR="00DF196B" w:rsidRPr="00E84359" w:rsidRDefault="00DF196B" w:rsidP="00E35EAA">
      <w:r w:rsidRPr="00E84359">
        <w:t xml:space="preserve"> </w:t>
      </w:r>
    </w:p>
    <w:p w:rsidR="00A44B8D" w:rsidRDefault="00A44B8D" w:rsidP="00A44B8D">
      <w:pPr>
        <w:rPr>
          <w:rFonts w:ascii="Calibri" w:hAnsi="Calibri" w:cs="Calibri"/>
          <w:sz w:val="22"/>
          <w:szCs w:val="22"/>
        </w:rPr>
      </w:pPr>
      <w:r w:rsidRPr="00A44B8D">
        <w:rPr>
          <w:rFonts w:ascii="Calibri" w:hAnsi="Calibri" w:cs="Calibri"/>
          <w:sz w:val="22"/>
          <w:szCs w:val="22"/>
        </w:rPr>
        <w:t>Equation 5</w:t>
      </w:r>
    </w:p>
    <w:p w:rsidR="00DE16C6" w:rsidRPr="00A44B8D" w:rsidRDefault="00DE16C6" w:rsidP="00A44B8D">
      <w:pPr>
        <w:rPr>
          <w:rFonts w:ascii="Calibri" w:hAnsi="Calibri" w:cs="Calibri"/>
          <w:sz w:val="22"/>
          <w:szCs w:val="22"/>
        </w:rPr>
      </w:pPr>
    </w:p>
    <w:p w:rsidR="00A44B8D" w:rsidRDefault="00983E36" w:rsidP="00A44B8D">
      <w:pPr>
        <w:pStyle w:val="Calibri11"/>
      </w:pPr>
      <m:oMathPara>
        <m:oMath>
          <m:r>
            <w:rPr>
              <w:rFonts w:ascii="Cambria Math" w:hAnsi="Cambria Math"/>
              <w:sz w:val="20"/>
              <w:szCs w:val="24"/>
            </w:rPr>
            <m:t xml:space="preserve">Gross Measure Cost </m:t>
          </m:r>
          <m:d>
            <m:dPr>
              <m:ctrlPr>
                <w:rPr>
                  <w:rFonts w:ascii="Cambria Math" w:hAnsi="Cambria Math"/>
                  <w:i/>
                  <w:sz w:val="20"/>
                  <w:szCs w:val="24"/>
                </w:rPr>
              </m:ctrlPr>
            </m:dPr>
            <m:e>
              <m:f>
                <m:fPr>
                  <m:ctrlPr>
                    <w:rPr>
                      <w:rFonts w:ascii="Cambria Math" w:hAnsi="Cambria Math"/>
                      <w:i/>
                      <w:sz w:val="20"/>
                      <w:szCs w:val="24"/>
                    </w:rPr>
                  </m:ctrlPr>
                </m:fPr>
                <m:num>
                  <m:r>
                    <w:rPr>
                      <w:rFonts w:ascii="Cambria Math" w:hAnsi="Cambria Math"/>
                      <w:sz w:val="20"/>
                      <w:szCs w:val="24"/>
                    </w:rPr>
                    <m:t>$</m:t>
                  </m:r>
                </m:num>
                <m:den>
                  <m:r>
                    <w:rPr>
                      <w:rFonts w:ascii="Cambria Math" w:hAnsi="Cambria Math"/>
                      <w:sz w:val="20"/>
                      <w:szCs w:val="24"/>
                    </w:rPr>
                    <m:t>unit</m:t>
                  </m:r>
                </m:den>
              </m:f>
            </m:e>
          </m:d>
          <m:r>
            <w:rPr>
              <w:rFonts w:ascii="Cambria Math" w:hAnsi="Cambria Math"/>
              <w:sz w:val="20"/>
              <w:szCs w:val="24"/>
            </w:rPr>
            <m:t>=</m:t>
          </m:r>
          <m:f>
            <m:fPr>
              <m:ctrlPr>
                <w:rPr>
                  <w:rFonts w:ascii="Cambria Math" w:hAnsi="Cambria Math"/>
                  <w:i/>
                  <w:sz w:val="20"/>
                  <w:szCs w:val="24"/>
                </w:rPr>
              </m:ctrlPr>
            </m:fPr>
            <m:num>
              <m:r>
                <w:rPr>
                  <w:rFonts w:ascii="Cambria Math" w:hAnsi="Cambria Math"/>
                  <w:sz w:val="20"/>
                  <w:szCs w:val="24"/>
                </w:rPr>
                <m:t>Average Cost of Implemented Retrofit Proj</m:t>
              </m:r>
              <m:r>
                <w:rPr>
                  <w:rFonts w:ascii="Cambria Math" w:hAnsi="Cambria Math"/>
                  <w:sz w:val="20"/>
                  <w:szCs w:val="24"/>
                </w:rPr>
                <m:t xml:space="preserve">ects </m:t>
              </m:r>
              <m:d>
                <m:dPr>
                  <m:ctrlPr>
                    <w:rPr>
                      <w:rFonts w:ascii="Cambria Math" w:hAnsi="Cambria Math"/>
                      <w:i/>
                      <w:sz w:val="20"/>
                      <w:szCs w:val="24"/>
                    </w:rPr>
                  </m:ctrlPr>
                </m:dPr>
                <m:e>
                  <m:r>
                    <w:rPr>
                      <w:rFonts w:ascii="Cambria Math" w:hAnsi="Cambria Math"/>
                      <w:sz w:val="20"/>
                      <w:szCs w:val="24"/>
                    </w:rPr>
                    <m:t>$</m:t>
                  </m:r>
                </m:e>
              </m:d>
            </m:num>
            <m:den>
              <m:r>
                <w:rPr>
                  <w:rFonts w:ascii="Cambria Math" w:hAnsi="Cambria Math"/>
                  <w:sz w:val="20"/>
                  <w:szCs w:val="24"/>
                </w:rPr>
                <m:t xml:space="preserve">Average Pump Size </m:t>
              </m:r>
              <m:d>
                <m:dPr>
                  <m:ctrlPr>
                    <w:rPr>
                      <w:rFonts w:ascii="Cambria Math" w:hAnsi="Cambria Math"/>
                      <w:i/>
                      <w:sz w:val="20"/>
                      <w:szCs w:val="24"/>
                    </w:rPr>
                  </m:ctrlPr>
                </m:dPr>
                <m:e>
                  <m:r>
                    <w:rPr>
                      <w:rFonts w:ascii="Cambria Math" w:hAnsi="Cambria Math"/>
                      <w:sz w:val="20"/>
                      <w:szCs w:val="24"/>
                    </w:rPr>
                    <m:t>hp</m:t>
                  </m:r>
                </m:e>
              </m:d>
            </m:den>
          </m:f>
        </m:oMath>
      </m:oMathPara>
    </w:p>
    <w:p w:rsidR="00A44B8D" w:rsidRDefault="00A44B8D" w:rsidP="00A44B8D">
      <w:pPr>
        <w:pStyle w:val="Calibri11"/>
      </w:pPr>
    </w:p>
    <w:p w:rsidR="00A44B8D" w:rsidRDefault="00897B81" w:rsidP="00A44B8D">
      <w:r>
        <w:t>The above</w:t>
      </w:r>
      <w:r w:rsidR="00A44B8D">
        <w:t xml:space="preserve"> cost estimate, per unit cost was derived using </w:t>
      </w:r>
      <w:r w:rsidR="00983E36">
        <w:t>actual project implementation cost</w:t>
      </w:r>
      <w:r w:rsidR="00A44B8D">
        <w:t xml:space="preserve"> and average pump size</w:t>
      </w:r>
      <w:r w:rsidR="00DE16C6">
        <w:t>.  The equation below shows the estimated project costs formulation</w:t>
      </w:r>
      <w:r w:rsidR="00A44B8D">
        <w:t>:</w:t>
      </w:r>
    </w:p>
    <w:p w:rsidR="00DF196B" w:rsidRDefault="00DF196B" w:rsidP="00E35EAA"/>
    <w:p w:rsidR="00E02A93" w:rsidRDefault="00E02A93" w:rsidP="00E02A93">
      <w:r w:rsidRPr="00E02A93">
        <w:t>Equation 6</w:t>
      </w:r>
    </w:p>
    <w:p w:rsidR="00DE16C6" w:rsidRPr="00E02A93" w:rsidRDefault="00DE16C6" w:rsidP="00E02A93"/>
    <w:p w:rsidR="00E02A93" w:rsidRPr="00AD7A0D" w:rsidRDefault="00ED7B54" w:rsidP="00E02A93">
      <w:pPr>
        <w:jc w:val="center"/>
        <w:rPr>
          <w:sz w:val="16"/>
        </w:rPr>
      </w:pPr>
      <m:oMathPara>
        <m:oMath>
          <m:r>
            <w:rPr>
              <w:rFonts w:ascii="Cambria Math" w:hAnsi="Cambria Math" w:cs="Calibri"/>
              <w:szCs w:val="24"/>
            </w:rPr>
            <m:t xml:space="preserve">Cost of Retrofit </m:t>
          </m:r>
          <m:d>
            <m:dPr>
              <m:ctrlPr>
                <w:rPr>
                  <w:rFonts w:ascii="Cambria Math" w:hAnsi="Cambria Math" w:cs="Calibri"/>
                  <w:i/>
                  <w:szCs w:val="24"/>
                </w:rPr>
              </m:ctrlPr>
            </m:dPr>
            <m:e>
              <m:r>
                <w:rPr>
                  <w:rFonts w:ascii="Cambria Math" w:hAnsi="Cambria Math" w:cs="Calibri"/>
                  <w:szCs w:val="24"/>
                </w:rPr>
                <m:t>$</m:t>
              </m:r>
            </m:e>
          </m:d>
          <m:r>
            <w:rPr>
              <w:rFonts w:ascii="Cambria Math" w:hAnsi="Cambria Math" w:cs="Calibri"/>
              <w:szCs w:val="24"/>
            </w:rPr>
            <m:t xml:space="preserve">=Gross Measure cost </m:t>
          </m:r>
          <m:d>
            <m:dPr>
              <m:ctrlPr>
                <w:rPr>
                  <w:rFonts w:ascii="Cambria Math" w:hAnsi="Cambria Math" w:cs="Calibri"/>
                  <w:i/>
                  <w:szCs w:val="24"/>
                </w:rPr>
              </m:ctrlPr>
            </m:dPr>
            <m:e>
              <m:f>
                <m:fPr>
                  <m:ctrlPr>
                    <w:rPr>
                      <w:rFonts w:ascii="Cambria Math" w:hAnsi="Cambria Math" w:cs="Calibri"/>
                      <w:i/>
                      <w:szCs w:val="24"/>
                    </w:rPr>
                  </m:ctrlPr>
                </m:fPr>
                <m:num>
                  <m:r>
                    <w:rPr>
                      <w:rFonts w:ascii="Cambria Math" w:hAnsi="Cambria Math" w:cs="Calibri"/>
                      <w:szCs w:val="24"/>
                    </w:rPr>
                    <m:t>Cost</m:t>
                  </m:r>
                </m:num>
                <m:den>
                  <m:r>
                    <w:rPr>
                      <w:rFonts w:ascii="Cambria Math" w:hAnsi="Cambria Math" w:cs="Calibri"/>
                      <w:szCs w:val="24"/>
                    </w:rPr>
                    <m:t>kWhhp</m:t>
                  </m:r>
                </m:den>
              </m:f>
            </m:e>
          </m:d>
          <m:r>
            <w:rPr>
              <w:rFonts w:ascii="Cambria Math" w:hAnsi="Cambria Math" w:cs="Calibri"/>
              <w:szCs w:val="24"/>
            </w:rPr>
            <m:t>x nominal power rating (hp) of pump motor</m:t>
          </m:r>
        </m:oMath>
      </m:oMathPara>
    </w:p>
    <w:p w:rsidR="00E02A93" w:rsidRPr="00E02A93" w:rsidRDefault="00E02A93" w:rsidP="00E02A93"/>
    <w:p w:rsidR="00A4117E" w:rsidRDefault="00A4117E" w:rsidP="00A4117E"/>
    <w:p w:rsidR="00A4117E" w:rsidRPr="00A4117E" w:rsidRDefault="00A4117E" w:rsidP="00A4117E">
      <w:r w:rsidRPr="00A4117E">
        <w:t>The table below provides an example of typical costs involved in overhauling pumps.</w:t>
      </w:r>
    </w:p>
    <w:p w:rsidR="00A44B8D" w:rsidRDefault="00A44B8D" w:rsidP="00E35EAA"/>
    <w:p w:rsidR="00A4117E" w:rsidRDefault="00A4117E" w:rsidP="00E35EAA"/>
    <w:p w:rsidR="00A4117E" w:rsidRDefault="00A4117E" w:rsidP="00E35EAA"/>
    <w:p w:rsidR="00A4117E" w:rsidRDefault="00A4117E" w:rsidP="00E35EAA"/>
    <w:p w:rsidR="00A4117E" w:rsidRDefault="00A4117E" w:rsidP="00E35EAA"/>
    <w:p w:rsidR="00A4117E" w:rsidRDefault="00A4117E" w:rsidP="00E35EAA"/>
    <w:p w:rsidR="00A4117E" w:rsidRDefault="00A4117E" w:rsidP="00E35EAA"/>
    <w:p w:rsidR="006C6627" w:rsidRDefault="006C6627" w:rsidP="00E35EAA"/>
    <w:p w:rsidR="006C6627" w:rsidRDefault="006C6627" w:rsidP="00E35EAA"/>
    <w:p w:rsidR="006C6627" w:rsidRDefault="006C6627" w:rsidP="00E35EAA"/>
    <w:p w:rsidR="00A4117E" w:rsidRDefault="00A4117E" w:rsidP="00E35EAA"/>
    <w:p w:rsidR="00A4117E" w:rsidRDefault="00A4117E" w:rsidP="00E35EAA"/>
    <w:p w:rsidR="00A4117E" w:rsidRPr="00A4117E" w:rsidRDefault="00A4117E" w:rsidP="00A4117E">
      <w:pPr>
        <w:jc w:val="center"/>
        <w:rPr>
          <w:b/>
          <w:bCs/>
        </w:rPr>
      </w:pPr>
      <w:r w:rsidRPr="00A4117E">
        <w:rPr>
          <w:b/>
          <w:bCs/>
        </w:rPr>
        <w:t xml:space="preserve">Table </w:t>
      </w:r>
      <w:r w:rsidR="006B4851" w:rsidRPr="0051455E">
        <w:rPr>
          <w:b/>
          <w:bCs/>
        </w:rPr>
        <w:t>10</w:t>
      </w:r>
      <w:r w:rsidRPr="0051455E">
        <w:rPr>
          <w:b/>
          <w:bCs/>
        </w:rPr>
        <w:t xml:space="preserve"> </w:t>
      </w:r>
      <w:r w:rsidRPr="00A4117E">
        <w:rPr>
          <w:b/>
          <w:bCs/>
        </w:rPr>
        <w:t>Gross Measure Cost</w:t>
      </w:r>
    </w:p>
    <w:tbl>
      <w:tblPr>
        <w:tblW w:w="9544" w:type="dxa"/>
        <w:jc w:val="center"/>
        <w:tblBorders>
          <w:insideH w:val="single" w:sz="18" w:space="0" w:color="FFFFFF"/>
          <w:insideV w:val="single" w:sz="18" w:space="0" w:color="FFFFFF"/>
        </w:tblBorders>
        <w:tblLook w:val="04A0" w:firstRow="1" w:lastRow="0" w:firstColumn="1" w:lastColumn="0" w:noHBand="0" w:noVBand="1"/>
      </w:tblPr>
      <w:tblGrid>
        <w:gridCol w:w="2686"/>
        <w:gridCol w:w="1022"/>
        <w:gridCol w:w="1346"/>
        <w:gridCol w:w="1341"/>
        <w:gridCol w:w="1745"/>
        <w:gridCol w:w="1404"/>
      </w:tblGrid>
      <w:tr w:rsidR="00C11C6D" w:rsidRPr="00C21706" w:rsidTr="00AD7A0D">
        <w:trPr>
          <w:trHeight w:val="898"/>
          <w:jc w:val="center"/>
        </w:trPr>
        <w:tc>
          <w:tcPr>
            <w:tcW w:w="2686" w:type="dxa"/>
            <w:shd w:val="pct20" w:color="000000" w:fill="FFFFFF"/>
            <w:noWrap/>
            <w:vAlign w:val="bottom"/>
            <w:hideMark/>
          </w:tcPr>
          <w:p w:rsidR="00BB6DB1" w:rsidRPr="00C21706" w:rsidRDefault="00BB6DB1" w:rsidP="00A4117E">
            <w:pPr>
              <w:rPr>
                <w:b/>
                <w:bCs/>
                <w:sz w:val="16"/>
              </w:rPr>
            </w:pPr>
            <w:r w:rsidRPr="00C21706">
              <w:rPr>
                <w:b/>
                <w:bCs/>
                <w:sz w:val="16"/>
              </w:rPr>
              <w:lastRenderedPageBreak/>
              <w:t>Measure Description</w:t>
            </w:r>
          </w:p>
        </w:tc>
        <w:tc>
          <w:tcPr>
            <w:tcW w:w="1022" w:type="dxa"/>
            <w:shd w:val="pct20" w:color="000000" w:fill="FFFFFF"/>
            <w:noWrap/>
            <w:vAlign w:val="bottom"/>
            <w:hideMark/>
          </w:tcPr>
          <w:p w:rsidR="00BB6DB1" w:rsidRPr="00C21706" w:rsidRDefault="00BB6DB1" w:rsidP="00C21706">
            <w:pPr>
              <w:jc w:val="center"/>
              <w:rPr>
                <w:b/>
                <w:bCs/>
                <w:sz w:val="16"/>
              </w:rPr>
            </w:pPr>
            <w:r w:rsidRPr="00C21706">
              <w:rPr>
                <w:b/>
                <w:bCs/>
                <w:sz w:val="16"/>
              </w:rPr>
              <w:t>CZ</w:t>
            </w:r>
          </w:p>
        </w:tc>
        <w:tc>
          <w:tcPr>
            <w:tcW w:w="1346" w:type="dxa"/>
            <w:shd w:val="pct20" w:color="000000" w:fill="FFFFFF"/>
            <w:vAlign w:val="bottom"/>
            <w:hideMark/>
          </w:tcPr>
          <w:p w:rsidR="00BB6DB1" w:rsidRPr="00C21706" w:rsidRDefault="00BB6DB1" w:rsidP="00C21706">
            <w:pPr>
              <w:jc w:val="center"/>
              <w:rPr>
                <w:b/>
                <w:bCs/>
                <w:sz w:val="16"/>
              </w:rPr>
            </w:pPr>
            <w:r w:rsidRPr="00C21706">
              <w:rPr>
                <w:b/>
                <w:bCs/>
                <w:sz w:val="16"/>
              </w:rPr>
              <w:t>Average Pump Size (Nominal motor hp)</w:t>
            </w:r>
          </w:p>
        </w:tc>
        <w:tc>
          <w:tcPr>
            <w:tcW w:w="1341" w:type="dxa"/>
            <w:shd w:val="pct20" w:color="000000" w:fill="FFFFFF"/>
            <w:vAlign w:val="bottom"/>
            <w:hideMark/>
          </w:tcPr>
          <w:p w:rsidR="00BB6DB1" w:rsidRPr="00C21706" w:rsidRDefault="00BB6DB1" w:rsidP="00C21706">
            <w:pPr>
              <w:jc w:val="center"/>
              <w:rPr>
                <w:b/>
                <w:bCs/>
                <w:sz w:val="16"/>
              </w:rPr>
            </w:pPr>
            <w:r w:rsidRPr="00C21706">
              <w:rPr>
                <w:b/>
                <w:bCs/>
                <w:sz w:val="16"/>
              </w:rPr>
              <w:t>kWh Savings (kWh/yr)</w:t>
            </w:r>
          </w:p>
        </w:tc>
        <w:tc>
          <w:tcPr>
            <w:tcW w:w="1745" w:type="dxa"/>
            <w:shd w:val="pct20" w:color="000000" w:fill="FFFFFF"/>
            <w:vAlign w:val="bottom"/>
          </w:tcPr>
          <w:p w:rsidR="00BB6DB1" w:rsidRPr="00C21706" w:rsidRDefault="00BB6DB1" w:rsidP="00C21706">
            <w:pPr>
              <w:jc w:val="center"/>
              <w:rPr>
                <w:b/>
                <w:bCs/>
                <w:sz w:val="16"/>
              </w:rPr>
            </w:pPr>
            <w:r w:rsidRPr="00C21706">
              <w:rPr>
                <w:b/>
                <w:bCs/>
                <w:sz w:val="16"/>
              </w:rPr>
              <w:t>Gross Measure Cost($/</w:t>
            </w:r>
            <w:r>
              <w:rPr>
                <w:b/>
                <w:bCs/>
                <w:sz w:val="16"/>
              </w:rPr>
              <w:t>hp</w:t>
            </w:r>
            <w:r w:rsidRPr="00C21706">
              <w:rPr>
                <w:b/>
                <w:bCs/>
                <w:sz w:val="16"/>
              </w:rPr>
              <w:t>)</w:t>
            </w:r>
          </w:p>
        </w:tc>
        <w:tc>
          <w:tcPr>
            <w:tcW w:w="1404" w:type="dxa"/>
            <w:shd w:val="pct20" w:color="000000" w:fill="FFFFFF"/>
            <w:vAlign w:val="bottom"/>
            <w:hideMark/>
          </w:tcPr>
          <w:p w:rsidR="00BB6DB1" w:rsidRPr="00C21706" w:rsidRDefault="00BB6DB1" w:rsidP="00C21706">
            <w:pPr>
              <w:jc w:val="center"/>
              <w:rPr>
                <w:b/>
                <w:bCs/>
                <w:sz w:val="16"/>
              </w:rPr>
            </w:pPr>
            <w:r w:rsidRPr="00C21706">
              <w:rPr>
                <w:b/>
                <w:bCs/>
                <w:sz w:val="16"/>
              </w:rPr>
              <w:t>Cost of Retrofit ($)</w:t>
            </w:r>
          </w:p>
        </w:tc>
      </w:tr>
      <w:tr w:rsidR="00C11C6D" w:rsidRPr="00C21706" w:rsidTr="00AD7A0D">
        <w:trPr>
          <w:trHeight w:val="299"/>
          <w:jc w:val="center"/>
        </w:trPr>
        <w:tc>
          <w:tcPr>
            <w:tcW w:w="2686" w:type="dxa"/>
            <w:shd w:val="pct5" w:color="000000" w:fill="FFFFFF"/>
            <w:noWrap/>
            <w:hideMark/>
          </w:tcPr>
          <w:p w:rsidR="00C11C6D" w:rsidRPr="00C21706" w:rsidRDefault="00C11C6D" w:rsidP="00A4117E">
            <w:pPr>
              <w:rPr>
                <w:sz w:val="16"/>
                <w:szCs w:val="16"/>
              </w:rPr>
            </w:pPr>
            <w:r w:rsidRPr="00C21706">
              <w:rPr>
                <w:sz w:val="16"/>
                <w:szCs w:val="16"/>
              </w:rPr>
              <w:t>Centrifugal Booster Pump System Overhaul (&lt;=25hp)</w:t>
            </w:r>
          </w:p>
        </w:tc>
        <w:tc>
          <w:tcPr>
            <w:tcW w:w="1022" w:type="dxa"/>
            <w:shd w:val="pct5" w:color="000000" w:fill="FFFFFF"/>
            <w:noWrap/>
            <w:vAlign w:val="bottom"/>
            <w:hideMark/>
          </w:tcPr>
          <w:p w:rsidR="00C11C6D" w:rsidRPr="00AD18E9" w:rsidRDefault="00C11C6D" w:rsidP="006C6627">
            <w:pPr>
              <w:jc w:val="center"/>
              <w:rPr>
                <w:sz w:val="16"/>
                <w:szCs w:val="16"/>
              </w:rPr>
            </w:pPr>
            <w:r w:rsidRPr="00AD18E9">
              <w:rPr>
                <w:sz w:val="16"/>
                <w:szCs w:val="16"/>
              </w:rPr>
              <w:t>2</w:t>
            </w:r>
          </w:p>
        </w:tc>
        <w:tc>
          <w:tcPr>
            <w:tcW w:w="1346" w:type="dxa"/>
            <w:shd w:val="pct5" w:color="000000" w:fill="FFFFFF"/>
            <w:noWrap/>
            <w:vAlign w:val="bottom"/>
            <w:hideMark/>
          </w:tcPr>
          <w:p w:rsidR="00C11C6D" w:rsidRPr="00AD18E9" w:rsidRDefault="00C11C6D">
            <w:pPr>
              <w:jc w:val="center"/>
              <w:rPr>
                <w:color w:val="000000"/>
                <w:sz w:val="16"/>
                <w:szCs w:val="16"/>
              </w:rPr>
            </w:pPr>
            <w:r w:rsidRPr="00AD18E9">
              <w:rPr>
                <w:color w:val="000000"/>
                <w:sz w:val="16"/>
                <w:szCs w:val="16"/>
              </w:rPr>
              <w:t>25.0</w:t>
            </w:r>
          </w:p>
        </w:tc>
        <w:tc>
          <w:tcPr>
            <w:tcW w:w="1341" w:type="dxa"/>
            <w:shd w:val="pct5" w:color="000000" w:fill="FFFFFF"/>
            <w:noWrap/>
            <w:vAlign w:val="bottom"/>
            <w:hideMark/>
          </w:tcPr>
          <w:p w:rsidR="00C11C6D" w:rsidRPr="00AD18E9" w:rsidRDefault="00C11C6D">
            <w:pPr>
              <w:jc w:val="center"/>
              <w:rPr>
                <w:color w:val="000000"/>
                <w:sz w:val="16"/>
                <w:szCs w:val="16"/>
              </w:rPr>
            </w:pPr>
            <w:r w:rsidRPr="00AD18E9">
              <w:rPr>
                <w:color w:val="000000"/>
                <w:sz w:val="16"/>
                <w:szCs w:val="16"/>
              </w:rPr>
              <w:t>10,985.53</w:t>
            </w:r>
          </w:p>
        </w:tc>
        <w:tc>
          <w:tcPr>
            <w:tcW w:w="1745" w:type="dxa"/>
            <w:shd w:val="pct5" w:color="000000" w:fill="FFFFFF"/>
            <w:noWrap/>
            <w:vAlign w:val="bottom"/>
          </w:tcPr>
          <w:p w:rsidR="00C11C6D" w:rsidRPr="006C6627" w:rsidRDefault="00C11C6D">
            <w:pPr>
              <w:jc w:val="center"/>
              <w:rPr>
                <w:sz w:val="16"/>
                <w:szCs w:val="16"/>
              </w:rPr>
            </w:pPr>
            <w:r w:rsidRPr="00AD7A0D">
              <w:rPr>
                <w:sz w:val="16"/>
                <w:szCs w:val="16"/>
              </w:rPr>
              <w:t xml:space="preserve">$603.85 </w:t>
            </w:r>
          </w:p>
        </w:tc>
        <w:tc>
          <w:tcPr>
            <w:tcW w:w="1404" w:type="dxa"/>
            <w:shd w:val="pct5" w:color="000000" w:fill="FFFFFF"/>
            <w:noWrap/>
            <w:vAlign w:val="bottom"/>
            <w:hideMark/>
          </w:tcPr>
          <w:p w:rsidR="00C11C6D" w:rsidRPr="00C11C6D" w:rsidRDefault="00C11C6D">
            <w:pPr>
              <w:jc w:val="center"/>
              <w:rPr>
                <w:color w:val="000000"/>
                <w:sz w:val="16"/>
                <w:szCs w:val="16"/>
              </w:rPr>
            </w:pPr>
            <w:r w:rsidRPr="00AD7A0D">
              <w:rPr>
                <w:sz w:val="16"/>
                <w:szCs w:val="16"/>
              </w:rPr>
              <w:t>$15,096.25</w:t>
            </w:r>
          </w:p>
        </w:tc>
      </w:tr>
      <w:tr w:rsidR="00C11C6D" w:rsidRPr="00C21706" w:rsidTr="00AD7A0D">
        <w:trPr>
          <w:trHeight w:val="299"/>
          <w:jc w:val="center"/>
        </w:trPr>
        <w:tc>
          <w:tcPr>
            <w:tcW w:w="2686" w:type="dxa"/>
            <w:shd w:val="pct20" w:color="000000" w:fill="FFFFFF"/>
            <w:noWrap/>
            <w:hideMark/>
          </w:tcPr>
          <w:p w:rsidR="00C11C6D" w:rsidRPr="00C21706" w:rsidRDefault="00C11C6D" w:rsidP="00A4117E">
            <w:pPr>
              <w:rPr>
                <w:sz w:val="16"/>
                <w:szCs w:val="16"/>
              </w:rPr>
            </w:pPr>
            <w:r w:rsidRPr="00C21706">
              <w:rPr>
                <w:sz w:val="16"/>
                <w:szCs w:val="16"/>
              </w:rPr>
              <w:t>Centrifugal Booster Pump System Overhaul (&lt;=25hp)</w:t>
            </w:r>
          </w:p>
        </w:tc>
        <w:tc>
          <w:tcPr>
            <w:tcW w:w="1022" w:type="dxa"/>
            <w:shd w:val="pct20" w:color="000000" w:fill="FFFFFF"/>
            <w:noWrap/>
            <w:vAlign w:val="bottom"/>
            <w:hideMark/>
          </w:tcPr>
          <w:p w:rsidR="00C11C6D" w:rsidRPr="00AD18E9" w:rsidRDefault="00C11C6D" w:rsidP="006C6627">
            <w:pPr>
              <w:jc w:val="center"/>
              <w:rPr>
                <w:sz w:val="16"/>
                <w:szCs w:val="16"/>
              </w:rPr>
            </w:pPr>
            <w:r w:rsidRPr="00AD18E9">
              <w:rPr>
                <w:sz w:val="16"/>
                <w:szCs w:val="16"/>
              </w:rPr>
              <w:t>3</w:t>
            </w:r>
          </w:p>
        </w:tc>
        <w:tc>
          <w:tcPr>
            <w:tcW w:w="1346" w:type="dxa"/>
            <w:shd w:val="pct20" w:color="000000" w:fill="FFFFFF"/>
            <w:noWrap/>
            <w:vAlign w:val="bottom"/>
            <w:hideMark/>
          </w:tcPr>
          <w:p w:rsidR="00C11C6D" w:rsidRPr="00AD18E9" w:rsidRDefault="00C11C6D">
            <w:pPr>
              <w:jc w:val="center"/>
              <w:rPr>
                <w:color w:val="000000"/>
                <w:sz w:val="16"/>
                <w:szCs w:val="16"/>
              </w:rPr>
            </w:pPr>
            <w:r w:rsidRPr="00AD18E9">
              <w:rPr>
                <w:color w:val="000000"/>
                <w:sz w:val="16"/>
                <w:szCs w:val="16"/>
              </w:rPr>
              <w:t>25.0</w:t>
            </w:r>
          </w:p>
        </w:tc>
        <w:tc>
          <w:tcPr>
            <w:tcW w:w="1341" w:type="dxa"/>
            <w:shd w:val="pct20" w:color="000000" w:fill="FFFFFF"/>
            <w:noWrap/>
            <w:vAlign w:val="bottom"/>
            <w:hideMark/>
          </w:tcPr>
          <w:p w:rsidR="00C11C6D" w:rsidRPr="00AD18E9" w:rsidRDefault="00C11C6D">
            <w:pPr>
              <w:jc w:val="center"/>
              <w:rPr>
                <w:color w:val="000000"/>
                <w:sz w:val="16"/>
                <w:szCs w:val="16"/>
              </w:rPr>
            </w:pPr>
            <w:r w:rsidRPr="00AD18E9">
              <w:rPr>
                <w:color w:val="000000"/>
                <w:sz w:val="16"/>
                <w:szCs w:val="16"/>
              </w:rPr>
              <w:t>7,286.64</w:t>
            </w:r>
          </w:p>
        </w:tc>
        <w:tc>
          <w:tcPr>
            <w:tcW w:w="1745" w:type="dxa"/>
            <w:shd w:val="pct20" w:color="000000" w:fill="FFFFFF"/>
            <w:noWrap/>
            <w:vAlign w:val="bottom"/>
          </w:tcPr>
          <w:p w:rsidR="00C11C6D" w:rsidRPr="006C6627" w:rsidRDefault="00C11C6D">
            <w:pPr>
              <w:jc w:val="center"/>
              <w:rPr>
                <w:sz w:val="16"/>
                <w:szCs w:val="16"/>
              </w:rPr>
            </w:pPr>
            <w:r w:rsidRPr="00AD7A0D">
              <w:rPr>
                <w:sz w:val="16"/>
                <w:szCs w:val="16"/>
              </w:rPr>
              <w:t xml:space="preserve">$603.85 </w:t>
            </w:r>
          </w:p>
        </w:tc>
        <w:tc>
          <w:tcPr>
            <w:tcW w:w="1404" w:type="dxa"/>
            <w:shd w:val="pct20" w:color="000000" w:fill="FFFFFF"/>
            <w:noWrap/>
            <w:vAlign w:val="bottom"/>
            <w:hideMark/>
          </w:tcPr>
          <w:p w:rsidR="00C11C6D" w:rsidRPr="006C6627" w:rsidRDefault="00C11C6D">
            <w:pPr>
              <w:jc w:val="center"/>
              <w:rPr>
                <w:color w:val="000000"/>
                <w:sz w:val="16"/>
                <w:szCs w:val="16"/>
              </w:rPr>
            </w:pPr>
            <w:r w:rsidRPr="00AD7A0D">
              <w:rPr>
                <w:sz w:val="16"/>
                <w:szCs w:val="16"/>
              </w:rPr>
              <w:t>$15,096.25</w:t>
            </w:r>
          </w:p>
        </w:tc>
      </w:tr>
      <w:tr w:rsidR="00C11C6D" w:rsidRPr="00C21706" w:rsidTr="00AD7A0D">
        <w:trPr>
          <w:trHeight w:val="299"/>
          <w:jc w:val="center"/>
        </w:trPr>
        <w:tc>
          <w:tcPr>
            <w:tcW w:w="2686" w:type="dxa"/>
            <w:shd w:val="pct5" w:color="000000" w:fill="FFFFFF"/>
            <w:noWrap/>
            <w:hideMark/>
          </w:tcPr>
          <w:p w:rsidR="00C11C6D" w:rsidRPr="00C21706" w:rsidRDefault="00C11C6D" w:rsidP="00A4117E">
            <w:pPr>
              <w:rPr>
                <w:sz w:val="16"/>
                <w:szCs w:val="16"/>
              </w:rPr>
            </w:pPr>
            <w:r w:rsidRPr="00C21706">
              <w:rPr>
                <w:sz w:val="16"/>
                <w:szCs w:val="16"/>
              </w:rPr>
              <w:t>Centrifugal Booster Pump System Overhaul (&lt;=25hp)</w:t>
            </w:r>
          </w:p>
        </w:tc>
        <w:tc>
          <w:tcPr>
            <w:tcW w:w="1022" w:type="dxa"/>
            <w:shd w:val="pct5" w:color="000000" w:fill="FFFFFF"/>
            <w:noWrap/>
            <w:vAlign w:val="bottom"/>
            <w:hideMark/>
          </w:tcPr>
          <w:p w:rsidR="00C11C6D" w:rsidRPr="00AD18E9" w:rsidRDefault="00C11C6D" w:rsidP="006C6627">
            <w:pPr>
              <w:jc w:val="center"/>
              <w:rPr>
                <w:sz w:val="16"/>
                <w:szCs w:val="16"/>
              </w:rPr>
            </w:pPr>
            <w:r w:rsidRPr="00AD18E9">
              <w:rPr>
                <w:sz w:val="16"/>
                <w:szCs w:val="16"/>
              </w:rPr>
              <w:t>4</w:t>
            </w:r>
          </w:p>
        </w:tc>
        <w:tc>
          <w:tcPr>
            <w:tcW w:w="1346" w:type="dxa"/>
            <w:shd w:val="pct5" w:color="000000" w:fill="FFFFFF"/>
            <w:noWrap/>
            <w:vAlign w:val="bottom"/>
            <w:hideMark/>
          </w:tcPr>
          <w:p w:rsidR="00C11C6D" w:rsidRPr="00AD18E9" w:rsidRDefault="00C11C6D">
            <w:pPr>
              <w:jc w:val="center"/>
              <w:rPr>
                <w:color w:val="000000"/>
                <w:sz w:val="16"/>
                <w:szCs w:val="16"/>
              </w:rPr>
            </w:pPr>
            <w:r w:rsidRPr="00AD18E9">
              <w:rPr>
                <w:color w:val="000000"/>
                <w:sz w:val="16"/>
                <w:szCs w:val="16"/>
              </w:rPr>
              <w:t>25.0</w:t>
            </w:r>
          </w:p>
        </w:tc>
        <w:tc>
          <w:tcPr>
            <w:tcW w:w="1341" w:type="dxa"/>
            <w:shd w:val="pct5" w:color="000000" w:fill="FFFFFF"/>
            <w:noWrap/>
            <w:vAlign w:val="bottom"/>
            <w:hideMark/>
          </w:tcPr>
          <w:p w:rsidR="00C11C6D" w:rsidRPr="00AD18E9" w:rsidRDefault="00C11C6D">
            <w:pPr>
              <w:jc w:val="center"/>
              <w:rPr>
                <w:color w:val="000000"/>
                <w:sz w:val="16"/>
                <w:szCs w:val="16"/>
              </w:rPr>
            </w:pPr>
            <w:r w:rsidRPr="00AD18E9">
              <w:rPr>
                <w:color w:val="000000"/>
                <w:sz w:val="16"/>
                <w:szCs w:val="16"/>
              </w:rPr>
              <w:t>5,117.42</w:t>
            </w:r>
          </w:p>
        </w:tc>
        <w:tc>
          <w:tcPr>
            <w:tcW w:w="1745" w:type="dxa"/>
            <w:shd w:val="pct5" w:color="000000" w:fill="FFFFFF"/>
            <w:noWrap/>
            <w:vAlign w:val="bottom"/>
          </w:tcPr>
          <w:p w:rsidR="00C11C6D" w:rsidRPr="006C6627" w:rsidRDefault="00C11C6D">
            <w:pPr>
              <w:jc w:val="center"/>
              <w:rPr>
                <w:sz w:val="16"/>
                <w:szCs w:val="16"/>
              </w:rPr>
            </w:pPr>
            <w:r w:rsidRPr="00AD7A0D">
              <w:rPr>
                <w:sz w:val="16"/>
                <w:szCs w:val="16"/>
              </w:rPr>
              <w:t xml:space="preserve">$603.85 </w:t>
            </w:r>
          </w:p>
        </w:tc>
        <w:tc>
          <w:tcPr>
            <w:tcW w:w="1404" w:type="dxa"/>
            <w:shd w:val="pct5" w:color="000000" w:fill="FFFFFF"/>
            <w:noWrap/>
            <w:vAlign w:val="bottom"/>
            <w:hideMark/>
          </w:tcPr>
          <w:p w:rsidR="00C11C6D" w:rsidRPr="006C6627" w:rsidRDefault="00C11C6D">
            <w:pPr>
              <w:jc w:val="center"/>
              <w:rPr>
                <w:color w:val="000000"/>
                <w:sz w:val="16"/>
                <w:szCs w:val="16"/>
              </w:rPr>
            </w:pPr>
            <w:r w:rsidRPr="00AD7A0D">
              <w:rPr>
                <w:sz w:val="16"/>
                <w:szCs w:val="16"/>
              </w:rPr>
              <w:t>$15,096.25</w:t>
            </w:r>
          </w:p>
        </w:tc>
      </w:tr>
      <w:tr w:rsidR="00C11C6D" w:rsidRPr="00C21706" w:rsidTr="00AD7A0D">
        <w:trPr>
          <w:trHeight w:val="299"/>
          <w:jc w:val="center"/>
        </w:trPr>
        <w:tc>
          <w:tcPr>
            <w:tcW w:w="2686" w:type="dxa"/>
            <w:shd w:val="pct20" w:color="000000" w:fill="FFFFFF"/>
            <w:noWrap/>
            <w:hideMark/>
          </w:tcPr>
          <w:p w:rsidR="00C11C6D" w:rsidRPr="00C21706" w:rsidRDefault="00C11C6D" w:rsidP="00A4117E">
            <w:pPr>
              <w:rPr>
                <w:sz w:val="16"/>
                <w:szCs w:val="16"/>
              </w:rPr>
            </w:pPr>
            <w:r w:rsidRPr="00C21706">
              <w:rPr>
                <w:sz w:val="16"/>
                <w:szCs w:val="16"/>
              </w:rPr>
              <w:t>Centrifugal Booster Pump System Overhaul (&lt;=25hp)</w:t>
            </w:r>
          </w:p>
        </w:tc>
        <w:tc>
          <w:tcPr>
            <w:tcW w:w="1022" w:type="dxa"/>
            <w:shd w:val="pct20" w:color="000000" w:fill="FFFFFF"/>
            <w:noWrap/>
            <w:vAlign w:val="bottom"/>
            <w:hideMark/>
          </w:tcPr>
          <w:p w:rsidR="00C11C6D" w:rsidRPr="00AD18E9" w:rsidRDefault="00C11C6D" w:rsidP="006C6627">
            <w:pPr>
              <w:jc w:val="center"/>
              <w:rPr>
                <w:sz w:val="16"/>
                <w:szCs w:val="16"/>
              </w:rPr>
            </w:pPr>
            <w:r w:rsidRPr="00AD18E9">
              <w:rPr>
                <w:sz w:val="16"/>
                <w:szCs w:val="16"/>
              </w:rPr>
              <w:t>5</w:t>
            </w:r>
          </w:p>
        </w:tc>
        <w:tc>
          <w:tcPr>
            <w:tcW w:w="1346" w:type="dxa"/>
            <w:shd w:val="pct20" w:color="000000" w:fill="FFFFFF"/>
            <w:noWrap/>
            <w:vAlign w:val="bottom"/>
            <w:hideMark/>
          </w:tcPr>
          <w:p w:rsidR="00C11C6D" w:rsidRPr="00AD18E9" w:rsidRDefault="00C11C6D">
            <w:pPr>
              <w:jc w:val="center"/>
              <w:rPr>
                <w:color w:val="000000"/>
                <w:sz w:val="16"/>
                <w:szCs w:val="16"/>
              </w:rPr>
            </w:pPr>
            <w:r w:rsidRPr="00AD18E9">
              <w:rPr>
                <w:color w:val="000000"/>
                <w:sz w:val="16"/>
                <w:szCs w:val="16"/>
              </w:rPr>
              <w:t>25.0</w:t>
            </w:r>
          </w:p>
        </w:tc>
        <w:tc>
          <w:tcPr>
            <w:tcW w:w="1341" w:type="dxa"/>
            <w:shd w:val="pct20" w:color="000000" w:fill="FFFFFF"/>
            <w:noWrap/>
            <w:vAlign w:val="bottom"/>
            <w:hideMark/>
          </w:tcPr>
          <w:p w:rsidR="00C11C6D" w:rsidRPr="00AD18E9" w:rsidRDefault="00C11C6D">
            <w:pPr>
              <w:jc w:val="center"/>
              <w:rPr>
                <w:color w:val="000000"/>
                <w:sz w:val="16"/>
                <w:szCs w:val="16"/>
              </w:rPr>
            </w:pPr>
            <w:r w:rsidRPr="00AD18E9">
              <w:rPr>
                <w:color w:val="000000"/>
                <w:sz w:val="16"/>
                <w:szCs w:val="16"/>
              </w:rPr>
              <w:t>4,929.98</w:t>
            </w:r>
          </w:p>
        </w:tc>
        <w:tc>
          <w:tcPr>
            <w:tcW w:w="1745" w:type="dxa"/>
            <w:shd w:val="pct20" w:color="000000" w:fill="FFFFFF"/>
            <w:noWrap/>
            <w:vAlign w:val="bottom"/>
          </w:tcPr>
          <w:p w:rsidR="00C11C6D" w:rsidRPr="006C6627" w:rsidRDefault="00C11C6D">
            <w:pPr>
              <w:jc w:val="center"/>
              <w:rPr>
                <w:sz w:val="16"/>
                <w:szCs w:val="16"/>
              </w:rPr>
            </w:pPr>
            <w:r w:rsidRPr="00AD7A0D">
              <w:rPr>
                <w:sz w:val="16"/>
                <w:szCs w:val="16"/>
              </w:rPr>
              <w:t xml:space="preserve">$603.85 </w:t>
            </w:r>
          </w:p>
        </w:tc>
        <w:tc>
          <w:tcPr>
            <w:tcW w:w="1404" w:type="dxa"/>
            <w:shd w:val="pct20" w:color="000000" w:fill="FFFFFF"/>
            <w:noWrap/>
            <w:vAlign w:val="bottom"/>
            <w:hideMark/>
          </w:tcPr>
          <w:p w:rsidR="00C11C6D" w:rsidRPr="006C6627" w:rsidRDefault="00C11C6D">
            <w:pPr>
              <w:jc w:val="center"/>
              <w:rPr>
                <w:color w:val="000000"/>
                <w:sz w:val="16"/>
                <w:szCs w:val="16"/>
              </w:rPr>
            </w:pPr>
            <w:r w:rsidRPr="00AD7A0D">
              <w:rPr>
                <w:sz w:val="16"/>
                <w:szCs w:val="16"/>
              </w:rPr>
              <w:t>$15,096.25</w:t>
            </w:r>
          </w:p>
        </w:tc>
      </w:tr>
      <w:tr w:rsidR="00C11C6D" w:rsidRPr="00C21706" w:rsidTr="00AD7A0D">
        <w:trPr>
          <w:trHeight w:val="299"/>
          <w:jc w:val="center"/>
        </w:trPr>
        <w:tc>
          <w:tcPr>
            <w:tcW w:w="2686" w:type="dxa"/>
            <w:shd w:val="pct5" w:color="000000" w:fill="FFFFFF"/>
            <w:noWrap/>
            <w:hideMark/>
          </w:tcPr>
          <w:p w:rsidR="00C11C6D" w:rsidRPr="00C21706" w:rsidRDefault="00C11C6D" w:rsidP="00A4117E">
            <w:pPr>
              <w:rPr>
                <w:sz w:val="16"/>
                <w:szCs w:val="16"/>
              </w:rPr>
            </w:pPr>
            <w:r w:rsidRPr="00C21706">
              <w:rPr>
                <w:sz w:val="16"/>
                <w:szCs w:val="16"/>
              </w:rPr>
              <w:t>Centrifugal Booster Pump System Overhaul (&lt;=25hp)</w:t>
            </w:r>
          </w:p>
        </w:tc>
        <w:tc>
          <w:tcPr>
            <w:tcW w:w="1022" w:type="dxa"/>
            <w:shd w:val="pct5" w:color="000000" w:fill="FFFFFF"/>
            <w:noWrap/>
            <w:vAlign w:val="bottom"/>
            <w:hideMark/>
          </w:tcPr>
          <w:p w:rsidR="00C11C6D" w:rsidRPr="00AD18E9" w:rsidRDefault="00C11C6D" w:rsidP="006C6627">
            <w:pPr>
              <w:jc w:val="center"/>
              <w:rPr>
                <w:sz w:val="16"/>
                <w:szCs w:val="16"/>
              </w:rPr>
            </w:pPr>
            <w:r w:rsidRPr="00AD18E9">
              <w:rPr>
                <w:sz w:val="16"/>
                <w:szCs w:val="16"/>
              </w:rPr>
              <w:t>11</w:t>
            </w:r>
          </w:p>
        </w:tc>
        <w:tc>
          <w:tcPr>
            <w:tcW w:w="1346" w:type="dxa"/>
            <w:shd w:val="pct5" w:color="000000" w:fill="FFFFFF"/>
            <w:noWrap/>
            <w:vAlign w:val="bottom"/>
            <w:hideMark/>
          </w:tcPr>
          <w:p w:rsidR="00C11C6D" w:rsidRPr="00AD18E9" w:rsidRDefault="00C11C6D">
            <w:pPr>
              <w:jc w:val="center"/>
              <w:rPr>
                <w:color w:val="000000"/>
                <w:sz w:val="16"/>
                <w:szCs w:val="16"/>
              </w:rPr>
            </w:pPr>
            <w:r w:rsidRPr="00AD18E9">
              <w:rPr>
                <w:color w:val="000000"/>
                <w:sz w:val="16"/>
                <w:szCs w:val="16"/>
              </w:rPr>
              <w:t>25.0</w:t>
            </w:r>
          </w:p>
        </w:tc>
        <w:tc>
          <w:tcPr>
            <w:tcW w:w="1341" w:type="dxa"/>
            <w:shd w:val="pct5" w:color="000000" w:fill="FFFFFF"/>
            <w:noWrap/>
            <w:vAlign w:val="bottom"/>
            <w:hideMark/>
          </w:tcPr>
          <w:p w:rsidR="00C11C6D" w:rsidRPr="00AD18E9" w:rsidRDefault="00C11C6D">
            <w:pPr>
              <w:jc w:val="center"/>
              <w:rPr>
                <w:color w:val="000000"/>
                <w:sz w:val="16"/>
                <w:szCs w:val="16"/>
              </w:rPr>
            </w:pPr>
            <w:r w:rsidRPr="00AD18E9">
              <w:rPr>
                <w:color w:val="000000"/>
                <w:sz w:val="16"/>
                <w:szCs w:val="16"/>
              </w:rPr>
              <w:t>3,650.82</w:t>
            </w:r>
          </w:p>
        </w:tc>
        <w:tc>
          <w:tcPr>
            <w:tcW w:w="1745" w:type="dxa"/>
            <w:shd w:val="pct5" w:color="000000" w:fill="FFFFFF"/>
            <w:noWrap/>
            <w:vAlign w:val="bottom"/>
          </w:tcPr>
          <w:p w:rsidR="00C11C6D" w:rsidRPr="006C6627" w:rsidRDefault="00C11C6D">
            <w:pPr>
              <w:jc w:val="center"/>
              <w:rPr>
                <w:sz w:val="16"/>
                <w:szCs w:val="16"/>
              </w:rPr>
            </w:pPr>
            <w:r w:rsidRPr="00AD7A0D">
              <w:rPr>
                <w:sz w:val="16"/>
                <w:szCs w:val="16"/>
              </w:rPr>
              <w:t xml:space="preserve">$603.85 </w:t>
            </w:r>
          </w:p>
        </w:tc>
        <w:tc>
          <w:tcPr>
            <w:tcW w:w="1404" w:type="dxa"/>
            <w:shd w:val="pct5" w:color="000000" w:fill="FFFFFF"/>
            <w:noWrap/>
            <w:vAlign w:val="bottom"/>
            <w:hideMark/>
          </w:tcPr>
          <w:p w:rsidR="00C11C6D" w:rsidRPr="006C6627" w:rsidRDefault="00C11C6D">
            <w:pPr>
              <w:jc w:val="center"/>
              <w:rPr>
                <w:color w:val="000000"/>
                <w:sz w:val="16"/>
                <w:szCs w:val="16"/>
              </w:rPr>
            </w:pPr>
            <w:r w:rsidRPr="00AD7A0D">
              <w:rPr>
                <w:sz w:val="16"/>
                <w:szCs w:val="16"/>
              </w:rPr>
              <w:t>$15,096.25</w:t>
            </w:r>
          </w:p>
        </w:tc>
      </w:tr>
      <w:tr w:rsidR="00C11C6D" w:rsidRPr="00C21706" w:rsidTr="00AD7A0D">
        <w:trPr>
          <w:trHeight w:val="299"/>
          <w:jc w:val="center"/>
        </w:trPr>
        <w:tc>
          <w:tcPr>
            <w:tcW w:w="2686" w:type="dxa"/>
            <w:shd w:val="pct20" w:color="000000" w:fill="FFFFFF"/>
            <w:noWrap/>
            <w:hideMark/>
          </w:tcPr>
          <w:p w:rsidR="00C11C6D" w:rsidRPr="00C21706" w:rsidRDefault="00C11C6D" w:rsidP="00A4117E">
            <w:pPr>
              <w:rPr>
                <w:sz w:val="16"/>
                <w:szCs w:val="16"/>
              </w:rPr>
            </w:pPr>
            <w:r w:rsidRPr="00C21706">
              <w:rPr>
                <w:sz w:val="16"/>
                <w:szCs w:val="16"/>
              </w:rPr>
              <w:t>Centrifugal Booster Pump System Overhaul (&lt;=25hp)</w:t>
            </w:r>
          </w:p>
        </w:tc>
        <w:tc>
          <w:tcPr>
            <w:tcW w:w="1022" w:type="dxa"/>
            <w:shd w:val="pct20" w:color="000000" w:fill="FFFFFF"/>
            <w:noWrap/>
            <w:vAlign w:val="bottom"/>
            <w:hideMark/>
          </w:tcPr>
          <w:p w:rsidR="00C11C6D" w:rsidRPr="00AD18E9" w:rsidRDefault="00C11C6D" w:rsidP="006C6627">
            <w:pPr>
              <w:jc w:val="center"/>
              <w:rPr>
                <w:sz w:val="16"/>
                <w:szCs w:val="16"/>
              </w:rPr>
            </w:pPr>
            <w:r w:rsidRPr="00AD18E9">
              <w:rPr>
                <w:sz w:val="16"/>
                <w:szCs w:val="16"/>
              </w:rPr>
              <w:t>12</w:t>
            </w:r>
          </w:p>
        </w:tc>
        <w:tc>
          <w:tcPr>
            <w:tcW w:w="1346" w:type="dxa"/>
            <w:shd w:val="pct20" w:color="000000" w:fill="FFFFFF"/>
            <w:noWrap/>
            <w:vAlign w:val="bottom"/>
            <w:hideMark/>
          </w:tcPr>
          <w:p w:rsidR="00C11C6D" w:rsidRPr="00AD18E9" w:rsidRDefault="00C11C6D">
            <w:pPr>
              <w:jc w:val="center"/>
              <w:rPr>
                <w:color w:val="000000"/>
                <w:sz w:val="16"/>
                <w:szCs w:val="16"/>
              </w:rPr>
            </w:pPr>
            <w:r w:rsidRPr="00AD18E9">
              <w:rPr>
                <w:color w:val="000000"/>
                <w:sz w:val="16"/>
                <w:szCs w:val="16"/>
              </w:rPr>
              <w:t>25.0</w:t>
            </w:r>
          </w:p>
        </w:tc>
        <w:tc>
          <w:tcPr>
            <w:tcW w:w="1341" w:type="dxa"/>
            <w:shd w:val="pct20" w:color="000000" w:fill="FFFFFF"/>
            <w:noWrap/>
            <w:vAlign w:val="bottom"/>
            <w:hideMark/>
          </w:tcPr>
          <w:p w:rsidR="00C11C6D" w:rsidRPr="00AD18E9" w:rsidRDefault="00C11C6D">
            <w:pPr>
              <w:jc w:val="center"/>
              <w:rPr>
                <w:color w:val="000000"/>
                <w:sz w:val="16"/>
                <w:szCs w:val="16"/>
              </w:rPr>
            </w:pPr>
            <w:r w:rsidRPr="00AD18E9">
              <w:rPr>
                <w:color w:val="000000"/>
                <w:sz w:val="16"/>
                <w:szCs w:val="16"/>
              </w:rPr>
              <w:t>8,045.50</w:t>
            </w:r>
          </w:p>
        </w:tc>
        <w:tc>
          <w:tcPr>
            <w:tcW w:w="1745" w:type="dxa"/>
            <w:shd w:val="pct20" w:color="000000" w:fill="FFFFFF"/>
            <w:noWrap/>
            <w:vAlign w:val="bottom"/>
          </w:tcPr>
          <w:p w:rsidR="00C11C6D" w:rsidRPr="006C6627" w:rsidRDefault="00C11C6D">
            <w:pPr>
              <w:jc w:val="center"/>
              <w:rPr>
                <w:sz w:val="16"/>
                <w:szCs w:val="16"/>
              </w:rPr>
            </w:pPr>
            <w:r w:rsidRPr="00AD7A0D">
              <w:rPr>
                <w:sz w:val="16"/>
                <w:szCs w:val="16"/>
              </w:rPr>
              <w:t xml:space="preserve">$603.85 </w:t>
            </w:r>
          </w:p>
        </w:tc>
        <w:tc>
          <w:tcPr>
            <w:tcW w:w="1404" w:type="dxa"/>
            <w:shd w:val="pct20" w:color="000000" w:fill="FFFFFF"/>
            <w:noWrap/>
            <w:vAlign w:val="bottom"/>
            <w:hideMark/>
          </w:tcPr>
          <w:p w:rsidR="00C11C6D" w:rsidRPr="006C6627" w:rsidRDefault="00C11C6D">
            <w:pPr>
              <w:jc w:val="center"/>
              <w:rPr>
                <w:color w:val="000000"/>
                <w:sz w:val="16"/>
                <w:szCs w:val="16"/>
              </w:rPr>
            </w:pPr>
            <w:r w:rsidRPr="00AD7A0D">
              <w:rPr>
                <w:sz w:val="16"/>
                <w:szCs w:val="16"/>
              </w:rPr>
              <w:t>$15,096.25</w:t>
            </w:r>
          </w:p>
        </w:tc>
      </w:tr>
      <w:tr w:rsidR="00C11C6D" w:rsidRPr="00C21706" w:rsidTr="00AD7A0D">
        <w:trPr>
          <w:trHeight w:val="299"/>
          <w:jc w:val="center"/>
        </w:trPr>
        <w:tc>
          <w:tcPr>
            <w:tcW w:w="2686" w:type="dxa"/>
            <w:shd w:val="clear" w:color="auto" w:fill="F2F2F2" w:themeFill="background1" w:themeFillShade="F2"/>
            <w:noWrap/>
          </w:tcPr>
          <w:p w:rsidR="00C11C6D" w:rsidRPr="00C21706" w:rsidRDefault="00C11C6D" w:rsidP="00A4117E">
            <w:pPr>
              <w:rPr>
                <w:sz w:val="16"/>
                <w:szCs w:val="16"/>
              </w:rPr>
            </w:pPr>
            <w:r w:rsidRPr="00C21706">
              <w:rPr>
                <w:sz w:val="16"/>
                <w:szCs w:val="16"/>
              </w:rPr>
              <w:t>Centrifugal Booster Pump System Overhaul (&lt;=25hp)</w:t>
            </w:r>
          </w:p>
        </w:tc>
        <w:tc>
          <w:tcPr>
            <w:tcW w:w="1022" w:type="dxa"/>
            <w:shd w:val="clear" w:color="auto" w:fill="F2F2F2" w:themeFill="background1" w:themeFillShade="F2"/>
            <w:noWrap/>
            <w:vAlign w:val="bottom"/>
          </w:tcPr>
          <w:p w:rsidR="00C11C6D" w:rsidRPr="00AD18E9" w:rsidRDefault="00C11C6D" w:rsidP="006C6627">
            <w:pPr>
              <w:jc w:val="center"/>
              <w:rPr>
                <w:sz w:val="16"/>
                <w:szCs w:val="16"/>
              </w:rPr>
            </w:pPr>
            <w:r w:rsidRPr="00AD18E9">
              <w:rPr>
                <w:sz w:val="16"/>
                <w:szCs w:val="16"/>
              </w:rPr>
              <w:t>13</w:t>
            </w:r>
          </w:p>
        </w:tc>
        <w:tc>
          <w:tcPr>
            <w:tcW w:w="1346" w:type="dxa"/>
            <w:shd w:val="clear" w:color="auto" w:fill="F2F2F2" w:themeFill="background1" w:themeFillShade="F2"/>
            <w:noWrap/>
            <w:vAlign w:val="bottom"/>
          </w:tcPr>
          <w:p w:rsidR="00C11C6D" w:rsidRPr="00AD18E9" w:rsidRDefault="00C11C6D">
            <w:pPr>
              <w:jc w:val="center"/>
              <w:rPr>
                <w:color w:val="000000"/>
                <w:sz w:val="16"/>
                <w:szCs w:val="16"/>
              </w:rPr>
            </w:pPr>
            <w:r w:rsidRPr="00AD18E9">
              <w:rPr>
                <w:color w:val="000000"/>
                <w:sz w:val="16"/>
                <w:szCs w:val="16"/>
              </w:rPr>
              <w:t>25.0</w:t>
            </w:r>
          </w:p>
        </w:tc>
        <w:tc>
          <w:tcPr>
            <w:tcW w:w="1341" w:type="dxa"/>
            <w:shd w:val="clear" w:color="auto" w:fill="F2F2F2" w:themeFill="background1" w:themeFillShade="F2"/>
            <w:noWrap/>
            <w:vAlign w:val="bottom"/>
          </w:tcPr>
          <w:p w:rsidR="00C11C6D" w:rsidRPr="00AD18E9" w:rsidRDefault="00C11C6D">
            <w:pPr>
              <w:jc w:val="center"/>
              <w:rPr>
                <w:color w:val="000000"/>
                <w:sz w:val="16"/>
                <w:szCs w:val="16"/>
              </w:rPr>
            </w:pPr>
            <w:r w:rsidRPr="00AD18E9">
              <w:rPr>
                <w:color w:val="000000"/>
                <w:sz w:val="16"/>
                <w:szCs w:val="16"/>
              </w:rPr>
              <w:t>13,173.50</w:t>
            </w:r>
          </w:p>
        </w:tc>
        <w:tc>
          <w:tcPr>
            <w:tcW w:w="1745" w:type="dxa"/>
            <w:shd w:val="clear" w:color="auto" w:fill="F2F2F2" w:themeFill="background1" w:themeFillShade="F2"/>
            <w:noWrap/>
            <w:vAlign w:val="bottom"/>
          </w:tcPr>
          <w:p w:rsidR="00C11C6D" w:rsidRPr="006C6627" w:rsidRDefault="00C11C6D">
            <w:pPr>
              <w:jc w:val="center"/>
              <w:rPr>
                <w:sz w:val="16"/>
                <w:szCs w:val="16"/>
              </w:rPr>
            </w:pPr>
            <w:r w:rsidRPr="00AD7A0D">
              <w:rPr>
                <w:sz w:val="16"/>
                <w:szCs w:val="16"/>
              </w:rPr>
              <w:t xml:space="preserve">$603.85 </w:t>
            </w:r>
          </w:p>
        </w:tc>
        <w:tc>
          <w:tcPr>
            <w:tcW w:w="1404" w:type="dxa"/>
            <w:shd w:val="clear" w:color="auto" w:fill="F2F2F2" w:themeFill="background1" w:themeFillShade="F2"/>
            <w:noWrap/>
            <w:vAlign w:val="bottom"/>
          </w:tcPr>
          <w:p w:rsidR="00C11C6D" w:rsidRPr="00C11C6D" w:rsidRDefault="00C11C6D">
            <w:pPr>
              <w:jc w:val="center"/>
              <w:rPr>
                <w:color w:val="000000"/>
                <w:sz w:val="16"/>
                <w:szCs w:val="16"/>
              </w:rPr>
            </w:pPr>
            <w:r w:rsidRPr="00AD7A0D">
              <w:rPr>
                <w:sz w:val="16"/>
                <w:szCs w:val="16"/>
              </w:rPr>
              <w:t>$15,096.25</w:t>
            </w:r>
          </w:p>
        </w:tc>
      </w:tr>
    </w:tbl>
    <w:p w:rsidR="00A4117E" w:rsidRDefault="00A4117E" w:rsidP="00E35EAA"/>
    <w:p w:rsidR="00A4117E" w:rsidRDefault="00A4117E" w:rsidP="00E35EAA"/>
    <w:p w:rsidR="0030550A" w:rsidRPr="00314FE6" w:rsidRDefault="0030550A" w:rsidP="00B16127">
      <w:pPr>
        <w:pStyle w:val="Heading2"/>
      </w:pPr>
      <w:bookmarkStart w:id="36" w:name="_Toc392780018"/>
      <w:r w:rsidRPr="00314FE6">
        <w:t>4.3 Incremental &amp; Full Measure Costs</w:t>
      </w:r>
      <w:bookmarkEnd w:id="36"/>
    </w:p>
    <w:p w:rsidR="00CA3099" w:rsidRDefault="00CA3099" w:rsidP="00CA3099">
      <w:r>
        <w:t>Incremental Measure Cost (IMC) is the premium cost to install an energy efficient measure over a standard efficiency measure or code baseline measure.  The incremental cost is only used to help determine program incentives. It is not affected by the first and second baseline periods and may differ from the cost used for cost effectiveness calculations.</w:t>
      </w:r>
    </w:p>
    <w:p w:rsidR="00CA3099" w:rsidRDefault="00CA3099" w:rsidP="00CA3099"/>
    <w:p w:rsidR="00B11E06" w:rsidRPr="00314FE6" w:rsidRDefault="00CA3099" w:rsidP="00CA3099">
      <w:r>
        <w:t>However, for this measure, the base</w:t>
      </w:r>
      <w:r w:rsidR="00810E7C">
        <w:t xml:space="preserve"> </w:t>
      </w:r>
      <w:r>
        <w:t>case is an existing pump that is not operating efficiently. Therefore, the base case equipment cost is $0.00 for this measure. For this measure, the IMC will be equal to the GMC.</w:t>
      </w:r>
    </w:p>
    <w:p w:rsidR="009168A1" w:rsidRDefault="00241962" w:rsidP="00E35EAA">
      <w:pPr>
        <w:pStyle w:val="Heading1"/>
      </w:pPr>
      <w:r>
        <w:br w:type="page"/>
      </w:r>
      <w:bookmarkStart w:id="37" w:name="_Toc392780019"/>
      <w:r w:rsidR="00DE0602" w:rsidRPr="00314FE6">
        <w:lastRenderedPageBreak/>
        <w:t>R</w:t>
      </w:r>
      <w:r w:rsidR="000966CC" w:rsidRPr="00314FE6">
        <w:t>eferences</w:t>
      </w:r>
      <w:bookmarkEnd w:id="37"/>
      <w:r w:rsidR="00844B27" w:rsidRPr="00314FE6">
        <w:t xml:space="preserve"> </w:t>
      </w:r>
    </w:p>
    <w:p w:rsidR="00D37609" w:rsidRPr="001912A8" w:rsidRDefault="00D37609" w:rsidP="00D37609">
      <w:r>
        <w:rPr>
          <w:i/>
        </w:rPr>
        <w:t>[1</w:t>
      </w:r>
      <w:proofErr w:type="gramStart"/>
      <w:r>
        <w:rPr>
          <w:i/>
        </w:rPr>
        <w:t xml:space="preserve">]  </w:t>
      </w:r>
      <w:r w:rsidRPr="00CF0BA6">
        <w:rPr>
          <w:i/>
        </w:rPr>
        <w:t>Agricultural</w:t>
      </w:r>
      <w:proofErr w:type="gramEnd"/>
      <w:r w:rsidRPr="00CF0BA6">
        <w:rPr>
          <w:i/>
        </w:rPr>
        <w:t xml:space="preserve"> Pump System Overhaul for Pumps Less Than or Equal to 25hp</w:t>
      </w:r>
      <w:r w:rsidRPr="00800859">
        <w:t xml:space="preserve">, </w:t>
      </w:r>
      <w:r>
        <w:t>Southern California Edis</w:t>
      </w:r>
      <w:r w:rsidRPr="001912A8">
        <w:t>on Company, Work Paper SCE13PR003 Rev. 0, June 1, 2012.</w:t>
      </w:r>
    </w:p>
    <w:p w:rsidR="00D37609" w:rsidRDefault="00D37609" w:rsidP="00D37609">
      <w:pPr>
        <w:rPr>
          <w:i/>
        </w:rPr>
      </w:pPr>
    </w:p>
    <w:p w:rsidR="00D37609" w:rsidRPr="001912A8" w:rsidRDefault="00D37609" w:rsidP="00D37609">
      <w:r>
        <w:rPr>
          <w:i/>
        </w:rPr>
        <w:t>[2</w:t>
      </w:r>
      <w:proofErr w:type="gramStart"/>
      <w:r>
        <w:rPr>
          <w:i/>
        </w:rPr>
        <w:t xml:space="preserve">]  </w:t>
      </w:r>
      <w:r w:rsidRPr="001912A8">
        <w:rPr>
          <w:i/>
        </w:rPr>
        <w:t>Agricultural</w:t>
      </w:r>
      <w:proofErr w:type="gramEnd"/>
      <w:r w:rsidRPr="001912A8">
        <w:rPr>
          <w:i/>
        </w:rPr>
        <w:t xml:space="preserve"> Water Energy Efficiency, </w:t>
      </w:r>
      <w:r w:rsidRPr="001912A8">
        <w:t>Prepared for the California Energy Commission, Prepared by the Irrigation Training and Research Center, December 2011, CEC-500-2011-049</w:t>
      </w:r>
    </w:p>
    <w:p w:rsidR="006F085E" w:rsidRDefault="006F085E" w:rsidP="00E35EAA"/>
    <w:p w:rsidR="00D37609" w:rsidRPr="00A50518" w:rsidRDefault="00D37609" w:rsidP="00D37609">
      <w:pPr>
        <w:spacing w:before="120"/>
      </w:pPr>
      <w:r>
        <w:t>[3]</w:t>
      </w:r>
      <w:r w:rsidRPr="00A50518">
        <w:t xml:space="preserve"> DEER2011_NTGR_2012-05-16.xls </w:t>
      </w:r>
      <w:proofErr w:type="gramStart"/>
      <w:r w:rsidRPr="00A50518">
        <w:t>from  DEER</w:t>
      </w:r>
      <w:proofErr w:type="gramEnd"/>
      <w:r w:rsidRPr="00A50518">
        <w:t xml:space="preserve"> Database for Energy-Efficient Resources; Version 2011 4.01 found at:</w:t>
      </w:r>
      <w:r>
        <w:t xml:space="preserve"> </w:t>
      </w:r>
      <w:r w:rsidRPr="00A50518">
        <w:t>http://www.deeresources.com/index.php?option=com_content&amp;view=article&amp;id=68&amp;Itemid=60</w:t>
      </w:r>
    </w:p>
    <w:p w:rsidR="00D37609" w:rsidRDefault="00D37609" w:rsidP="00D37609">
      <w:pPr>
        <w:spacing w:before="120"/>
      </w:pPr>
      <w:r w:rsidRPr="00A50518">
        <w:t>Under: DEER2011 Update Documentation linked at: DEER2011 Update Net-To-Gross table</w:t>
      </w:r>
    </w:p>
    <w:p w:rsidR="00D37609" w:rsidRDefault="00D37609" w:rsidP="00E35EAA"/>
    <w:p w:rsidR="00D37609" w:rsidRDefault="00D37609" w:rsidP="00E35EAA">
      <w:r>
        <w:t>[4</w:t>
      </w:r>
      <w:proofErr w:type="gramStart"/>
      <w:r>
        <w:t>]  2004</w:t>
      </w:r>
      <w:proofErr w:type="gramEnd"/>
      <w:r>
        <w:t xml:space="preserve">-2005 Database for Energy Efficiency Resources (DEER) Update Study, Prepared for Southern California Edison, Prepared by </w:t>
      </w:r>
      <w:proofErr w:type="spellStart"/>
      <w:r>
        <w:t>Itron</w:t>
      </w:r>
      <w:proofErr w:type="spellEnd"/>
      <w:r>
        <w:t>, Inc., December 2005.</w:t>
      </w:r>
    </w:p>
    <w:p w:rsidR="00071A4E" w:rsidRDefault="00071A4E" w:rsidP="00071A4E"/>
    <w:p w:rsidR="00071A4E" w:rsidRDefault="00071A4E" w:rsidP="00071A4E">
      <w:r>
        <w:t>[</w:t>
      </w:r>
      <w:r w:rsidR="00BB6DB1">
        <w:t>5</w:t>
      </w:r>
      <w:r>
        <w:t xml:space="preserve">] </w:t>
      </w:r>
      <w:r w:rsidRPr="008103AE">
        <w:t>Summit Blue, “Process Evaluation Report for the SCE Agricultural Energy Efficiency Program”, January 14, 2009, page 8.</w:t>
      </w:r>
    </w:p>
    <w:p w:rsidR="00071A4E" w:rsidRDefault="00071A4E" w:rsidP="00E35EAA"/>
    <w:p w:rsidR="00D37609" w:rsidRDefault="00D37609" w:rsidP="00E35EAA"/>
    <w:p w:rsidR="00D37609" w:rsidRDefault="00D37609" w:rsidP="00E35EAA"/>
    <w:p w:rsidR="00A50518" w:rsidRDefault="006F085E" w:rsidP="00E35EAA">
      <w:pPr>
        <w:pStyle w:val="Heading1"/>
      </w:pPr>
      <w:bookmarkStart w:id="38" w:name="_Toc392780020"/>
      <w:r w:rsidRPr="00800859">
        <w:t>Attach</w:t>
      </w:r>
      <w:r w:rsidR="00800859" w:rsidRPr="00800859">
        <w:t>ment</w:t>
      </w:r>
      <w:r w:rsidR="00A50518">
        <w:t>s</w:t>
      </w:r>
      <w:bookmarkEnd w:id="38"/>
    </w:p>
    <w:p w:rsidR="00D37609" w:rsidRPr="00D444ED" w:rsidRDefault="00D37609" w:rsidP="00D37609">
      <w:pPr>
        <w:spacing w:before="120"/>
        <w:jc w:val="both"/>
      </w:pPr>
      <w:r w:rsidRPr="00D444ED">
        <w:t xml:space="preserve">[A] </w:t>
      </w:r>
      <w:r w:rsidR="006C6627" w:rsidRPr="00D444ED">
        <w:t>PGE</w:t>
      </w:r>
      <w:r w:rsidR="006C6627">
        <w:t>COAGR114</w:t>
      </w:r>
      <w:r w:rsidR="006C6627" w:rsidRPr="00D444ED">
        <w:t xml:space="preserve"> </w:t>
      </w:r>
      <w:r w:rsidRPr="00D444ED">
        <w:t>R0 execsumm.xlsm</w:t>
      </w:r>
      <w:r w:rsidRPr="00D444ED">
        <w:tab/>
      </w:r>
    </w:p>
    <w:p w:rsidR="00D37609" w:rsidRPr="00D444ED" w:rsidRDefault="00D37609" w:rsidP="00D37609">
      <w:pPr>
        <w:spacing w:before="120"/>
        <w:jc w:val="both"/>
      </w:pPr>
      <w:r w:rsidRPr="00D444ED">
        <w:t xml:space="preserve">[B] </w:t>
      </w:r>
      <w:r w:rsidRPr="00D37609">
        <w:t>PGECO</w:t>
      </w:r>
      <w:r w:rsidR="006C6627">
        <w:t>AGR114</w:t>
      </w:r>
      <w:r w:rsidRPr="00D37609">
        <w:t xml:space="preserve"> R0 Ag Pump Overhaul Measure Savings</w:t>
      </w:r>
      <w:r w:rsidRPr="00D444ED">
        <w:t>.xlsm</w:t>
      </w:r>
    </w:p>
    <w:p w:rsidR="00D37609" w:rsidRPr="00D444ED" w:rsidRDefault="00D37609" w:rsidP="00D37609">
      <w:pPr>
        <w:spacing w:before="120"/>
        <w:jc w:val="both"/>
        <w:rPr>
          <w:sz w:val="18"/>
          <w:szCs w:val="18"/>
        </w:rPr>
      </w:pPr>
      <w:r w:rsidRPr="00D444ED">
        <w:t xml:space="preserve">[C] </w:t>
      </w:r>
      <w:r w:rsidRPr="00D37609">
        <w:t>APEP Peak Demand Analysis_101210</w:t>
      </w:r>
      <w:r w:rsidRPr="00D444ED">
        <w:t>.</w:t>
      </w:r>
      <w:r>
        <w:t>ppt</w:t>
      </w:r>
    </w:p>
    <w:p w:rsidR="00FB47CF" w:rsidRPr="000A0895" w:rsidRDefault="00FB47CF" w:rsidP="00E35EAA">
      <w:r w:rsidRPr="000A0895">
        <w:tab/>
      </w:r>
      <w:r w:rsidRPr="000A0895">
        <w:tab/>
      </w:r>
      <w:r w:rsidRPr="000A0895">
        <w:tab/>
      </w:r>
    </w:p>
    <w:p w:rsidR="00FB47CF" w:rsidRDefault="00FB47CF" w:rsidP="00E35EAA"/>
    <w:p w:rsidR="00FB47CF" w:rsidRDefault="00FB47CF" w:rsidP="00E35EAA"/>
    <w:p w:rsidR="00FB47CF" w:rsidRDefault="00FB47CF" w:rsidP="00E35EAA"/>
    <w:p w:rsidR="00FB47CF" w:rsidRDefault="00FB47CF" w:rsidP="00E35EAA"/>
    <w:p w:rsidR="0026671D" w:rsidRDefault="00FB47CF" w:rsidP="00E35EAA">
      <w:pPr>
        <w:rPr>
          <w:rFonts w:ascii="Calibri" w:hAnsi="Calibri" w:cs="Calibri"/>
          <w:color w:val="000000"/>
          <w:sz w:val="22"/>
          <w:szCs w:val="22"/>
        </w:rPr>
      </w:pPr>
      <w:r>
        <w:t xml:space="preserve"> </w:t>
      </w:r>
    </w:p>
    <w:p w:rsidR="005857C9" w:rsidRPr="00A50518" w:rsidRDefault="005857C9" w:rsidP="00E35EAA"/>
    <w:sectPr w:rsidR="005857C9" w:rsidRPr="00A50518" w:rsidSect="00A30CB3">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4AA" w:rsidRDefault="00A324AA" w:rsidP="00E35EAA">
      <w:r>
        <w:separator/>
      </w:r>
    </w:p>
  </w:endnote>
  <w:endnote w:type="continuationSeparator" w:id="0">
    <w:p w:rsidR="00A324AA" w:rsidRDefault="00A324AA" w:rsidP="00E3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5B2" w:rsidRDefault="004B05B2" w:rsidP="00E35EA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4B05B2" w:rsidRDefault="004B05B2" w:rsidP="00E35E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5B2" w:rsidRPr="002E0E3F" w:rsidRDefault="004B05B2" w:rsidP="00E35EAA">
    <w:pPr>
      <w:pStyle w:val="Footer"/>
    </w:pPr>
    <w:r>
      <w:t>Date of Last Revision</w:t>
    </w:r>
  </w:p>
  <w:p w:rsidR="004B05B2" w:rsidRDefault="004B05B2" w:rsidP="00E35E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5B2" w:rsidRDefault="00ED638E" w:rsidP="00ED638E">
    <w:pPr>
      <w:pStyle w:val="Footer"/>
    </w:pPr>
    <w:r>
      <w:rPr>
        <w:rStyle w:val="PageNumber"/>
        <w:b/>
      </w:rPr>
      <w:tab/>
      <w:t xml:space="preserve">                                     </w:t>
    </w:r>
    <w:r w:rsidR="004B05B2" w:rsidRPr="00846195">
      <w:rPr>
        <w:rStyle w:val="PageNumber"/>
        <w:b/>
      </w:rPr>
      <w:fldChar w:fldCharType="begin"/>
    </w:r>
    <w:r w:rsidR="004B05B2" w:rsidRPr="00846195">
      <w:rPr>
        <w:rStyle w:val="PageNumber"/>
        <w:b/>
      </w:rPr>
      <w:instrText xml:space="preserve">PAGE  </w:instrText>
    </w:r>
    <w:r w:rsidR="004B05B2" w:rsidRPr="00846195">
      <w:rPr>
        <w:rStyle w:val="PageNumber"/>
        <w:b/>
      </w:rPr>
      <w:fldChar w:fldCharType="separate"/>
    </w:r>
    <w:r>
      <w:rPr>
        <w:rStyle w:val="PageNumber"/>
        <w:b/>
        <w:noProof/>
      </w:rPr>
      <w:t>i</w:t>
    </w:r>
    <w:r w:rsidR="004B05B2" w:rsidRPr="00846195">
      <w:rPr>
        <w:rStyle w:val="PageNumber"/>
        <w:b/>
      </w:rPr>
      <w:fldChar w:fldCharType="end"/>
    </w:r>
    <w:r>
      <w:rPr>
        <w:rStyle w:val="PageNumber"/>
        <w:b/>
      </w:rPr>
      <w:tab/>
    </w:r>
    <w:r>
      <w:t xml:space="preserve">     </w:t>
    </w:r>
    <w:r>
      <w:tab/>
    </w:r>
    <w:r>
      <w:tab/>
      <w:t xml:space="preserve">         </w:t>
    </w:r>
    <w:r w:rsidR="004B05B2">
      <w:fldChar w:fldCharType="begin"/>
    </w:r>
    <w:r w:rsidR="004B05B2">
      <w:instrText xml:space="preserve"> DATE \@ "M/d/yyyy" </w:instrText>
    </w:r>
    <w:r w:rsidR="004B05B2">
      <w:fldChar w:fldCharType="separate"/>
    </w:r>
    <w:r>
      <w:rPr>
        <w:noProof/>
      </w:rPr>
      <w:t>8/13/2014</w:t>
    </w:r>
    <w:r w:rsidR="004B05B2">
      <w:fldChar w:fldCharType="end"/>
    </w:r>
  </w:p>
  <w:p w:rsidR="004B05B2" w:rsidRPr="00897B81" w:rsidRDefault="004B05B2" w:rsidP="00E35EAA">
    <w:pPr>
      <w:pStyle w:val="Footer"/>
    </w:pPr>
    <w:r>
      <w:t>Work Pa</w:t>
    </w:r>
    <w:r w:rsidRPr="00897B81">
      <w:t>per PGE</w:t>
    </w:r>
    <w:r w:rsidR="00ED638E">
      <w:t>COAGR120</w:t>
    </w:r>
    <w:r w:rsidRPr="00897B81">
      <w:t xml:space="preserve">, Revision 0 </w:t>
    </w:r>
  </w:p>
  <w:p w:rsidR="004B05B2" w:rsidRPr="00897B81" w:rsidRDefault="004B05B2" w:rsidP="00E35EAA">
    <w:pPr>
      <w:pStyle w:val="Footer"/>
    </w:pPr>
    <w:r w:rsidRPr="00897B81">
      <w:t>Pacific Gas &amp; Electric Company</w:t>
    </w:r>
  </w:p>
  <w:p w:rsidR="004B05B2" w:rsidRPr="00893A0F" w:rsidRDefault="004B05B2" w:rsidP="00E35EAA">
    <w:pPr>
      <w:pStyle w:val="Footer"/>
    </w:pPr>
    <w:r w:rsidRPr="00897B81">
      <w:t>PGE</w:t>
    </w:r>
    <w:r w:rsidR="00ED638E">
      <w:t>COAGR120</w:t>
    </w:r>
    <w:r w:rsidRPr="00897B81">
      <w:t xml:space="preserve"> R0 Agr</w:t>
    </w:r>
    <w:r w:rsidRPr="00B50D0A">
      <w:t>icultural Pump System Overhaul for Pumps Less Than or Equal to 25hp</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5B2" w:rsidRDefault="00ED638E" w:rsidP="00E35EAA">
    <w:pPr>
      <w:pStyle w:val="Footer"/>
    </w:pPr>
    <w:r>
      <w:rPr>
        <w:rStyle w:val="PageNumber"/>
        <w:b/>
      </w:rPr>
      <w:tab/>
    </w:r>
    <w:r w:rsidR="004B05B2" w:rsidRPr="00846195">
      <w:rPr>
        <w:rStyle w:val="PageNumber"/>
        <w:b/>
      </w:rPr>
      <w:fldChar w:fldCharType="begin"/>
    </w:r>
    <w:r w:rsidR="004B05B2" w:rsidRPr="00846195">
      <w:rPr>
        <w:rStyle w:val="PageNumber"/>
        <w:b/>
      </w:rPr>
      <w:instrText xml:space="preserve">PAGE  </w:instrText>
    </w:r>
    <w:r w:rsidR="004B05B2" w:rsidRPr="00846195">
      <w:rPr>
        <w:rStyle w:val="PageNumber"/>
        <w:b/>
      </w:rPr>
      <w:fldChar w:fldCharType="separate"/>
    </w:r>
    <w:r>
      <w:rPr>
        <w:rStyle w:val="PageNumber"/>
        <w:b/>
        <w:noProof/>
      </w:rPr>
      <w:t>iii</w:t>
    </w:r>
    <w:r w:rsidR="004B05B2" w:rsidRPr="00846195">
      <w:rPr>
        <w:rStyle w:val="PageNumber"/>
        <w:b/>
      </w:rPr>
      <w:fldChar w:fldCharType="end"/>
    </w:r>
    <w:r>
      <w:rPr>
        <w:rStyle w:val="PageNumber"/>
        <w:b/>
      </w:rPr>
      <w:t xml:space="preserve">  </w:t>
    </w:r>
    <w:r w:rsidR="004B05B2">
      <w:tab/>
    </w:r>
    <w:r w:rsidR="004B05B2">
      <w:fldChar w:fldCharType="begin"/>
    </w:r>
    <w:r w:rsidR="004B05B2">
      <w:instrText xml:space="preserve"> DATE \@ "M/d/yyyy" </w:instrText>
    </w:r>
    <w:r w:rsidR="004B05B2">
      <w:fldChar w:fldCharType="separate"/>
    </w:r>
    <w:r>
      <w:rPr>
        <w:noProof/>
      </w:rPr>
      <w:t>8/13/2014</w:t>
    </w:r>
    <w:r w:rsidR="004B05B2">
      <w:fldChar w:fldCharType="end"/>
    </w:r>
  </w:p>
  <w:p w:rsidR="004B05B2" w:rsidRPr="00897B81" w:rsidRDefault="004B05B2" w:rsidP="00E35EAA">
    <w:pPr>
      <w:pStyle w:val="Footer"/>
    </w:pPr>
    <w:r>
      <w:t>Work Pa</w:t>
    </w:r>
    <w:r w:rsidRPr="00897B81">
      <w:t>per PGE</w:t>
    </w:r>
    <w:r w:rsidR="00ED638E">
      <w:t>COAGR120</w:t>
    </w:r>
    <w:r w:rsidRPr="00897B81">
      <w:t xml:space="preserve">, Revision 0 </w:t>
    </w:r>
  </w:p>
  <w:p w:rsidR="004B05B2" w:rsidRPr="00897B81" w:rsidRDefault="004B05B2" w:rsidP="00E35EAA">
    <w:pPr>
      <w:pStyle w:val="Footer"/>
    </w:pPr>
    <w:r w:rsidRPr="00897B81">
      <w:t>Pacific Gas &amp; Electric Company</w:t>
    </w:r>
  </w:p>
  <w:p w:rsidR="004B05B2" w:rsidRPr="00893A0F" w:rsidRDefault="004B05B2" w:rsidP="00E35EAA">
    <w:pPr>
      <w:pStyle w:val="Footer"/>
    </w:pPr>
    <w:r w:rsidRPr="00897B81">
      <w:t>PGE</w:t>
    </w:r>
    <w:r w:rsidR="00ED638E">
      <w:t>COAGR120</w:t>
    </w:r>
    <w:r w:rsidRPr="00897B81">
      <w:t xml:space="preserve"> R0 Agr</w:t>
    </w:r>
    <w:r w:rsidRPr="00B50D0A">
      <w:t>icultural Pump System Overhaul for Pumps Less Than or Equal to 25hp</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5B2" w:rsidRDefault="00ED638E" w:rsidP="00E35EAA">
    <w:pPr>
      <w:pStyle w:val="Footer"/>
    </w:pPr>
    <w:r>
      <w:rPr>
        <w:rStyle w:val="PageNumber"/>
        <w:b/>
      </w:rPr>
      <w:tab/>
    </w:r>
    <w:r w:rsidR="004B05B2" w:rsidRPr="00846195">
      <w:rPr>
        <w:rStyle w:val="PageNumber"/>
        <w:b/>
      </w:rPr>
      <w:fldChar w:fldCharType="begin"/>
    </w:r>
    <w:r w:rsidR="004B05B2" w:rsidRPr="00846195">
      <w:rPr>
        <w:rStyle w:val="PageNumber"/>
        <w:b/>
      </w:rPr>
      <w:instrText xml:space="preserve">PAGE  </w:instrText>
    </w:r>
    <w:r w:rsidR="004B05B2" w:rsidRPr="00846195">
      <w:rPr>
        <w:rStyle w:val="PageNumber"/>
        <w:b/>
      </w:rPr>
      <w:fldChar w:fldCharType="separate"/>
    </w:r>
    <w:r>
      <w:rPr>
        <w:rStyle w:val="PageNumber"/>
        <w:b/>
        <w:noProof/>
      </w:rPr>
      <w:t>1</w:t>
    </w:r>
    <w:r w:rsidR="004B05B2" w:rsidRPr="00846195">
      <w:rPr>
        <w:rStyle w:val="PageNumber"/>
        <w:b/>
      </w:rPr>
      <w:fldChar w:fldCharType="end"/>
    </w:r>
    <w:r w:rsidR="004B05B2">
      <w:tab/>
    </w:r>
    <w:r w:rsidR="004B05B2">
      <w:fldChar w:fldCharType="begin"/>
    </w:r>
    <w:r w:rsidR="004B05B2">
      <w:instrText xml:space="preserve"> DATE \@ "M/d/yyyy" </w:instrText>
    </w:r>
    <w:r w:rsidR="004B05B2">
      <w:fldChar w:fldCharType="separate"/>
    </w:r>
    <w:r>
      <w:rPr>
        <w:noProof/>
      </w:rPr>
      <w:t>8/13/2014</w:t>
    </w:r>
    <w:r w:rsidR="004B05B2">
      <w:fldChar w:fldCharType="end"/>
    </w:r>
  </w:p>
  <w:p w:rsidR="004B05B2" w:rsidRPr="00897B81" w:rsidRDefault="004B05B2" w:rsidP="00106397">
    <w:pPr>
      <w:pStyle w:val="Footer"/>
    </w:pPr>
    <w:r>
      <w:t>Work Pape</w:t>
    </w:r>
    <w:r w:rsidRPr="00897B81">
      <w:t>r PGE</w:t>
    </w:r>
    <w:r w:rsidR="00ED638E">
      <w:t>COAGR120</w:t>
    </w:r>
    <w:r w:rsidRPr="00897B81">
      <w:t xml:space="preserve">, Revision 0 </w:t>
    </w:r>
  </w:p>
  <w:p w:rsidR="004B05B2" w:rsidRPr="00897B81" w:rsidRDefault="004B05B2" w:rsidP="00106397">
    <w:pPr>
      <w:pStyle w:val="Footer"/>
    </w:pPr>
    <w:r w:rsidRPr="00897B81">
      <w:t>Pacific Gas &amp; Electric Company</w:t>
    </w:r>
  </w:p>
  <w:p w:rsidR="004B05B2" w:rsidRPr="00893A0F" w:rsidRDefault="004B05B2" w:rsidP="00106397">
    <w:pPr>
      <w:pStyle w:val="Footer"/>
    </w:pPr>
    <w:r w:rsidRPr="00897B81">
      <w:t>PGE</w:t>
    </w:r>
    <w:r w:rsidR="00ED638E">
      <w:t>COAGR120</w:t>
    </w:r>
    <w:r w:rsidRPr="00897B81">
      <w:t xml:space="preserve"> R0 Agric</w:t>
    </w:r>
    <w:r w:rsidRPr="00B50D0A">
      <w:t>ultural Pump System Overhaul for Pumps Less Than or Equal to 25hp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4AA" w:rsidRDefault="00A324AA" w:rsidP="00E35EAA">
      <w:r>
        <w:separator/>
      </w:r>
    </w:p>
  </w:footnote>
  <w:footnote w:type="continuationSeparator" w:id="0">
    <w:p w:rsidR="00A324AA" w:rsidRDefault="00A324AA" w:rsidP="00E35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5B2" w:rsidRDefault="00A324AA" w:rsidP="00E35EA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24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5B2" w:rsidRDefault="004B05B2" w:rsidP="00E35EAA">
    <w:pPr>
      <w:pStyle w:val="Header"/>
    </w:pPr>
  </w:p>
  <w:p w:rsidR="004B05B2" w:rsidRDefault="004B05B2" w:rsidP="00E35E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5B2" w:rsidRDefault="00A324AA" w:rsidP="00E35EA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1C58"/>
    <w:multiLevelType w:val="hybridMultilevel"/>
    <w:tmpl w:val="9754134C"/>
    <w:lvl w:ilvl="0" w:tplc="3F04DCA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725941"/>
    <w:multiLevelType w:val="hybridMultilevel"/>
    <w:tmpl w:val="BC1AC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C054633"/>
    <w:multiLevelType w:val="hybridMultilevel"/>
    <w:tmpl w:val="CED09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5">
    <w:nsid w:val="0D3A0E2D"/>
    <w:multiLevelType w:val="hybridMultilevel"/>
    <w:tmpl w:val="9FF888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31A1003"/>
    <w:multiLevelType w:val="hybridMultilevel"/>
    <w:tmpl w:val="086C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9C0B3E"/>
    <w:multiLevelType w:val="hybridMultilevel"/>
    <w:tmpl w:val="E7DEB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nsid w:val="30DA47F7"/>
    <w:multiLevelType w:val="hybridMultilevel"/>
    <w:tmpl w:val="0026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7">
    <w:nsid w:val="31FB38D6"/>
    <w:multiLevelType w:val="hybridMultilevel"/>
    <w:tmpl w:val="540CD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C651BF9"/>
    <w:multiLevelType w:val="hybridMultilevel"/>
    <w:tmpl w:val="9B78F5E2"/>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2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5FC0613"/>
    <w:multiLevelType w:val="hybridMultilevel"/>
    <w:tmpl w:val="6DD40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A027ECD"/>
    <w:multiLevelType w:val="hybridMultilevel"/>
    <w:tmpl w:val="0B82DF0C"/>
    <w:lvl w:ilvl="0" w:tplc="1B864622">
      <w:start w:val="16"/>
      <w:numFmt w:val="bullet"/>
      <w:lvlText w:val=""/>
      <w:lvlJc w:val="left"/>
      <w:pPr>
        <w:ind w:left="1800" w:hanging="360"/>
      </w:pPr>
      <w:rPr>
        <w:rFonts w:ascii="Symbol" w:eastAsia="Times New Roman" w:hAnsi="Symbol" w:cs="Arial" w:hint="default"/>
        <w:sz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4C7614A9"/>
    <w:multiLevelType w:val="hybridMultilevel"/>
    <w:tmpl w:val="F66876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3132E5"/>
    <w:multiLevelType w:val="hybridMultilevel"/>
    <w:tmpl w:val="44829F34"/>
    <w:lvl w:ilvl="0" w:tplc="B04E47F8">
      <w:start w:val="1"/>
      <w:numFmt w:val="bullet"/>
      <w:lvlText w:val=""/>
      <w:lvlJc w:val="left"/>
      <w:pPr>
        <w:ind w:left="1800" w:hanging="360"/>
      </w:pPr>
      <w:rPr>
        <w:rFonts w:ascii="Symbol" w:eastAsia="Calibri" w:hAnsi="Symbol" w:cstheme="minorHAnsi" w:hint="default"/>
        <w:sz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9">
    <w:nsid w:val="5F335F86"/>
    <w:multiLevelType w:val="hybridMultilevel"/>
    <w:tmpl w:val="ACEA06A2"/>
    <w:lvl w:ilvl="0" w:tplc="0409000F">
      <w:start w:val="1"/>
      <w:numFmt w:val="decimal"/>
      <w:lvlText w:val="%1."/>
      <w:lvlJc w:val="left"/>
      <w:pPr>
        <w:tabs>
          <w:tab w:val="num" w:pos="788"/>
        </w:tabs>
        <w:ind w:left="788" w:hanging="360"/>
      </w:pPr>
    </w:lvl>
    <w:lvl w:ilvl="1" w:tplc="04090019" w:tentative="1">
      <w:start w:val="1"/>
      <w:numFmt w:val="lowerLetter"/>
      <w:lvlText w:val="%2."/>
      <w:lvlJc w:val="left"/>
      <w:pPr>
        <w:tabs>
          <w:tab w:val="num" w:pos="1508"/>
        </w:tabs>
        <w:ind w:left="1508" w:hanging="360"/>
      </w:pPr>
    </w:lvl>
    <w:lvl w:ilvl="2" w:tplc="0409001B" w:tentative="1">
      <w:start w:val="1"/>
      <w:numFmt w:val="lowerRoman"/>
      <w:lvlText w:val="%3."/>
      <w:lvlJc w:val="right"/>
      <w:pPr>
        <w:tabs>
          <w:tab w:val="num" w:pos="2228"/>
        </w:tabs>
        <w:ind w:left="2228" w:hanging="180"/>
      </w:pPr>
    </w:lvl>
    <w:lvl w:ilvl="3" w:tplc="0409000F" w:tentative="1">
      <w:start w:val="1"/>
      <w:numFmt w:val="decimal"/>
      <w:lvlText w:val="%4."/>
      <w:lvlJc w:val="left"/>
      <w:pPr>
        <w:tabs>
          <w:tab w:val="num" w:pos="2948"/>
        </w:tabs>
        <w:ind w:left="2948" w:hanging="360"/>
      </w:pPr>
    </w:lvl>
    <w:lvl w:ilvl="4" w:tplc="04090019" w:tentative="1">
      <w:start w:val="1"/>
      <w:numFmt w:val="lowerLetter"/>
      <w:lvlText w:val="%5."/>
      <w:lvlJc w:val="left"/>
      <w:pPr>
        <w:tabs>
          <w:tab w:val="num" w:pos="3668"/>
        </w:tabs>
        <w:ind w:left="3668" w:hanging="360"/>
      </w:pPr>
    </w:lvl>
    <w:lvl w:ilvl="5" w:tplc="0409001B" w:tentative="1">
      <w:start w:val="1"/>
      <w:numFmt w:val="lowerRoman"/>
      <w:lvlText w:val="%6."/>
      <w:lvlJc w:val="right"/>
      <w:pPr>
        <w:tabs>
          <w:tab w:val="num" w:pos="4388"/>
        </w:tabs>
        <w:ind w:left="4388" w:hanging="180"/>
      </w:pPr>
    </w:lvl>
    <w:lvl w:ilvl="6" w:tplc="0409000F" w:tentative="1">
      <w:start w:val="1"/>
      <w:numFmt w:val="decimal"/>
      <w:lvlText w:val="%7."/>
      <w:lvlJc w:val="left"/>
      <w:pPr>
        <w:tabs>
          <w:tab w:val="num" w:pos="5108"/>
        </w:tabs>
        <w:ind w:left="5108" w:hanging="360"/>
      </w:pPr>
    </w:lvl>
    <w:lvl w:ilvl="7" w:tplc="04090019" w:tentative="1">
      <w:start w:val="1"/>
      <w:numFmt w:val="lowerLetter"/>
      <w:lvlText w:val="%8."/>
      <w:lvlJc w:val="left"/>
      <w:pPr>
        <w:tabs>
          <w:tab w:val="num" w:pos="5828"/>
        </w:tabs>
        <w:ind w:left="5828" w:hanging="360"/>
      </w:pPr>
    </w:lvl>
    <w:lvl w:ilvl="8" w:tplc="0409001B" w:tentative="1">
      <w:start w:val="1"/>
      <w:numFmt w:val="lowerRoman"/>
      <w:lvlText w:val="%9."/>
      <w:lvlJc w:val="right"/>
      <w:pPr>
        <w:tabs>
          <w:tab w:val="num" w:pos="6548"/>
        </w:tabs>
        <w:ind w:left="6548" w:hanging="180"/>
      </w:pPr>
    </w:lvl>
  </w:abstractNum>
  <w:abstractNum w:abstractNumId="3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1CA4FDD"/>
    <w:multiLevelType w:val="hybridMultilevel"/>
    <w:tmpl w:val="16ECC0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5369AE"/>
    <w:multiLevelType w:val="hybridMultilevel"/>
    <w:tmpl w:val="02A863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9D286F"/>
    <w:multiLevelType w:val="hybridMultilevel"/>
    <w:tmpl w:val="E904E0A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4">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0A4AE0"/>
    <w:multiLevelType w:val="hybridMultilevel"/>
    <w:tmpl w:val="951A8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820856"/>
    <w:multiLevelType w:val="singleLevel"/>
    <w:tmpl w:val="6C78A414"/>
    <w:lvl w:ilvl="0">
      <w:start w:val="1"/>
      <w:numFmt w:val="decimal"/>
      <w:lvlText w:val="%1."/>
      <w:legacy w:legacy="1" w:legacySpace="0" w:legacyIndent="0"/>
      <w:lvlJc w:val="left"/>
    </w:lvl>
  </w:abstractNum>
  <w:abstractNum w:abstractNumId="38">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8"/>
  </w:num>
  <w:num w:numId="3">
    <w:abstractNumId w:val="10"/>
  </w:num>
  <w:num w:numId="4">
    <w:abstractNumId w:val="12"/>
  </w:num>
  <w:num w:numId="5">
    <w:abstractNumId w:val="37"/>
  </w:num>
  <w:num w:numId="6">
    <w:abstractNumId w:val="16"/>
  </w:num>
  <w:num w:numId="7">
    <w:abstractNumId w:val="11"/>
  </w:num>
  <w:num w:numId="8">
    <w:abstractNumId w:val="20"/>
  </w:num>
  <w:num w:numId="9">
    <w:abstractNumId w:val="14"/>
  </w:num>
  <w:num w:numId="10">
    <w:abstractNumId w:val="4"/>
  </w:num>
  <w:num w:numId="11">
    <w:abstractNumId w:val="28"/>
  </w:num>
  <w:num w:numId="12">
    <w:abstractNumId w:val="30"/>
  </w:num>
  <w:num w:numId="13">
    <w:abstractNumId w:val="7"/>
  </w:num>
  <w:num w:numId="14">
    <w:abstractNumId w:val="38"/>
  </w:num>
  <w:num w:numId="15">
    <w:abstractNumId w:val="21"/>
  </w:num>
  <w:num w:numId="16">
    <w:abstractNumId w:val="23"/>
  </w:num>
  <w:num w:numId="17">
    <w:abstractNumId w:val="2"/>
  </w:num>
  <w:num w:numId="18">
    <w:abstractNumId w:val="13"/>
  </w:num>
  <w:num w:numId="19">
    <w:abstractNumId w:val="34"/>
  </w:num>
  <w:num w:numId="20">
    <w:abstractNumId w:val="36"/>
  </w:num>
  <w:num w:numId="21">
    <w:abstractNumId w:val="8"/>
  </w:num>
  <w:num w:numId="22">
    <w:abstractNumId w:val="33"/>
  </w:num>
  <w:num w:numId="23">
    <w:abstractNumId w:val="27"/>
  </w:num>
  <w:num w:numId="24">
    <w:abstractNumId w:val="15"/>
  </w:num>
  <w:num w:numId="25">
    <w:abstractNumId w:val="3"/>
  </w:num>
  <w:num w:numId="26">
    <w:abstractNumId w:val="19"/>
  </w:num>
  <w:num w:numId="27">
    <w:abstractNumId w:val="9"/>
  </w:num>
  <w:num w:numId="28">
    <w:abstractNumId w:val="17"/>
  </w:num>
  <w:num w:numId="29">
    <w:abstractNumId w:val="35"/>
  </w:num>
  <w:num w:numId="30">
    <w:abstractNumId w:val="22"/>
  </w:num>
  <w:num w:numId="31">
    <w:abstractNumId w:val="31"/>
  </w:num>
  <w:num w:numId="32">
    <w:abstractNumId w:val="24"/>
  </w:num>
  <w:num w:numId="33">
    <w:abstractNumId w:val="32"/>
  </w:num>
  <w:num w:numId="34">
    <w:abstractNumId w:val="25"/>
  </w:num>
  <w:num w:numId="35">
    <w:abstractNumId w:val="29"/>
  </w:num>
  <w:num w:numId="36">
    <w:abstractNumId w:val="1"/>
  </w:num>
  <w:num w:numId="37">
    <w:abstractNumId w:val="0"/>
  </w:num>
  <w:num w:numId="38">
    <w:abstractNumId w:val="5"/>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B9C"/>
    <w:rsid w:val="0000281B"/>
    <w:rsid w:val="00005E70"/>
    <w:rsid w:val="00005FA7"/>
    <w:rsid w:val="00012F86"/>
    <w:rsid w:val="00014740"/>
    <w:rsid w:val="00014742"/>
    <w:rsid w:val="000170B5"/>
    <w:rsid w:val="00017488"/>
    <w:rsid w:val="0002118E"/>
    <w:rsid w:val="00023102"/>
    <w:rsid w:val="00024AA9"/>
    <w:rsid w:val="0002635D"/>
    <w:rsid w:val="00026F78"/>
    <w:rsid w:val="000272C2"/>
    <w:rsid w:val="0003064A"/>
    <w:rsid w:val="00032B63"/>
    <w:rsid w:val="000351CB"/>
    <w:rsid w:val="000373B0"/>
    <w:rsid w:val="000374A5"/>
    <w:rsid w:val="00037626"/>
    <w:rsid w:val="00044365"/>
    <w:rsid w:val="00044570"/>
    <w:rsid w:val="000448A5"/>
    <w:rsid w:val="00046D10"/>
    <w:rsid w:val="00053CD8"/>
    <w:rsid w:val="0005535A"/>
    <w:rsid w:val="00055973"/>
    <w:rsid w:val="00056C8F"/>
    <w:rsid w:val="00056DB9"/>
    <w:rsid w:val="000571F6"/>
    <w:rsid w:val="000578A2"/>
    <w:rsid w:val="0005796E"/>
    <w:rsid w:val="00057C09"/>
    <w:rsid w:val="0006144C"/>
    <w:rsid w:val="00063A83"/>
    <w:rsid w:val="00063FA7"/>
    <w:rsid w:val="0006490F"/>
    <w:rsid w:val="00064B58"/>
    <w:rsid w:val="00066D5B"/>
    <w:rsid w:val="000678A2"/>
    <w:rsid w:val="00067EB5"/>
    <w:rsid w:val="000701EB"/>
    <w:rsid w:val="000719AA"/>
    <w:rsid w:val="00071A4E"/>
    <w:rsid w:val="00073184"/>
    <w:rsid w:val="000737D5"/>
    <w:rsid w:val="000749EA"/>
    <w:rsid w:val="00077161"/>
    <w:rsid w:val="00077DC4"/>
    <w:rsid w:val="000814B9"/>
    <w:rsid w:val="000842B9"/>
    <w:rsid w:val="0008537D"/>
    <w:rsid w:val="00085DF5"/>
    <w:rsid w:val="00086594"/>
    <w:rsid w:val="000865EC"/>
    <w:rsid w:val="00087378"/>
    <w:rsid w:val="00090529"/>
    <w:rsid w:val="000907BE"/>
    <w:rsid w:val="00095610"/>
    <w:rsid w:val="000966CC"/>
    <w:rsid w:val="000A0895"/>
    <w:rsid w:val="000A1ADB"/>
    <w:rsid w:val="000A222D"/>
    <w:rsid w:val="000A2490"/>
    <w:rsid w:val="000A2FB3"/>
    <w:rsid w:val="000A31FE"/>
    <w:rsid w:val="000A48F2"/>
    <w:rsid w:val="000A52E5"/>
    <w:rsid w:val="000A5EC4"/>
    <w:rsid w:val="000A6759"/>
    <w:rsid w:val="000B0B1E"/>
    <w:rsid w:val="000B2675"/>
    <w:rsid w:val="000B71D2"/>
    <w:rsid w:val="000C0FD3"/>
    <w:rsid w:val="000C23B1"/>
    <w:rsid w:val="000C4909"/>
    <w:rsid w:val="000C5FFA"/>
    <w:rsid w:val="000D47BE"/>
    <w:rsid w:val="000D5047"/>
    <w:rsid w:val="000D5790"/>
    <w:rsid w:val="000D5B64"/>
    <w:rsid w:val="000D64B7"/>
    <w:rsid w:val="000D6DA4"/>
    <w:rsid w:val="000D71F0"/>
    <w:rsid w:val="000E0350"/>
    <w:rsid w:val="000E132D"/>
    <w:rsid w:val="000E273A"/>
    <w:rsid w:val="000E29FA"/>
    <w:rsid w:val="000E2FC0"/>
    <w:rsid w:val="000E31B5"/>
    <w:rsid w:val="000E6E80"/>
    <w:rsid w:val="000F0069"/>
    <w:rsid w:val="000F0370"/>
    <w:rsid w:val="000F0C5D"/>
    <w:rsid w:val="000F11DD"/>
    <w:rsid w:val="000F13FB"/>
    <w:rsid w:val="000F16B4"/>
    <w:rsid w:val="000F36A5"/>
    <w:rsid w:val="000F5E80"/>
    <w:rsid w:val="00103C4C"/>
    <w:rsid w:val="00106397"/>
    <w:rsid w:val="00115EB1"/>
    <w:rsid w:val="00121D23"/>
    <w:rsid w:val="0012438D"/>
    <w:rsid w:val="001248A3"/>
    <w:rsid w:val="00124F32"/>
    <w:rsid w:val="00126483"/>
    <w:rsid w:val="00126A4E"/>
    <w:rsid w:val="0012758C"/>
    <w:rsid w:val="00127CC8"/>
    <w:rsid w:val="0013046A"/>
    <w:rsid w:val="0013080C"/>
    <w:rsid w:val="0013087E"/>
    <w:rsid w:val="00133198"/>
    <w:rsid w:val="00133C60"/>
    <w:rsid w:val="00136D56"/>
    <w:rsid w:val="001379BA"/>
    <w:rsid w:val="0014398A"/>
    <w:rsid w:val="00145F5B"/>
    <w:rsid w:val="00150EC7"/>
    <w:rsid w:val="00151531"/>
    <w:rsid w:val="001524A3"/>
    <w:rsid w:val="00152F83"/>
    <w:rsid w:val="00153516"/>
    <w:rsid w:val="00155EF5"/>
    <w:rsid w:val="00161B73"/>
    <w:rsid w:val="00161E02"/>
    <w:rsid w:val="00163256"/>
    <w:rsid w:val="00163CC0"/>
    <w:rsid w:val="0016606B"/>
    <w:rsid w:val="00167F2B"/>
    <w:rsid w:val="0017179F"/>
    <w:rsid w:val="00171812"/>
    <w:rsid w:val="00172149"/>
    <w:rsid w:val="00173499"/>
    <w:rsid w:val="00175673"/>
    <w:rsid w:val="00176431"/>
    <w:rsid w:val="00181C0B"/>
    <w:rsid w:val="00182367"/>
    <w:rsid w:val="0018290E"/>
    <w:rsid w:val="001835E1"/>
    <w:rsid w:val="00183C8E"/>
    <w:rsid w:val="00190402"/>
    <w:rsid w:val="001912A8"/>
    <w:rsid w:val="0019421B"/>
    <w:rsid w:val="001946B1"/>
    <w:rsid w:val="00194E14"/>
    <w:rsid w:val="001965AF"/>
    <w:rsid w:val="00196D7C"/>
    <w:rsid w:val="00197A23"/>
    <w:rsid w:val="001A13D5"/>
    <w:rsid w:val="001A3026"/>
    <w:rsid w:val="001A4516"/>
    <w:rsid w:val="001A4B5E"/>
    <w:rsid w:val="001A550C"/>
    <w:rsid w:val="001A573F"/>
    <w:rsid w:val="001A5C3F"/>
    <w:rsid w:val="001A64C6"/>
    <w:rsid w:val="001A7081"/>
    <w:rsid w:val="001A70AD"/>
    <w:rsid w:val="001A73E3"/>
    <w:rsid w:val="001B03AC"/>
    <w:rsid w:val="001B1BC7"/>
    <w:rsid w:val="001B21DD"/>
    <w:rsid w:val="001B238D"/>
    <w:rsid w:val="001B242B"/>
    <w:rsid w:val="001B39E8"/>
    <w:rsid w:val="001B45F2"/>
    <w:rsid w:val="001B4689"/>
    <w:rsid w:val="001B4ACB"/>
    <w:rsid w:val="001B56F3"/>
    <w:rsid w:val="001B5E15"/>
    <w:rsid w:val="001B75E6"/>
    <w:rsid w:val="001B792D"/>
    <w:rsid w:val="001B7D84"/>
    <w:rsid w:val="001C2942"/>
    <w:rsid w:val="001C2E2C"/>
    <w:rsid w:val="001C31DE"/>
    <w:rsid w:val="001C64DB"/>
    <w:rsid w:val="001C6C57"/>
    <w:rsid w:val="001C7528"/>
    <w:rsid w:val="001D0AF0"/>
    <w:rsid w:val="001D0FE0"/>
    <w:rsid w:val="001D11CE"/>
    <w:rsid w:val="001D16C2"/>
    <w:rsid w:val="001D1B62"/>
    <w:rsid w:val="001D3F48"/>
    <w:rsid w:val="001D483C"/>
    <w:rsid w:val="001E2E5B"/>
    <w:rsid w:val="001E37BA"/>
    <w:rsid w:val="001E3AE3"/>
    <w:rsid w:val="001E7CA0"/>
    <w:rsid w:val="001F0078"/>
    <w:rsid w:val="001F0E92"/>
    <w:rsid w:val="001F2B40"/>
    <w:rsid w:val="001F4083"/>
    <w:rsid w:val="001F60D5"/>
    <w:rsid w:val="001F627F"/>
    <w:rsid w:val="001F6E49"/>
    <w:rsid w:val="001F7023"/>
    <w:rsid w:val="00200174"/>
    <w:rsid w:val="00205259"/>
    <w:rsid w:val="0020665C"/>
    <w:rsid w:val="00210347"/>
    <w:rsid w:val="00210392"/>
    <w:rsid w:val="00210729"/>
    <w:rsid w:val="00211BAC"/>
    <w:rsid w:val="00211BD9"/>
    <w:rsid w:val="00211D1A"/>
    <w:rsid w:val="002154B2"/>
    <w:rsid w:val="002170D6"/>
    <w:rsid w:val="002203EA"/>
    <w:rsid w:val="0022055B"/>
    <w:rsid w:val="0022067C"/>
    <w:rsid w:val="002207C3"/>
    <w:rsid w:val="0022370C"/>
    <w:rsid w:val="0022428B"/>
    <w:rsid w:val="00224D3E"/>
    <w:rsid w:val="002257FA"/>
    <w:rsid w:val="00225AB8"/>
    <w:rsid w:val="0022619C"/>
    <w:rsid w:val="00231D53"/>
    <w:rsid w:val="00234690"/>
    <w:rsid w:val="00235694"/>
    <w:rsid w:val="00235F36"/>
    <w:rsid w:val="002378D5"/>
    <w:rsid w:val="002413AC"/>
    <w:rsid w:val="00241962"/>
    <w:rsid w:val="0024233E"/>
    <w:rsid w:val="002435D9"/>
    <w:rsid w:val="00243BAC"/>
    <w:rsid w:val="00244BD6"/>
    <w:rsid w:val="00244D6C"/>
    <w:rsid w:val="00245A56"/>
    <w:rsid w:val="002466F4"/>
    <w:rsid w:val="002522C9"/>
    <w:rsid w:val="00252352"/>
    <w:rsid w:val="00252D96"/>
    <w:rsid w:val="00255067"/>
    <w:rsid w:val="00256CE3"/>
    <w:rsid w:val="0025738E"/>
    <w:rsid w:val="002574CF"/>
    <w:rsid w:val="002628B9"/>
    <w:rsid w:val="002635D8"/>
    <w:rsid w:val="002644BC"/>
    <w:rsid w:val="00264B03"/>
    <w:rsid w:val="00265769"/>
    <w:rsid w:val="0026671D"/>
    <w:rsid w:val="00271E49"/>
    <w:rsid w:val="0027234B"/>
    <w:rsid w:val="0027323D"/>
    <w:rsid w:val="0027474D"/>
    <w:rsid w:val="00274A7E"/>
    <w:rsid w:val="0027624D"/>
    <w:rsid w:val="00276918"/>
    <w:rsid w:val="00276ED1"/>
    <w:rsid w:val="0027792C"/>
    <w:rsid w:val="002852E8"/>
    <w:rsid w:val="002856F0"/>
    <w:rsid w:val="00285AF5"/>
    <w:rsid w:val="0028601A"/>
    <w:rsid w:val="0028709C"/>
    <w:rsid w:val="002913D0"/>
    <w:rsid w:val="00291D75"/>
    <w:rsid w:val="00291E23"/>
    <w:rsid w:val="00292BCA"/>
    <w:rsid w:val="0029371D"/>
    <w:rsid w:val="00293A62"/>
    <w:rsid w:val="002957AA"/>
    <w:rsid w:val="00295B67"/>
    <w:rsid w:val="00296709"/>
    <w:rsid w:val="002A05E8"/>
    <w:rsid w:val="002A1F3E"/>
    <w:rsid w:val="002A2C2E"/>
    <w:rsid w:val="002A4520"/>
    <w:rsid w:val="002A4B6C"/>
    <w:rsid w:val="002A6CE5"/>
    <w:rsid w:val="002B0ECF"/>
    <w:rsid w:val="002B166E"/>
    <w:rsid w:val="002B4A42"/>
    <w:rsid w:val="002B7CE7"/>
    <w:rsid w:val="002C12FA"/>
    <w:rsid w:val="002C21F9"/>
    <w:rsid w:val="002C23B7"/>
    <w:rsid w:val="002C26EB"/>
    <w:rsid w:val="002C321E"/>
    <w:rsid w:val="002C42E0"/>
    <w:rsid w:val="002C4F1C"/>
    <w:rsid w:val="002C518C"/>
    <w:rsid w:val="002C53DD"/>
    <w:rsid w:val="002C7A79"/>
    <w:rsid w:val="002C7B46"/>
    <w:rsid w:val="002D0F51"/>
    <w:rsid w:val="002D12AC"/>
    <w:rsid w:val="002D2538"/>
    <w:rsid w:val="002D27DC"/>
    <w:rsid w:val="002D4621"/>
    <w:rsid w:val="002D5027"/>
    <w:rsid w:val="002E0043"/>
    <w:rsid w:val="002E029C"/>
    <w:rsid w:val="002E1661"/>
    <w:rsid w:val="002E40A2"/>
    <w:rsid w:val="002E47B4"/>
    <w:rsid w:val="002E5671"/>
    <w:rsid w:val="002E577E"/>
    <w:rsid w:val="002E5C69"/>
    <w:rsid w:val="002E791C"/>
    <w:rsid w:val="002E7C0C"/>
    <w:rsid w:val="002F105C"/>
    <w:rsid w:val="002F11A3"/>
    <w:rsid w:val="002F33F9"/>
    <w:rsid w:val="002F3610"/>
    <w:rsid w:val="002F3FE5"/>
    <w:rsid w:val="002F4E8C"/>
    <w:rsid w:val="0030104F"/>
    <w:rsid w:val="0030114D"/>
    <w:rsid w:val="00302B74"/>
    <w:rsid w:val="003032B7"/>
    <w:rsid w:val="0030390D"/>
    <w:rsid w:val="00303DF7"/>
    <w:rsid w:val="0030550A"/>
    <w:rsid w:val="00306DD7"/>
    <w:rsid w:val="00311969"/>
    <w:rsid w:val="00311B2F"/>
    <w:rsid w:val="003129E8"/>
    <w:rsid w:val="00314FE6"/>
    <w:rsid w:val="00315AB7"/>
    <w:rsid w:val="00316A0B"/>
    <w:rsid w:val="00322F17"/>
    <w:rsid w:val="00324AFE"/>
    <w:rsid w:val="00324D01"/>
    <w:rsid w:val="00324D0F"/>
    <w:rsid w:val="003259CD"/>
    <w:rsid w:val="0032657A"/>
    <w:rsid w:val="00333E01"/>
    <w:rsid w:val="00333F6D"/>
    <w:rsid w:val="00335017"/>
    <w:rsid w:val="00336D02"/>
    <w:rsid w:val="00340DAD"/>
    <w:rsid w:val="003419BE"/>
    <w:rsid w:val="00342936"/>
    <w:rsid w:val="00344A93"/>
    <w:rsid w:val="00345971"/>
    <w:rsid w:val="00345DE6"/>
    <w:rsid w:val="0034647B"/>
    <w:rsid w:val="00346606"/>
    <w:rsid w:val="00350382"/>
    <w:rsid w:val="00350891"/>
    <w:rsid w:val="00351682"/>
    <w:rsid w:val="003528A4"/>
    <w:rsid w:val="00353DC2"/>
    <w:rsid w:val="00355210"/>
    <w:rsid w:val="00356017"/>
    <w:rsid w:val="00357F8C"/>
    <w:rsid w:val="00362067"/>
    <w:rsid w:val="00362839"/>
    <w:rsid w:val="0036440B"/>
    <w:rsid w:val="00373871"/>
    <w:rsid w:val="00374640"/>
    <w:rsid w:val="0037697F"/>
    <w:rsid w:val="00376D6C"/>
    <w:rsid w:val="0037707D"/>
    <w:rsid w:val="00377407"/>
    <w:rsid w:val="00377531"/>
    <w:rsid w:val="00381BB7"/>
    <w:rsid w:val="0038391A"/>
    <w:rsid w:val="00383B74"/>
    <w:rsid w:val="00387CCC"/>
    <w:rsid w:val="00391C77"/>
    <w:rsid w:val="00392734"/>
    <w:rsid w:val="00392B5E"/>
    <w:rsid w:val="00392C05"/>
    <w:rsid w:val="00393618"/>
    <w:rsid w:val="00393D41"/>
    <w:rsid w:val="003942ED"/>
    <w:rsid w:val="00395845"/>
    <w:rsid w:val="0039629C"/>
    <w:rsid w:val="0039761A"/>
    <w:rsid w:val="003A0DE6"/>
    <w:rsid w:val="003A1B51"/>
    <w:rsid w:val="003A27B8"/>
    <w:rsid w:val="003A4329"/>
    <w:rsid w:val="003A4ABF"/>
    <w:rsid w:val="003A648E"/>
    <w:rsid w:val="003A66D0"/>
    <w:rsid w:val="003A7DD4"/>
    <w:rsid w:val="003B1D79"/>
    <w:rsid w:val="003B3615"/>
    <w:rsid w:val="003B384E"/>
    <w:rsid w:val="003B44BB"/>
    <w:rsid w:val="003B51DE"/>
    <w:rsid w:val="003C0071"/>
    <w:rsid w:val="003C27C4"/>
    <w:rsid w:val="003C3A3C"/>
    <w:rsid w:val="003C48C5"/>
    <w:rsid w:val="003C5915"/>
    <w:rsid w:val="003C5980"/>
    <w:rsid w:val="003C6DFA"/>
    <w:rsid w:val="003D04BC"/>
    <w:rsid w:val="003D36AD"/>
    <w:rsid w:val="003D3F36"/>
    <w:rsid w:val="003D5191"/>
    <w:rsid w:val="003D60B8"/>
    <w:rsid w:val="003E24CE"/>
    <w:rsid w:val="003E3441"/>
    <w:rsid w:val="003E3941"/>
    <w:rsid w:val="003E540D"/>
    <w:rsid w:val="003E7422"/>
    <w:rsid w:val="003E7CF9"/>
    <w:rsid w:val="003E7D3D"/>
    <w:rsid w:val="003E7E0A"/>
    <w:rsid w:val="003F0439"/>
    <w:rsid w:val="003F0CBE"/>
    <w:rsid w:val="003F2817"/>
    <w:rsid w:val="003F3107"/>
    <w:rsid w:val="003F3419"/>
    <w:rsid w:val="003F3DED"/>
    <w:rsid w:val="003F57BD"/>
    <w:rsid w:val="003F5B70"/>
    <w:rsid w:val="003F771B"/>
    <w:rsid w:val="004018B3"/>
    <w:rsid w:val="0040323C"/>
    <w:rsid w:val="00403DFE"/>
    <w:rsid w:val="00403FBE"/>
    <w:rsid w:val="004078BB"/>
    <w:rsid w:val="00411742"/>
    <w:rsid w:val="004117E0"/>
    <w:rsid w:val="00412CD3"/>
    <w:rsid w:val="0041339D"/>
    <w:rsid w:val="0041391F"/>
    <w:rsid w:val="004141B3"/>
    <w:rsid w:val="004148C9"/>
    <w:rsid w:val="00415754"/>
    <w:rsid w:val="00415D35"/>
    <w:rsid w:val="004162E3"/>
    <w:rsid w:val="004203DD"/>
    <w:rsid w:val="00421ED8"/>
    <w:rsid w:val="0042297B"/>
    <w:rsid w:val="00422F19"/>
    <w:rsid w:val="00423B48"/>
    <w:rsid w:val="00425CE6"/>
    <w:rsid w:val="00425FE9"/>
    <w:rsid w:val="00427131"/>
    <w:rsid w:val="00427D15"/>
    <w:rsid w:val="004304AE"/>
    <w:rsid w:val="00431602"/>
    <w:rsid w:val="004323E9"/>
    <w:rsid w:val="00432C65"/>
    <w:rsid w:val="004339ED"/>
    <w:rsid w:val="00433B89"/>
    <w:rsid w:val="0043466C"/>
    <w:rsid w:val="00434F90"/>
    <w:rsid w:val="00435469"/>
    <w:rsid w:val="00435C34"/>
    <w:rsid w:val="00436F7E"/>
    <w:rsid w:val="00437947"/>
    <w:rsid w:val="00440150"/>
    <w:rsid w:val="00440161"/>
    <w:rsid w:val="00440B7B"/>
    <w:rsid w:val="00440C50"/>
    <w:rsid w:val="0044128D"/>
    <w:rsid w:val="004419D3"/>
    <w:rsid w:val="00442BCF"/>
    <w:rsid w:val="0044337C"/>
    <w:rsid w:val="00443D72"/>
    <w:rsid w:val="00445790"/>
    <w:rsid w:val="004464AA"/>
    <w:rsid w:val="00446895"/>
    <w:rsid w:val="00447253"/>
    <w:rsid w:val="00450273"/>
    <w:rsid w:val="004509A5"/>
    <w:rsid w:val="00450EFE"/>
    <w:rsid w:val="00451B66"/>
    <w:rsid w:val="00453A77"/>
    <w:rsid w:val="004551F3"/>
    <w:rsid w:val="00455856"/>
    <w:rsid w:val="004563F1"/>
    <w:rsid w:val="0045675E"/>
    <w:rsid w:val="004602EC"/>
    <w:rsid w:val="004617A6"/>
    <w:rsid w:val="0046239D"/>
    <w:rsid w:val="00467FE9"/>
    <w:rsid w:val="00471542"/>
    <w:rsid w:val="00474025"/>
    <w:rsid w:val="00474E68"/>
    <w:rsid w:val="00475B76"/>
    <w:rsid w:val="00475E34"/>
    <w:rsid w:val="00476B67"/>
    <w:rsid w:val="0048008C"/>
    <w:rsid w:val="004809C9"/>
    <w:rsid w:val="00480BAD"/>
    <w:rsid w:val="00480C7E"/>
    <w:rsid w:val="00480E1C"/>
    <w:rsid w:val="0048184C"/>
    <w:rsid w:val="00486CF9"/>
    <w:rsid w:val="00487D95"/>
    <w:rsid w:val="0049187D"/>
    <w:rsid w:val="00492048"/>
    <w:rsid w:val="00493555"/>
    <w:rsid w:val="004967A2"/>
    <w:rsid w:val="004967EC"/>
    <w:rsid w:val="00497CD3"/>
    <w:rsid w:val="00497EF6"/>
    <w:rsid w:val="004A2D46"/>
    <w:rsid w:val="004A3955"/>
    <w:rsid w:val="004A39C5"/>
    <w:rsid w:val="004A3A35"/>
    <w:rsid w:val="004A46C4"/>
    <w:rsid w:val="004A6FCA"/>
    <w:rsid w:val="004A74F0"/>
    <w:rsid w:val="004A75A0"/>
    <w:rsid w:val="004B02D9"/>
    <w:rsid w:val="004B05B2"/>
    <w:rsid w:val="004B0F48"/>
    <w:rsid w:val="004B2573"/>
    <w:rsid w:val="004B2B9D"/>
    <w:rsid w:val="004B2CFB"/>
    <w:rsid w:val="004B4489"/>
    <w:rsid w:val="004B506E"/>
    <w:rsid w:val="004C3412"/>
    <w:rsid w:val="004C4DAB"/>
    <w:rsid w:val="004C4E2A"/>
    <w:rsid w:val="004C56D1"/>
    <w:rsid w:val="004C572C"/>
    <w:rsid w:val="004C6B9C"/>
    <w:rsid w:val="004D0937"/>
    <w:rsid w:val="004D0E10"/>
    <w:rsid w:val="004D1BC4"/>
    <w:rsid w:val="004D2C76"/>
    <w:rsid w:val="004D3D62"/>
    <w:rsid w:val="004D4483"/>
    <w:rsid w:val="004D58D5"/>
    <w:rsid w:val="004D71AF"/>
    <w:rsid w:val="004D7301"/>
    <w:rsid w:val="004D7C89"/>
    <w:rsid w:val="004E43A4"/>
    <w:rsid w:val="004F12E7"/>
    <w:rsid w:val="004F1DB8"/>
    <w:rsid w:val="004F3292"/>
    <w:rsid w:val="004F345A"/>
    <w:rsid w:val="004F3EDB"/>
    <w:rsid w:val="004F55EC"/>
    <w:rsid w:val="004F61DD"/>
    <w:rsid w:val="00501673"/>
    <w:rsid w:val="00502569"/>
    <w:rsid w:val="005035F8"/>
    <w:rsid w:val="00506204"/>
    <w:rsid w:val="005102A5"/>
    <w:rsid w:val="00511171"/>
    <w:rsid w:val="005136CC"/>
    <w:rsid w:val="00513858"/>
    <w:rsid w:val="0051455E"/>
    <w:rsid w:val="00514B37"/>
    <w:rsid w:val="00514EEC"/>
    <w:rsid w:val="00521874"/>
    <w:rsid w:val="00521920"/>
    <w:rsid w:val="00523919"/>
    <w:rsid w:val="005246B1"/>
    <w:rsid w:val="0052757D"/>
    <w:rsid w:val="00527A8C"/>
    <w:rsid w:val="00530281"/>
    <w:rsid w:val="0053048D"/>
    <w:rsid w:val="00530B04"/>
    <w:rsid w:val="00531E03"/>
    <w:rsid w:val="005357FE"/>
    <w:rsid w:val="0053683E"/>
    <w:rsid w:val="00537B0D"/>
    <w:rsid w:val="005403E8"/>
    <w:rsid w:val="00542990"/>
    <w:rsid w:val="00542A98"/>
    <w:rsid w:val="00542F66"/>
    <w:rsid w:val="005453C5"/>
    <w:rsid w:val="0054599C"/>
    <w:rsid w:val="00545A84"/>
    <w:rsid w:val="00547480"/>
    <w:rsid w:val="00551046"/>
    <w:rsid w:val="0055169D"/>
    <w:rsid w:val="00551EF3"/>
    <w:rsid w:val="005521E2"/>
    <w:rsid w:val="00552CE6"/>
    <w:rsid w:val="00553781"/>
    <w:rsid w:val="00553DCA"/>
    <w:rsid w:val="00553F58"/>
    <w:rsid w:val="00554084"/>
    <w:rsid w:val="00554611"/>
    <w:rsid w:val="005565EE"/>
    <w:rsid w:val="00557199"/>
    <w:rsid w:val="00557E24"/>
    <w:rsid w:val="00560593"/>
    <w:rsid w:val="00560E6F"/>
    <w:rsid w:val="0056163A"/>
    <w:rsid w:val="00562217"/>
    <w:rsid w:val="00563BE5"/>
    <w:rsid w:val="005644EF"/>
    <w:rsid w:val="00567397"/>
    <w:rsid w:val="005702B7"/>
    <w:rsid w:val="0057052D"/>
    <w:rsid w:val="00570B4E"/>
    <w:rsid w:val="00571137"/>
    <w:rsid w:val="00571DF6"/>
    <w:rsid w:val="005740DF"/>
    <w:rsid w:val="00574FBD"/>
    <w:rsid w:val="00576E6E"/>
    <w:rsid w:val="005773BB"/>
    <w:rsid w:val="00580502"/>
    <w:rsid w:val="0058538B"/>
    <w:rsid w:val="005857C9"/>
    <w:rsid w:val="00585C83"/>
    <w:rsid w:val="0058632F"/>
    <w:rsid w:val="00586604"/>
    <w:rsid w:val="00586E35"/>
    <w:rsid w:val="005910C8"/>
    <w:rsid w:val="00591A9C"/>
    <w:rsid w:val="00596742"/>
    <w:rsid w:val="00597C03"/>
    <w:rsid w:val="005A005B"/>
    <w:rsid w:val="005A1F9D"/>
    <w:rsid w:val="005A21F6"/>
    <w:rsid w:val="005A2F5D"/>
    <w:rsid w:val="005A3157"/>
    <w:rsid w:val="005A3798"/>
    <w:rsid w:val="005A5726"/>
    <w:rsid w:val="005A67E5"/>
    <w:rsid w:val="005A7302"/>
    <w:rsid w:val="005A7B97"/>
    <w:rsid w:val="005A7C16"/>
    <w:rsid w:val="005B0F9F"/>
    <w:rsid w:val="005B5464"/>
    <w:rsid w:val="005B5BB4"/>
    <w:rsid w:val="005C042E"/>
    <w:rsid w:val="005C2844"/>
    <w:rsid w:val="005C30B9"/>
    <w:rsid w:val="005C611A"/>
    <w:rsid w:val="005C6D98"/>
    <w:rsid w:val="005C73FB"/>
    <w:rsid w:val="005C7752"/>
    <w:rsid w:val="005C7F3F"/>
    <w:rsid w:val="005D4792"/>
    <w:rsid w:val="005D5669"/>
    <w:rsid w:val="005D6266"/>
    <w:rsid w:val="005E019B"/>
    <w:rsid w:val="005E2187"/>
    <w:rsid w:val="005E4ABC"/>
    <w:rsid w:val="005E4FE9"/>
    <w:rsid w:val="005E5696"/>
    <w:rsid w:val="005F19E0"/>
    <w:rsid w:val="005F57B5"/>
    <w:rsid w:val="005F5850"/>
    <w:rsid w:val="005F5A76"/>
    <w:rsid w:val="005F71EC"/>
    <w:rsid w:val="005F7AA1"/>
    <w:rsid w:val="006009E6"/>
    <w:rsid w:val="0060157A"/>
    <w:rsid w:val="00604FAE"/>
    <w:rsid w:val="0060695F"/>
    <w:rsid w:val="00606E8D"/>
    <w:rsid w:val="00607605"/>
    <w:rsid w:val="0061001E"/>
    <w:rsid w:val="00610B3C"/>
    <w:rsid w:val="00611E31"/>
    <w:rsid w:val="00612869"/>
    <w:rsid w:val="006132A6"/>
    <w:rsid w:val="006146EE"/>
    <w:rsid w:val="00617AD5"/>
    <w:rsid w:val="006200E5"/>
    <w:rsid w:val="00622319"/>
    <w:rsid w:val="00623394"/>
    <w:rsid w:val="0062416A"/>
    <w:rsid w:val="00624EFB"/>
    <w:rsid w:val="00625FB3"/>
    <w:rsid w:val="00626129"/>
    <w:rsid w:val="006321F6"/>
    <w:rsid w:val="00632A52"/>
    <w:rsid w:val="00634414"/>
    <w:rsid w:val="00636012"/>
    <w:rsid w:val="00636987"/>
    <w:rsid w:val="00637672"/>
    <w:rsid w:val="006403DD"/>
    <w:rsid w:val="00640AE6"/>
    <w:rsid w:val="00640BB6"/>
    <w:rsid w:val="00642FCD"/>
    <w:rsid w:val="006433B2"/>
    <w:rsid w:val="00643E1F"/>
    <w:rsid w:val="006452D7"/>
    <w:rsid w:val="00645B37"/>
    <w:rsid w:val="00646C25"/>
    <w:rsid w:val="00650B3F"/>
    <w:rsid w:val="00650CAA"/>
    <w:rsid w:val="006521AC"/>
    <w:rsid w:val="00652691"/>
    <w:rsid w:val="00652DD9"/>
    <w:rsid w:val="00654145"/>
    <w:rsid w:val="006559C8"/>
    <w:rsid w:val="00657405"/>
    <w:rsid w:val="006605C2"/>
    <w:rsid w:val="00661864"/>
    <w:rsid w:val="00661B9C"/>
    <w:rsid w:val="006631A7"/>
    <w:rsid w:val="00663A00"/>
    <w:rsid w:val="00663B07"/>
    <w:rsid w:val="00664FA6"/>
    <w:rsid w:val="00665845"/>
    <w:rsid w:val="0066632E"/>
    <w:rsid w:val="006706DC"/>
    <w:rsid w:val="00671448"/>
    <w:rsid w:val="00675327"/>
    <w:rsid w:val="00676107"/>
    <w:rsid w:val="00681E5C"/>
    <w:rsid w:val="00681F38"/>
    <w:rsid w:val="006832A4"/>
    <w:rsid w:val="0068391C"/>
    <w:rsid w:val="0068419D"/>
    <w:rsid w:val="006846E9"/>
    <w:rsid w:val="00685303"/>
    <w:rsid w:val="006872DB"/>
    <w:rsid w:val="00691999"/>
    <w:rsid w:val="00695ED2"/>
    <w:rsid w:val="0069784E"/>
    <w:rsid w:val="006A035C"/>
    <w:rsid w:val="006A1022"/>
    <w:rsid w:val="006A1A83"/>
    <w:rsid w:val="006A2C4B"/>
    <w:rsid w:val="006A2DA7"/>
    <w:rsid w:val="006A541C"/>
    <w:rsid w:val="006A55D2"/>
    <w:rsid w:val="006A5754"/>
    <w:rsid w:val="006A63D0"/>
    <w:rsid w:val="006B2CEE"/>
    <w:rsid w:val="006B42B8"/>
    <w:rsid w:val="006B4851"/>
    <w:rsid w:val="006B6104"/>
    <w:rsid w:val="006B6E87"/>
    <w:rsid w:val="006B763D"/>
    <w:rsid w:val="006B7BC4"/>
    <w:rsid w:val="006B7EDD"/>
    <w:rsid w:val="006C1C28"/>
    <w:rsid w:val="006C2F62"/>
    <w:rsid w:val="006C31AA"/>
    <w:rsid w:val="006C5E5C"/>
    <w:rsid w:val="006C6627"/>
    <w:rsid w:val="006C6B69"/>
    <w:rsid w:val="006D0365"/>
    <w:rsid w:val="006D037D"/>
    <w:rsid w:val="006D2068"/>
    <w:rsid w:val="006D249D"/>
    <w:rsid w:val="006D3725"/>
    <w:rsid w:val="006D43D7"/>
    <w:rsid w:val="006D4AE1"/>
    <w:rsid w:val="006D52A7"/>
    <w:rsid w:val="006D52D8"/>
    <w:rsid w:val="006D5AAB"/>
    <w:rsid w:val="006D73DF"/>
    <w:rsid w:val="006D7A90"/>
    <w:rsid w:val="006E0111"/>
    <w:rsid w:val="006E08CC"/>
    <w:rsid w:val="006E3709"/>
    <w:rsid w:val="006E3C13"/>
    <w:rsid w:val="006F0139"/>
    <w:rsid w:val="006F085E"/>
    <w:rsid w:val="006F214B"/>
    <w:rsid w:val="006F28C7"/>
    <w:rsid w:val="006F4D73"/>
    <w:rsid w:val="006F52ED"/>
    <w:rsid w:val="006F6542"/>
    <w:rsid w:val="007001DD"/>
    <w:rsid w:val="00700B46"/>
    <w:rsid w:val="00700F12"/>
    <w:rsid w:val="00701B3E"/>
    <w:rsid w:val="0070443C"/>
    <w:rsid w:val="0070576D"/>
    <w:rsid w:val="007057D3"/>
    <w:rsid w:val="00706395"/>
    <w:rsid w:val="00706C40"/>
    <w:rsid w:val="00706CFB"/>
    <w:rsid w:val="007112C0"/>
    <w:rsid w:val="00711407"/>
    <w:rsid w:val="00712407"/>
    <w:rsid w:val="00712477"/>
    <w:rsid w:val="00714E9E"/>
    <w:rsid w:val="00720907"/>
    <w:rsid w:val="00721345"/>
    <w:rsid w:val="007217B9"/>
    <w:rsid w:val="00721A54"/>
    <w:rsid w:val="00721C75"/>
    <w:rsid w:val="007228DB"/>
    <w:rsid w:val="00723862"/>
    <w:rsid w:val="00724541"/>
    <w:rsid w:val="00725D92"/>
    <w:rsid w:val="0072705B"/>
    <w:rsid w:val="00731859"/>
    <w:rsid w:val="00732CD0"/>
    <w:rsid w:val="00733275"/>
    <w:rsid w:val="00735A4C"/>
    <w:rsid w:val="00735CB1"/>
    <w:rsid w:val="00735CF0"/>
    <w:rsid w:val="00736D00"/>
    <w:rsid w:val="00740904"/>
    <w:rsid w:val="00741B0E"/>
    <w:rsid w:val="00741F74"/>
    <w:rsid w:val="00742672"/>
    <w:rsid w:val="00742E8A"/>
    <w:rsid w:val="007431B7"/>
    <w:rsid w:val="00745482"/>
    <w:rsid w:val="007459F5"/>
    <w:rsid w:val="00746DDC"/>
    <w:rsid w:val="007475AA"/>
    <w:rsid w:val="0075061C"/>
    <w:rsid w:val="00752B28"/>
    <w:rsid w:val="00754727"/>
    <w:rsid w:val="00754D25"/>
    <w:rsid w:val="00755961"/>
    <w:rsid w:val="00756A18"/>
    <w:rsid w:val="00757590"/>
    <w:rsid w:val="00764409"/>
    <w:rsid w:val="007652CE"/>
    <w:rsid w:val="0076572D"/>
    <w:rsid w:val="00765936"/>
    <w:rsid w:val="00766C83"/>
    <w:rsid w:val="00767474"/>
    <w:rsid w:val="00767D6C"/>
    <w:rsid w:val="0077091B"/>
    <w:rsid w:val="00770A1E"/>
    <w:rsid w:val="00773FD6"/>
    <w:rsid w:val="0077416A"/>
    <w:rsid w:val="0077569C"/>
    <w:rsid w:val="00775A32"/>
    <w:rsid w:val="007765E3"/>
    <w:rsid w:val="00776C17"/>
    <w:rsid w:val="00777BE6"/>
    <w:rsid w:val="007816ED"/>
    <w:rsid w:val="007821CF"/>
    <w:rsid w:val="00783DAC"/>
    <w:rsid w:val="00784500"/>
    <w:rsid w:val="00785112"/>
    <w:rsid w:val="00786700"/>
    <w:rsid w:val="007878B9"/>
    <w:rsid w:val="007903E2"/>
    <w:rsid w:val="007931BC"/>
    <w:rsid w:val="00793646"/>
    <w:rsid w:val="00794E75"/>
    <w:rsid w:val="007951BF"/>
    <w:rsid w:val="0079521E"/>
    <w:rsid w:val="00796071"/>
    <w:rsid w:val="00796D77"/>
    <w:rsid w:val="00797203"/>
    <w:rsid w:val="007A0CB6"/>
    <w:rsid w:val="007A1510"/>
    <w:rsid w:val="007A2A41"/>
    <w:rsid w:val="007A4D97"/>
    <w:rsid w:val="007A5289"/>
    <w:rsid w:val="007A5D2F"/>
    <w:rsid w:val="007A768C"/>
    <w:rsid w:val="007A7853"/>
    <w:rsid w:val="007B0C7D"/>
    <w:rsid w:val="007B1426"/>
    <w:rsid w:val="007B2BAC"/>
    <w:rsid w:val="007B2CAC"/>
    <w:rsid w:val="007B44FB"/>
    <w:rsid w:val="007B4F0C"/>
    <w:rsid w:val="007C0E38"/>
    <w:rsid w:val="007C1421"/>
    <w:rsid w:val="007C18E3"/>
    <w:rsid w:val="007C1DEB"/>
    <w:rsid w:val="007C459A"/>
    <w:rsid w:val="007C4E08"/>
    <w:rsid w:val="007C5146"/>
    <w:rsid w:val="007D2F4C"/>
    <w:rsid w:val="007D3DFF"/>
    <w:rsid w:val="007D3F38"/>
    <w:rsid w:val="007D4DB8"/>
    <w:rsid w:val="007D630E"/>
    <w:rsid w:val="007E2197"/>
    <w:rsid w:val="007E3304"/>
    <w:rsid w:val="007E4D1F"/>
    <w:rsid w:val="007E4D70"/>
    <w:rsid w:val="007F14BA"/>
    <w:rsid w:val="007F1E48"/>
    <w:rsid w:val="007F2477"/>
    <w:rsid w:val="007F3D79"/>
    <w:rsid w:val="007F40E3"/>
    <w:rsid w:val="007F4313"/>
    <w:rsid w:val="007F4605"/>
    <w:rsid w:val="007F5767"/>
    <w:rsid w:val="007F6C7D"/>
    <w:rsid w:val="00800859"/>
    <w:rsid w:val="00800FE4"/>
    <w:rsid w:val="00801249"/>
    <w:rsid w:val="008026F6"/>
    <w:rsid w:val="00803F84"/>
    <w:rsid w:val="008043AC"/>
    <w:rsid w:val="00805161"/>
    <w:rsid w:val="00805B61"/>
    <w:rsid w:val="00806070"/>
    <w:rsid w:val="00806EE8"/>
    <w:rsid w:val="00807B37"/>
    <w:rsid w:val="00807D32"/>
    <w:rsid w:val="00807F24"/>
    <w:rsid w:val="00810E7C"/>
    <w:rsid w:val="00811D89"/>
    <w:rsid w:val="00812EE9"/>
    <w:rsid w:val="00813987"/>
    <w:rsid w:val="00814500"/>
    <w:rsid w:val="00814B15"/>
    <w:rsid w:val="00820632"/>
    <w:rsid w:val="008211DF"/>
    <w:rsid w:val="00821E08"/>
    <w:rsid w:val="00822F77"/>
    <w:rsid w:val="0082354A"/>
    <w:rsid w:val="00823BEF"/>
    <w:rsid w:val="008255D2"/>
    <w:rsid w:val="00831941"/>
    <w:rsid w:val="00832ADC"/>
    <w:rsid w:val="00833AF7"/>
    <w:rsid w:val="00834023"/>
    <w:rsid w:val="00834026"/>
    <w:rsid w:val="00834220"/>
    <w:rsid w:val="008346D1"/>
    <w:rsid w:val="00834C3E"/>
    <w:rsid w:val="00835579"/>
    <w:rsid w:val="00836F9B"/>
    <w:rsid w:val="00837487"/>
    <w:rsid w:val="00840D16"/>
    <w:rsid w:val="00843B20"/>
    <w:rsid w:val="00844106"/>
    <w:rsid w:val="00844B27"/>
    <w:rsid w:val="00844D29"/>
    <w:rsid w:val="00846195"/>
    <w:rsid w:val="00846BE5"/>
    <w:rsid w:val="00846D30"/>
    <w:rsid w:val="00846FA0"/>
    <w:rsid w:val="008479B6"/>
    <w:rsid w:val="00850182"/>
    <w:rsid w:val="00851FAF"/>
    <w:rsid w:val="00852E07"/>
    <w:rsid w:val="00855AA5"/>
    <w:rsid w:val="00856B9B"/>
    <w:rsid w:val="00857043"/>
    <w:rsid w:val="00857671"/>
    <w:rsid w:val="0086002F"/>
    <w:rsid w:val="0086032D"/>
    <w:rsid w:val="00861906"/>
    <w:rsid w:val="00861B01"/>
    <w:rsid w:val="008634F1"/>
    <w:rsid w:val="00863D9E"/>
    <w:rsid w:val="00863F9D"/>
    <w:rsid w:val="008645F9"/>
    <w:rsid w:val="0086628A"/>
    <w:rsid w:val="00866BF8"/>
    <w:rsid w:val="00867C0D"/>
    <w:rsid w:val="00871279"/>
    <w:rsid w:val="008716A7"/>
    <w:rsid w:val="00872913"/>
    <w:rsid w:val="008729BA"/>
    <w:rsid w:val="00873F82"/>
    <w:rsid w:val="00874B7B"/>
    <w:rsid w:val="00874F25"/>
    <w:rsid w:val="00875B3F"/>
    <w:rsid w:val="00880970"/>
    <w:rsid w:val="00880CA5"/>
    <w:rsid w:val="00880CBC"/>
    <w:rsid w:val="008817B1"/>
    <w:rsid w:val="008832FA"/>
    <w:rsid w:val="008834BB"/>
    <w:rsid w:val="008840FA"/>
    <w:rsid w:val="008846D2"/>
    <w:rsid w:val="008862EB"/>
    <w:rsid w:val="00887A41"/>
    <w:rsid w:val="00890EF1"/>
    <w:rsid w:val="00890F95"/>
    <w:rsid w:val="0089311A"/>
    <w:rsid w:val="0089384D"/>
    <w:rsid w:val="00893A0F"/>
    <w:rsid w:val="00893B17"/>
    <w:rsid w:val="008946C3"/>
    <w:rsid w:val="008948E0"/>
    <w:rsid w:val="0089528C"/>
    <w:rsid w:val="008971C2"/>
    <w:rsid w:val="00897B81"/>
    <w:rsid w:val="00897CEC"/>
    <w:rsid w:val="008A0089"/>
    <w:rsid w:val="008A339E"/>
    <w:rsid w:val="008A51DB"/>
    <w:rsid w:val="008B034D"/>
    <w:rsid w:val="008B0BBC"/>
    <w:rsid w:val="008B13FB"/>
    <w:rsid w:val="008B245C"/>
    <w:rsid w:val="008B3FD9"/>
    <w:rsid w:val="008B40B1"/>
    <w:rsid w:val="008B4153"/>
    <w:rsid w:val="008B4F64"/>
    <w:rsid w:val="008B5356"/>
    <w:rsid w:val="008B609A"/>
    <w:rsid w:val="008B7927"/>
    <w:rsid w:val="008B7CDC"/>
    <w:rsid w:val="008C4770"/>
    <w:rsid w:val="008C4CE7"/>
    <w:rsid w:val="008C5719"/>
    <w:rsid w:val="008C6AD1"/>
    <w:rsid w:val="008C6EFA"/>
    <w:rsid w:val="008C71B5"/>
    <w:rsid w:val="008E1F76"/>
    <w:rsid w:val="008E36B3"/>
    <w:rsid w:val="008E431F"/>
    <w:rsid w:val="008E5E12"/>
    <w:rsid w:val="008F0D2A"/>
    <w:rsid w:val="008F12D4"/>
    <w:rsid w:val="008F17A0"/>
    <w:rsid w:val="008F1814"/>
    <w:rsid w:val="008F23EF"/>
    <w:rsid w:val="008F386F"/>
    <w:rsid w:val="008F48E1"/>
    <w:rsid w:val="008F5BD0"/>
    <w:rsid w:val="008F5E3A"/>
    <w:rsid w:val="008F7B36"/>
    <w:rsid w:val="009003FE"/>
    <w:rsid w:val="009009CC"/>
    <w:rsid w:val="00901955"/>
    <w:rsid w:val="00903C95"/>
    <w:rsid w:val="00904272"/>
    <w:rsid w:val="009046D4"/>
    <w:rsid w:val="00904793"/>
    <w:rsid w:val="009058DB"/>
    <w:rsid w:val="00906521"/>
    <w:rsid w:val="0091026E"/>
    <w:rsid w:val="00910368"/>
    <w:rsid w:val="009104F7"/>
    <w:rsid w:val="0091058D"/>
    <w:rsid w:val="00911711"/>
    <w:rsid w:val="00913858"/>
    <w:rsid w:val="00913A0F"/>
    <w:rsid w:val="00914959"/>
    <w:rsid w:val="00914BBC"/>
    <w:rsid w:val="00915CE6"/>
    <w:rsid w:val="009162DA"/>
    <w:rsid w:val="009168A1"/>
    <w:rsid w:val="00917583"/>
    <w:rsid w:val="00917849"/>
    <w:rsid w:val="00917EEC"/>
    <w:rsid w:val="0092106C"/>
    <w:rsid w:val="009219E4"/>
    <w:rsid w:val="00923BC4"/>
    <w:rsid w:val="00924681"/>
    <w:rsid w:val="00925373"/>
    <w:rsid w:val="0092622E"/>
    <w:rsid w:val="00926605"/>
    <w:rsid w:val="00926FC3"/>
    <w:rsid w:val="00930877"/>
    <w:rsid w:val="00930AFE"/>
    <w:rsid w:val="00930D20"/>
    <w:rsid w:val="009314F2"/>
    <w:rsid w:val="0093228F"/>
    <w:rsid w:val="00937012"/>
    <w:rsid w:val="0094003D"/>
    <w:rsid w:val="0094231C"/>
    <w:rsid w:val="0094273F"/>
    <w:rsid w:val="009439B0"/>
    <w:rsid w:val="0094403C"/>
    <w:rsid w:val="0094555E"/>
    <w:rsid w:val="00945CB0"/>
    <w:rsid w:val="0094667E"/>
    <w:rsid w:val="00946A66"/>
    <w:rsid w:val="00951188"/>
    <w:rsid w:val="00951AF4"/>
    <w:rsid w:val="00951C2B"/>
    <w:rsid w:val="00954E07"/>
    <w:rsid w:val="00955CBA"/>
    <w:rsid w:val="00956A95"/>
    <w:rsid w:val="0095732E"/>
    <w:rsid w:val="00957E6F"/>
    <w:rsid w:val="00960F2F"/>
    <w:rsid w:val="009634F6"/>
    <w:rsid w:val="00963B5E"/>
    <w:rsid w:val="00963FA0"/>
    <w:rsid w:val="0096491F"/>
    <w:rsid w:val="00964FCB"/>
    <w:rsid w:val="009703E4"/>
    <w:rsid w:val="00974765"/>
    <w:rsid w:val="00974E95"/>
    <w:rsid w:val="00974FC0"/>
    <w:rsid w:val="009753ED"/>
    <w:rsid w:val="00975F2D"/>
    <w:rsid w:val="00976962"/>
    <w:rsid w:val="00977BF5"/>
    <w:rsid w:val="00981F74"/>
    <w:rsid w:val="0098302D"/>
    <w:rsid w:val="00983E36"/>
    <w:rsid w:val="009869B3"/>
    <w:rsid w:val="00987608"/>
    <w:rsid w:val="00990879"/>
    <w:rsid w:val="009910F1"/>
    <w:rsid w:val="00992BC0"/>
    <w:rsid w:val="009943A0"/>
    <w:rsid w:val="009953BC"/>
    <w:rsid w:val="0099543E"/>
    <w:rsid w:val="009963D2"/>
    <w:rsid w:val="009A0568"/>
    <w:rsid w:val="009A0AF9"/>
    <w:rsid w:val="009A159E"/>
    <w:rsid w:val="009A16BE"/>
    <w:rsid w:val="009A210C"/>
    <w:rsid w:val="009A2337"/>
    <w:rsid w:val="009A2E00"/>
    <w:rsid w:val="009A355A"/>
    <w:rsid w:val="009A3B09"/>
    <w:rsid w:val="009A5369"/>
    <w:rsid w:val="009A5CE8"/>
    <w:rsid w:val="009A5FBE"/>
    <w:rsid w:val="009A7074"/>
    <w:rsid w:val="009A7B5A"/>
    <w:rsid w:val="009A7F79"/>
    <w:rsid w:val="009B1119"/>
    <w:rsid w:val="009B2BDC"/>
    <w:rsid w:val="009B3BE7"/>
    <w:rsid w:val="009B5F5D"/>
    <w:rsid w:val="009B6089"/>
    <w:rsid w:val="009B6201"/>
    <w:rsid w:val="009B73BA"/>
    <w:rsid w:val="009C0EEA"/>
    <w:rsid w:val="009C10D9"/>
    <w:rsid w:val="009C20A2"/>
    <w:rsid w:val="009C425A"/>
    <w:rsid w:val="009C4F43"/>
    <w:rsid w:val="009C5CA7"/>
    <w:rsid w:val="009C6048"/>
    <w:rsid w:val="009D03F8"/>
    <w:rsid w:val="009D1DF4"/>
    <w:rsid w:val="009D3103"/>
    <w:rsid w:val="009D3B0A"/>
    <w:rsid w:val="009D7A24"/>
    <w:rsid w:val="009E00E4"/>
    <w:rsid w:val="009E0B88"/>
    <w:rsid w:val="009E0D20"/>
    <w:rsid w:val="009E0F6B"/>
    <w:rsid w:val="009E175A"/>
    <w:rsid w:val="009E1DB3"/>
    <w:rsid w:val="009E2063"/>
    <w:rsid w:val="009E2964"/>
    <w:rsid w:val="009E3EB3"/>
    <w:rsid w:val="009E423C"/>
    <w:rsid w:val="009E5D18"/>
    <w:rsid w:val="009E7AFF"/>
    <w:rsid w:val="009E7DCD"/>
    <w:rsid w:val="009F2B7F"/>
    <w:rsid w:val="009F33D5"/>
    <w:rsid w:val="009F55F9"/>
    <w:rsid w:val="009F5CC0"/>
    <w:rsid w:val="009F6F8B"/>
    <w:rsid w:val="009F7164"/>
    <w:rsid w:val="009F7CE4"/>
    <w:rsid w:val="00A02F0A"/>
    <w:rsid w:val="00A06A53"/>
    <w:rsid w:val="00A06A54"/>
    <w:rsid w:val="00A103E8"/>
    <w:rsid w:val="00A1074D"/>
    <w:rsid w:val="00A10863"/>
    <w:rsid w:val="00A11172"/>
    <w:rsid w:val="00A1273B"/>
    <w:rsid w:val="00A127DD"/>
    <w:rsid w:val="00A12C35"/>
    <w:rsid w:val="00A12D4A"/>
    <w:rsid w:val="00A142E7"/>
    <w:rsid w:val="00A14E6C"/>
    <w:rsid w:val="00A15118"/>
    <w:rsid w:val="00A16482"/>
    <w:rsid w:val="00A167EC"/>
    <w:rsid w:val="00A16D01"/>
    <w:rsid w:val="00A172E6"/>
    <w:rsid w:val="00A17D1C"/>
    <w:rsid w:val="00A20584"/>
    <w:rsid w:val="00A20941"/>
    <w:rsid w:val="00A209A2"/>
    <w:rsid w:val="00A22611"/>
    <w:rsid w:val="00A24C8D"/>
    <w:rsid w:val="00A25718"/>
    <w:rsid w:val="00A26850"/>
    <w:rsid w:val="00A26F15"/>
    <w:rsid w:val="00A277D0"/>
    <w:rsid w:val="00A30CB3"/>
    <w:rsid w:val="00A30E37"/>
    <w:rsid w:val="00A324AA"/>
    <w:rsid w:val="00A32930"/>
    <w:rsid w:val="00A3363C"/>
    <w:rsid w:val="00A33C4A"/>
    <w:rsid w:val="00A34641"/>
    <w:rsid w:val="00A34674"/>
    <w:rsid w:val="00A3494F"/>
    <w:rsid w:val="00A35CD2"/>
    <w:rsid w:val="00A35CF8"/>
    <w:rsid w:val="00A360E7"/>
    <w:rsid w:val="00A400FB"/>
    <w:rsid w:val="00A40AA6"/>
    <w:rsid w:val="00A4117E"/>
    <w:rsid w:val="00A43C4F"/>
    <w:rsid w:val="00A443D1"/>
    <w:rsid w:val="00A44B8D"/>
    <w:rsid w:val="00A456B3"/>
    <w:rsid w:val="00A45BC9"/>
    <w:rsid w:val="00A47BFE"/>
    <w:rsid w:val="00A50518"/>
    <w:rsid w:val="00A50DBA"/>
    <w:rsid w:val="00A51808"/>
    <w:rsid w:val="00A51D78"/>
    <w:rsid w:val="00A51EA8"/>
    <w:rsid w:val="00A549C3"/>
    <w:rsid w:val="00A561A8"/>
    <w:rsid w:val="00A562A6"/>
    <w:rsid w:val="00A60011"/>
    <w:rsid w:val="00A60424"/>
    <w:rsid w:val="00A63597"/>
    <w:rsid w:val="00A63635"/>
    <w:rsid w:val="00A644BE"/>
    <w:rsid w:val="00A66CEE"/>
    <w:rsid w:val="00A6703C"/>
    <w:rsid w:val="00A7007B"/>
    <w:rsid w:val="00A71623"/>
    <w:rsid w:val="00A73BD7"/>
    <w:rsid w:val="00A74A56"/>
    <w:rsid w:val="00A80AF1"/>
    <w:rsid w:val="00A84B87"/>
    <w:rsid w:val="00A84D4B"/>
    <w:rsid w:val="00A84FD0"/>
    <w:rsid w:val="00A8592D"/>
    <w:rsid w:val="00A8629D"/>
    <w:rsid w:val="00A87E7C"/>
    <w:rsid w:val="00A905FC"/>
    <w:rsid w:val="00A90D08"/>
    <w:rsid w:val="00A926AC"/>
    <w:rsid w:val="00A93FFF"/>
    <w:rsid w:val="00A95746"/>
    <w:rsid w:val="00A9630A"/>
    <w:rsid w:val="00A96D45"/>
    <w:rsid w:val="00A97045"/>
    <w:rsid w:val="00A973EE"/>
    <w:rsid w:val="00AA1149"/>
    <w:rsid w:val="00AA18DD"/>
    <w:rsid w:val="00AA1F91"/>
    <w:rsid w:val="00AA3687"/>
    <w:rsid w:val="00AA3F5C"/>
    <w:rsid w:val="00AA4A07"/>
    <w:rsid w:val="00AA5CE1"/>
    <w:rsid w:val="00AB184B"/>
    <w:rsid w:val="00AB226B"/>
    <w:rsid w:val="00AB2D9E"/>
    <w:rsid w:val="00AB4404"/>
    <w:rsid w:val="00AB542C"/>
    <w:rsid w:val="00AB603C"/>
    <w:rsid w:val="00AB797B"/>
    <w:rsid w:val="00AC0375"/>
    <w:rsid w:val="00AC154C"/>
    <w:rsid w:val="00AC21EE"/>
    <w:rsid w:val="00AC3B22"/>
    <w:rsid w:val="00AC4101"/>
    <w:rsid w:val="00AC5597"/>
    <w:rsid w:val="00AC6D9F"/>
    <w:rsid w:val="00AC71C4"/>
    <w:rsid w:val="00AD0116"/>
    <w:rsid w:val="00AD18E9"/>
    <w:rsid w:val="00AD1B42"/>
    <w:rsid w:val="00AD20C0"/>
    <w:rsid w:val="00AD2871"/>
    <w:rsid w:val="00AD322C"/>
    <w:rsid w:val="00AD4B84"/>
    <w:rsid w:val="00AD5D06"/>
    <w:rsid w:val="00AD6E4A"/>
    <w:rsid w:val="00AD7A0D"/>
    <w:rsid w:val="00AE23BE"/>
    <w:rsid w:val="00AE2D75"/>
    <w:rsid w:val="00AE2EAC"/>
    <w:rsid w:val="00AE2FC6"/>
    <w:rsid w:val="00AE5772"/>
    <w:rsid w:val="00AF0AC0"/>
    <w:rsid w:val="00AF16E0"/>
    <w:rsid w:val="00AF4CA9"/>
    <w:rsid w:val="00AF5B52"/>
    <w:rsid w:val="00AF7879"/>
    <w:rsid w:val="00B00818"/>
    <w:rsid w:val="00B008BF"/>
    <w:rsid w:val="00B052BA"/>
    <w:rsid w:val="00B05A28"/>
    <w:rsid w:val="00B07460"/>
    <w:rsid w:val="00B078C7"/>
    <w:rsid w:val="00B1022B"/>
    <w:rsid w:val="00B10338"/>
    <w:rsid w:val="00B1151C"/>
    <w:rsid w:val="00B11E06"/>
    <w:rsid w:val="00B13099"/>
    <w:rsid w:val="00B1397D"/>
    <w:rsid w:val="00B16127"/>
    <w:rsid w:val="00B16978"/>
    <w:rsid w:val="00B16BE4"/>
    <w:rsid w:val="00B17EBB"/>
    <w:rsid w:val="00B237C6"/>
    <w:rsid w:val="00B24A6F"/>
    <w:rsid w:val="00B260D9"/>
    <w:rsid w:val="00B278DB"/>
    <w:rsid w:val="00B30D4F"/>
    <w:rsid w:val="00B30D5C"/>
    <w:rsid w:val="00B32894"/>
    <w:rsid w:val="00B341B7"/>
    <w:rsid w:val="00B3434E"/>
    <w:rsid w:val="00B343BB"/>
    <w:rsid w:val="00B34A3E"/>
    <w:rsid w:val="00B351FD"/>
    <w:rsid w:val="00B35BFD"/>
    <w:rsid w:val="00B40B13"/>
    <w:rsid w:val="00B41BA4"/>
    <w:rsid w:val="00B421F2"/>
    <w:rsid w:val="00B42822"/>
    <w:rsid w:val="00B42C54"/>
    <w:rsid w:val="00B435C8"/>
    <w:rsid w:val="00B4395A"/>
    <w:rsid w:val="00B451B6"/>
    <w:rsid w:val="00B4553E"/>
    <w:rsid w:val="00B45901"/>
    <w:rsid w:val="00B46773"/>
    <w:rsid w:val="00B47091"/>
    <w:rsid w:val="00B47E14"/>
    <w:rsid w:val="00B50D0A"/>
    <w:rsid w:val="00B52BB4"/>
    <w:rsid w:val="00B54256"/>
    <w:rsid w:val="00B545F4"/>
    <w:rsid w:val="00B5496F"/>
    <w:rsid w:val="00B56303"/>
    <w:rsid w:val="00B56D7B"/>
    <w:rsid w:val="00B573DA"/>
    <w:rsid w:val="00B57599"/>
    <w:rsid w:val="00B57FB2"/>
    <w:rsid w:val="00B602A9"/>
    <w:rsid w:val="00B61F2F"/>
    <w:rsid w:val="00B62A0F"/>
    <w:rsid w:val="00B64F62"/>
    <w:rsid w:val="00B65321"/>
    <w:rsid w:val="00B65D3A"/>
    <w:rsid w:val="00B66898"/>
    <w:rsid w:val="00B70EE0"/>
    <w:rsid w:val="00B7164C"/>
    <w:rsid w:val="00B71CA5"/>
    <w:rsid w:val="00B807AB"/>
    <w:rsid w:val="00B80F53"/>
    <w:rsid w:val="00B8152D"/>
    <w:rsid w:val="00B82E26"/>
    <w:rsid w:val="00B910F3"/>
    <w:rsid w:val="00B91A7C"/>
    <w:rsid w:val="00B92E02"/>
    <w:rsid w:val="00B93F2D"/>
    <w:rsid w:val="00B95AC6"/>
    <w:rsid w:val="00B95FBC"/>
    <w:rsid w:val="00B97C44"/>
    <w:rsid w:val="00BA05AE"/>
    <w:rsid w:val="00BA0B1C"/>
    <w:rsid w:val="00BA1CB0"/>
    <w:rsid w:val="00BA22F7"/>
    <w:rsid w:val="00BA2FA3"/>
    <w:rsid w:val="00BA46E0"/>
    <w:rsid w:val="00BA6418"/>
    <w:rsid w:val="00BA7D18"/>
    <w:rsid w:val="00BB3A8F"/>
    <w:rsid w:val="00BB4412"/>
    <w:rsid w:val="00BB5572"/>
    <w:rsid w:val="00BB6DB1"/>
    <w:rsid w:val="00BC1F96"/>
    <w:rsid w:val="00BC2214"/>
    <w:rsid w:val="00BC2543"/>
    <w:rsid w:val="00BC2A83"/>
    <w:rsid w:val="00BD0D15"/>
    <w:rsid w:val="00BD33EA"/>
    <w:rsid w:val="00BD4FDC"/>
    <w:rsid w:val="00BD5425"/>
    <w:rsid w:val="00BE06A4"/>
    <w:rsid w:val="00BE5E8F"/>
    <w:rsid w:val="00BF0332"/>
    <w:rsid w:val="00BF2BFE"/>
    <w:rsid w:val="00BF435A"/>
    <w:rsid w:val="00BF5FCC"/>
    <w:rsid w:val="00BF7001"/>
    <w:rsid w:val="00C0256C"/>
    <w:rsid w:val="00C069A2"/>
    <w:rsid w:val="00C069EC"/>
    <w:rsid w:val="00C11C6D"/>
    <w:rsid w:val="00C17416"/>
    <w:rsid w:val="00C1748F"/>
    <w:rsid w:val="00C201F2"/>
    <w:rsid w:val="00C21125"/>
    <w:rsid w:val="00C214A9"/>
    <w:rsid w:val="00C21706"/>
    <w:rsid w:val="00C2206B"/>
    <w:rsid w:val="00C221D5"/>
    <w:rsid w:val="00C2280A"/>
    <w:rsid w:val="00C23D12"/>
    <w:rsid w:val="00C2652B"/>
    <w:rsid w:val="00C26DDD"/>
    <w:rsid w:val="00C30598"/>
    <w:rsid w:val="00C340F2"/>
    <w:rsid w:val="00C37B98"/>
    <w:rsid w:val="00C40AF4"/>
    <w:rsid w:val="00C44F36"/>
    <w:rsid w:val="00C45360"/>
    <w:rsid w:val="00C45BFA"/>
    <w:rsid w:val="00C45C85"/>
    <w:rsid w:val="00C45D69"/>
    <w:rsid w:val="00C51681"/>
    <w:rsid w:val="00C533E6"/>
    <w:rsid w:val="00C54DA2"/>
    <w:rsid w:val="00C56730"/>
    <w:rsid w:val="00C56F34"/>
    <w:rsid w:val="00C6024F"/>
    <w:rsid w:val="00C60CE3"/>
    <w:rsid w:val="00C61039"/>
    <w:rsid w:val="00C61FFE"/>
    <w:rsid w:val="00C63D95"/>
    <w:rsid w:val="00C64B94"/>
    <w:rsid w:val="00C650AE"/>
    <w:rsid w:val="00C67D6B"/>
    <w:rsid w:val="00C7064F"/>
    <w:rsid w:val="00C7070C"/>
    <w:rsid w:val="00C7380E"/>
    <w:rsid w:val="00C739BF"/>
    <w:rsid w:val="00C75225"/>
    <w:rsid w:val="00C7647E"/>
    <w:rsid w:val="00C76C24"/>
    <w:rsid w:val="00C80E3F"/>
    <w:rsid w:val="00C81BD1"/>
    <w:rsid w:val="00C8323E"/>
    <w:rsid w:val="00C85C21"/>
    <w:rsid w:val="00C8624E"/>
    <w:rsid w:val="00C8756C"/>
    <w:rsid w:val="00C90663"/>
    <w:rsid w:val="00C90E2B"/>
    <w:rsid w:val="00C92E70"/>
    <w:rsid w:val="00C936A0"/>
    <w:rsid w:val="00C93DCA"/>
    <w:rsid w:val="00C93E64"/>
    <w:rsid w:val="00C9535A"/>
    <w:rsid w:val="00C96D6F"/>
    <w:rsid w:val="00CA071B"/>
    <w:rsid w:val="00CA0DD1"/>
    <w:rsid w:val="00CA3099"/>
    <w:rsid w:val="00CA5466"/>
    <w:rsid w:val="00CA6643"/>
    <w:rsid w:val="00CA734B"/>
    <w:rsid w:val="00CB0475"/>
    <w:rsid w:val="00CB1B1E"/>
    <w:rsid w:val="00CB1DB5"/>
    <w:rsid w:val="00CB2C4F"/>
    <w:rsid w:val="00CB3583"/>
    <w:rsid w:val="00CB4540"/>
    <w:rsid w:val="00CB52FF"/>
    <w:rsid w:val="00CB5CCC"/>
    <w:rsid w:val="00CB6A8C"/>
    <w:rsid w:val="00CB794C"/>
    <w:rsid w:val="00CC2A2B"/>
    <w:rsid w:val="00CC34FF"/>
    <w:rsid w:val="00CC3A1C"/>
    <w:rsid w:val="00CC3FCA"/>
    <w:rsid w:val="00CC44F0"/>
    <w:rsid w:val="00CC6DB2"/>
    <w:rsid w:val="00CD09FA"/>
    <w:rsid w:val="00CD0E5B"/>
    <w:rsid w:val="00CD0FE9"/>
    <w:rsid w:val="00CD29E4"/>
    <w:rsid w:val="00CD396E"/>
    <w:rsid w:val="00CD3C38"/>
    <w:rsid w:val="00CD42E7"/>
    <w:rsid w:val="00CD5104"/>
    <w:rsid w:val="00CD6046"/>
    <w:rsid w:val="00CD60D3"/>
    <w:rsid w:val="00CE06A5"/>
    <w:rsid w:val="00CE202E"/>
    <w:rsid w:val="00CE2229"/>
    <w:rsid w:val="00CE28F2"/>
    <w:rsid w:val="00CE374E"/>
    <w:rsid w:val="00CE475A"/>
    <w:rsid w:val="00CE506E"/>
    <w:rsid w:val="00CE6622"/>
    <w:rsid w:val="00CF0534"/>
    <w:rsid w:val="00CF0BA6"/>
    <w:rsid w:val="00CF0BFF"/>
    <w:rsid w:val="00CF186A"/>
    <w:rsid w:val="00CF3FF0"/>
    <w:rsid w:val="00CF41AF"/>
    <w:rsid w:val="00CF4567"/>
    <w:rsid w:val="00CF53AB"/>
    <w:rsid w:val="00CF6815"/>
    <w:rsid w:val="00D04520"/>
    <w:rsid w:val="00D04D3D"/>
    <w:rsid w:val="00D06C45"/>
    <w:rsid w:val="00D1143A"/>
    <w:rsid w:val="00D11B02"/>
    <w:rsid w:val="00D1202C"/>
    <w:rsid w:val="00D12617"/>
    <w:rsid w:val="00D140D8"/>
    <w:rsid w:val="00D16DDF"/>
    <w:rsid w:val="00D16E24"/>
    <w:rsid w:val="00D171B6"/>
    <w:rsid w:val="00D17C62"/>
    <w:rsid w:val="00D17F75"/>
    <w:rsid w:val="00D20486"/>
    <w:rsid w:val="00D21E2F"/>
    <w:rsid w:val="00D228D8"/>
    <w:rsid w:val="00D231E9"/>
    <w:rsid w:val="00D31439"/>
    <w:rsid w:val="00D33677"/>
    <w:rsid w:val="00D36597"/>
    <w:rsid w:val="00D368FB"/>
    <w:rsid w:val="00D36BDD"/>
    <w:rsid w:val="00D3706F"/>
    <w:rsid w:val="00D373EC"/>
    <w:rsid w:val="00D37609"/>
    <w:rsid w:val="00D4180D"/>
    <w:rsid w:val="00D41B01"/>
    <w:rsid w:val="00D42875"/>
    <w:rsid w:val="00D42B44"/>
    <w:rsid w:val="00D444ED"/>
    <w:rsid w:val="00D44A14"/>
    <w:rsid w:val="00D44DB1"/>
    <w:rsid w:val="00D47738"/>
    <w:rsid w:val="00D47A1A"/>
    <w:rsid w:val="00D47D36"/>
    <w:rsid w:val="00D502EB"/>
    <w:rsid w:val="00D51A6C"/>
    <w:rsid w:val="00D51A9B"/>
    <w:rsid w:val="00D51D95"/>
    <w:rsid w:val="00D5260D"/>
    <w:rsid w:val="00D53EC6"/>
    <w:rsid w:val="00D55A00"/>
    <w:rsid w:val="00D55E49"/>
    <w:rsid w:val="00D56F77"/>
    <w:rsid w:val="00D57BA8"/>
    <w:rsid w:val="00D60C5E"/>
    <w:rsid w:val="00D60DB3"/>
    <w:rsid w:val="00D61E9F"/>
    <w:rsid w:val="00D62CC8"/>
    <w:rsid w:val="00D63232"/>
    <w:rsid w:val="00D63CCA"/>
    <w:rsid w:val="00D6402F"/>
    <w:rsid w:val="00D64983"/>
    <w:rsid w:val="00D64B54"/>
    <w:rsid w:val="00D7047A"/>
    <w:rsid w:val="00D70B1B"/>
    <w:rsid w:val="00D719E9"/>
    <w:rsid w:val="00D72225"/>
    <w:rsid w:val="00D73550"/>
    <w:rsid w:val="00D838F7"/>
    <w:rsid w:val="00D8479E"/>
    <w:rsid w:val="00D84B84"/>
    <w:rsid w:val="00D868F1"/>
    <w:rsid w:val="00D87B46"/>
    <w:rsid w:val="00D87EFF"/>
    <w:rsid w:val="00D87F3A"/>
    <w:rsid w:val="00D90F47"/>
    <w:rsid w:val="00D91AE6"/>
    <w:rsid w:val="00D93D11"/>
    <w:rsid w:val="00D941E0"/>
    <w:rsid w:val="00D95840"/>
    <w:rsid w:val="00D97308"/>
    <w:rsid w:val="00DA007F"/>
    <w:rsid w:val="00DA1603"/>
    <w:rsid w:val="00DA2B67"/>
    <w:rsid w:val="00DA3C9A"/>
    <w:rsid w:val="00DA554C"/>
    <w:rsid w:val="00DA589B"/>
    <w:rsid w:val="00DA5980"/>
    <w:rsid w:val="00DA5BF6"/>
    <w:rsid w:val="00DA5F07"/>
    <w:rsid w:val="00DB0EF6"/>
    <w:rsid w:val="00DB2668"/>
    <w:rsid w:val="00DB2CE5"/>
    <w:rsid w:val="00DB3D55"/>
    <w:rsid w:val="00DB42FB"/>
    <w:rsid w:val="00DB520B"/>
    <w:rsid w:val="00DB7AEE"/>
    <w:rsid w:val="00DC1187"/>
    <w:rsid w:val="00DC39C4"/>
    <w:rsid w:val="00DC4568"/>
    <w:rsid w:val="00DC684C"/>
    <w:rsid w:val="00DC6AFC"/>
    <w:rsid w:val="00DC6D29"/>
    <w:rsid w:val="00DD0910"/>
    <w:rsid w:val="00DD0941"/>
    <w:rsid w:val="00DD0CC5"/>
    <w:rsid w:val="00DD1C47"/>
    <w:rsid w:val="00DD2826"/>
    <w:rsid w:val="00DD49FE"/>
    <w:rsid w:val="00DD6B5E"/>
    <w:rsid w:val="00DD70C7"/>
    <w:rsid w:val="00DE0602"/>
    <w:rsid w:val="00DE0E3C"/>
    <w:rsid w:val="00DE13E8"/>
    <w:rsid w:val="00DE16C6"/>
    <w:rsid w:val="00DE4BF6"/>
    <w:rsid w:val="00DE52A5"/>
    <w:rsid w:val="00DE5325"/>
    <w:rsid w:val="00DE5D46"/>
    <w:rsid w:val="00DE69D0"/>
    <w:rsid w:val="00DE7070"/>
    <w:rsid w:val="00DE77A3"/>
    <w:rsid w:val="00DF02F6"/>
    <w:rsid w:val="00DF0993"/>
    <w:rsid w:val="00DF163F"/>
    <w:rsid w:val="00DF196B"/>
    <w:rsid w:val="00DF21B8"/>
    <w:rsid w:val="00DF284F"/>
    <w:rsid w:val="00DF31EE"/>
    <w:rsid w:val="00DF3395"/>
    <w:rsid w:val="00DF473A"/>
    <w:rsid w:val="00DF573F"/>
    <w:rsid w:val="00DF7681"/>
    <w:rsid w:val="00E00443"/>
    <w:rsid w:val="00E027D2"/>
    <w:rsid w:val="00E02A93"/>
    <w:rsid w:val="00E02D36"/>
    <w:rsid w:val="00E03431"/>
    <w:rsid w:val="00E04E43"/>
    <w:rsid w:val="00E05E74"/>
    <w:rsid w:val="00E065D9"/>
    <w:rsid w:val="00E101A7"/>
    <w:rsid w:val="00E106AB"/>
    <w:rsid w:val="00E1241D"/>
    <w:rsid w:val="00E13D0D"/>
    <w:rsid w:val="00E14404"/>
    <w:rsid w:val="00E149CE"/>
    <w:rsid w:val="00E16AC4"/>
    <w:rsid w:val="00E17C58"/>
    <w:rsid w:val="00E20F12"/>
    <w:rsid w:val="00E2178D"/>
    <w:rsid w:val="00E21B05"/>
    <w:rsid w:val="00E22DDE"/>
    <w:rsid w:val="00E23958"/>
    <w:rsid w:val="00E23AD4"/>
    <w:rsid w:val="00E23BEC"/>
    <w:rsid w:val="00E23EC3"/>
    <w:rsid w:val="00E24E4D"/>
    <w:rsid w:val="00E259DC"/>
    <w:rsid w:val="00E25D14"/>
    <w:rsid w:val="00E25F8C"/>
    <w:rsid w:val="00E2618B"/>
    <w:rsid w:val="00E267F1"/>
    <w:rsid w:val="00E26938"/>
    <w:rsid w:val="00E27708"/>
    <w:rsid w:val="00E27EDD"/>
    <w:rsid w:val="00E35EAA"/>
    <w:rsid w:val="00E3704F"/>
    <w:rsid w:val="00E40194"/>
    <w:rsid w:val="00E412B7"/>
    <w:rsid w:val="00E42772"/>
    <w:rsid w:val="00E44F08"/>
    <w:rsid w:val="00E4608C"/>
    <w:rsid w:val="00E528AF"/>
    <w:rsid w:val="00E53131"/>
    <w:rsid w:val="00E5399A"/>
    <w:rsid w:val="00E5518E"/>
    <w:rsid w:val="00E56222"/>
    <w:rsid w:val="00E566D8"/>
    <w:rsid w:val="00E57743"/>
    <w:rsid w:val="00E577C9"/>
    <w:rsid w:val="00E6128C"/>
    <w:rsid w:val="00E62505"/>
    <w:rsid w:val="00E62DD3"/>
    <w:rsid w:val="00E641D8"/>
    <w:rsid w:val="00E64B11"/>
    <w:rsid w:val="00E66D8F"/>
    <w:rsid w:val="00E6742D"/>
    <w:rsid w:val="00E705AA"/>
    <w:rsid w:val="00E71707"/>
    <w:rsid w:val="00E71EF1"/>
    <w:rsid w:val="00E731C6"/>
    <w:rsid w:val="00E740C4"/>
    <w:rsid w:val="00E74686"/>
    <w:rsid w:val="00E74750"/>
    <w:rsid w:val="00E757C2"/>
    <w:rsid w:val="00E7660C"/>
    <w:rsid w:val="00E76686"/>
    <w:rsid w:val="00E770A0"/>
    <w:rsid w:val="00E80520"/>
    <w:rsid w:val="00E818D4"/>
    <w:rsid w:val="00E81BD0"/>
    <w:rsid w:val="00E81D4A"/>
    <w:rsid w:val="00E8297B"/>
    <w:rsid w:val="00E83C98"/>
    <w:rsid w:val="00E83D10"/>
    <w:rsid w:val="00E840FE"/>
    <w:rsid w:val="00E84359"/>
    <w:rsid w:val="00E847DC"/>
    <w:rsid w:val="00E84DBD"/>
    <w:rsid w:val="00E873A0"/>
    <w:rsid w:val="00E90A99"/>
    <w:rsid w:val="00E9124C"/>
    <w:rsid w:val="00E9128A"/>
    <w:rsid w:val="00E91BFD"/>
    <w:rsid w:val="00E91C15"/>
    <w:rsid w:val="00E93BF9"/>
    <w:rsid w:val="00E943E8"/>
    <w:rsid w:val="00E945CE"/>
    <w:rsid w:val="00E94F35"/>
    <w:rsid w:val="00E94FAF"/>
    <w:rsid w:val="00E96293"/>
    <w:rsid w:val="00E96E5C"/>
    <w:rsid w:val="00E97091"/>
    <w:rsid w:val="00EA0340"/>
    <w:rsid w:val="00EA0528"/>
    <w:rsid w:val="00EA0C10"/>
    <w:rsid w:val="00EA347E"/>
    <w:rsid w:val="00EA4E02"/>
    <w:rsid w:val="00EA6276"/>
    <w:rsid w:val="00EB048C"/>
    <w:rsid w:val="00EB2C67"/>
    <w:rsid w:val="00EB367C"/>
    <w:rsid w:val="00EB43BA"/>
    <w:rsid w:val="00EB46D0"/>
    <w:rsid w:val="00EB4700"/>
    <w:rsid w:val="00EB63B0"/>
    <w:rsid w:val="00EB76DD"/>
    <w:rsid w:val="00EB7B64"/>
    <w:rsid w:val="00EB7F72"/>
    <w:rsid w:val="00EC4357"/>
    <w:rsid w:val="00EC49A4"/>
    <w:rsid w:val="00EC4EF3"/>
    <w:rsid w:val="00EC6BE4"/>
    <w:rsid w:val="00ED1051"/>
    <w:rsid w:val="00ED16C8"/>
    <w:rsid w:val="00ED20C9"/>
    <w:rsid w:val="00ED21EE"/>
    <w:rsid w:val="00ED37E1"/>
    <w:rsid w:val="00ED396E"/>
    <w:rsid w:val="00ED3B31"/>
    <w:rsid w:val="00ED4EC4"/>
    <w:rsid w:val="00ED638E"/>
    <w:rsid w:val="00ED6C04"/>
    <w:rsid w:val="00ED7B54"/>
    <w:rsid w:val="00EE04B4"/>
    <w:rsid w:val="00EE23A8"/>
    <w:rsid w:val="00EE3912"/>
    <w:rsid w:val="00EE4040"/>
    <w:rsid w:val="00EE4094"/>
    <w:rsid w:val="00EE4D57"/>
    <w:rsid w:val="00EE53FF"/>
    <w:rsid w:val="00EE5E83"/>
    <w:rsid w:val="00EE6954"/>
    <w:rsid w:val="00EE7092"/>
    <w:rsid w:val="00EF1875"/>
    <w:rsid w:val="00EF2F5C"/>
    <w:rsid w:val="00EF3FE7"/>
    <w:rsid w:val="00EF52E2"/>
    <w:rsid w:val="00EF6AE5"/>
    <w:rsid w:val="00EF7590"/>
    <w:rsid w:val="00F00C6F"/>
    <w:rsid w:val="00F02000"/>
    <w:rsid w:val="00F024CA"/>
    <w:rsid w:val="00F027AA"/>
    <w:rsid w:val="00F03117"/>
    <w:rsid w:val="00F03373"/>
    <w:rsid w:val="00F0354F"/>
    <w:rsid w:val="00F06C92"/>
    <w:rsid w:val="00F07B96"/>
    <w:rsid w:val="00F1013F"/>
    <w:rsid w:val="00F10A99"/>
    <w:rsid w:val="00F138A2"/>
    <w:rsid w:val="00F14C80"/>
    <w:rsid w:val="00F150B3"/>
    <w:rsid w:val="00F154EB"/>
    <w:rsid w:val="00F16338"/>
    <w:rsid w:val="00F17794"/>
    <w:rsid w:val="00F20632"/>
    <w:rsid w:val="00F20E56"/>
    <w:rsid w:val="00F23738"/>
    <w:rsid w:val="00F25281"/>
    <w:rsid w:val="00F30846"/>
    <w:rsid w:val="00F30CAB"/>
    <w:rsid w:val="00F32479"/>
    <w:rsid w:val="00F327DF"/>
    <w:rsid w:val="00F32E2C"/>
    <w:rsid w:val="00F33121"/>
    <w:rsid w:val="00F33769"/>
    <w:rsid w:val="00F358DA"/>
    <w:rsid w:val="00F360D6"/>
    <w:rsid w:val="00F36B71"/>
    <w:rsid w:val="00F36DEB"/>
    <w:rsid w:val="00F406FD"/>
    <w:rsid w:val="00F40D24"/>
    <w:rsid w:val="00F414D0"/>
    <w:rsid w:val="00F41A9B"/>
    <w:rsid w:val="00F457AB"/>
    <w:rsid w:val="00F46641"/>
    <w:rsid w:val="00F4722B"/>
    <w:rsid w:val="00F47D9D"/>
    <w:rsid w:val="00F50558"/>
    <w:rsid w:val="00F50A8E"/>
    <w:rsid w:val="00F544D2"/>
    <w:rsid w:val="00F55847"/>
    <w:rsid w:val="00F57142"/>
    <w:rsid w:val="00F5756D"/>
    <w:rsid w:val="00F62D81"/>
    <w:rsid w:val="00F62F79"/>
    <w:rsid w:val="00F630A2"/>
    <w:rsid w:val="00F643B2"/>
    <w:rsid w:val="00F65297"/>
    <w:rsid w:val="00F652AB"/>
    <w:rsid w:val="00F65942"/>
    <w:rsid w:val="00F65E84"/>
    <w:rsid w:val="00F67651"/>
    <w:rsid w:val="00F72AA0"/>
    <w:rsid w:val="00F73305"/>
    <w:rsid w:val="00F7510E"/>
    <w:rsid w:val="00F761F7"/>
    <w:rsid w:val="00F76A40"/>
    <w:rsid w:val="00F77282"/>
    <w:rsid w:val="00F808C4"/>
    <w:rsid w:val="00F80C07"/>
    <w:rsid w:val="00F814BB"/>
    <w:rsid w:val="00F85BC0"/>
    <w:rsid w:val="00F87264"/>
    <w:rsid w:val="00F908E9"/>
    <w:rsid w:val="00F90D31"/>
    <w:rsid w:val="00F91C4A"/>
    <w:rsid w:val="00F95F3C"/>
    <w:rsid w:val="00F96295"/>
    <w:rsid w:val="00F96905"/>
    <w:rsid w:val="00F96D19"/>
    <w:rsid w:val="00FA0EBA"/>
    <w:rsid w:val="00FA50A9"/>
    <w:rsid w:val="00FA56D6"/>
    <w:rsid w:val="00FA595F"/>
    <w:rsid w:val="00FA6C24"/>
    <w:rsid w:val="00FA7B14"/>
    <w:rsid w:val="00FA7B51"/>
    <w:rsid w:val="00FB338F"/>
    <w:rsid w:val="00FB371B"/>
    <w:rsid w:val="00FB3BA5"/>
    <w:rsid w:val="00FB47CF"/>
    <w:rsid w:val="00FB651A"/>
    <w:rsid w:val="00FC0CB3"/>
    <w:rsid w:val="00FC17D3"/>
    <w:rsid w:val="00FC2999"/>
    <w:rsid w:val="00FC5465"/>
    <w:rsid w:val="00FC697F"/>
    <w:rsid w:val="00FC765F"/>
    <w:rsid w:val="00FD1861"/>
    <w:rsid w:val="00FD3DCC"/>
    <w:rsid w:val="00FD3F5C"/>
    <w:rsid w:val="00FD4C01"/>
    <w:rsid w:val="00FD5375"/>
    <w:rsid w:val="00FD5B82"/>
    <w:rsid w:val="00FD61A3"/>
    <w:rsid w:val="00FD66C9"/>
    <w:rsid w:val="00FD7962"/>
    <w:rsid w:val="00FD79F6"/>
    <w:rsid w:val="00FE0371"/>
    <w:rsid w:val="00FE1258"/>
    <w:rsid w:val="00FE2025"/>
    <w:rsid w:val="00FE31D0"/>
    <w:rsid w:val="00FE3581"/>
    <w:rsid w:val="00FE5227"/>
    <w:rsid w:val="00FE7A3F"/>
    <w:rsid w:val="00FF10F6"/>
    <w:rsid w:val="00FF1239"/>
    <w:rsid w:val="00FF2556"/>
    <w:rsid w:val="00FF3F73"/>
    <w:rsid w:val="00FF473F"/>
    <w:rsid w:val="00FF4E87"/>
    <w:rsid w:val="00FF5C5C"/>
    <w:rsid w:val="00FF6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5EAA"/>
    <w:rPr>
      <w:rFonts w:ascii="Arial" w:hAnsi="Arial" w:cs="Arial"/>
    </w:rPr>
  </w:style>
  <w:style w:type="paragraph" w:styleId="Heading1">
    <w:name w:val="heading 1"/>
    <w:basedOn w:val="Normal"/>
    <w:next w:val="Normal"/>
    <w:link w:val="Heading1Char"/>
    <w:qFormat/>
    <w:rsid w:val="00E71EF1"/>
    <w:pPr>
      <w:keepNext/>
      <w:spacing w:before="240" w:after="60"/>
      <w:outlineLvl w:val="0"/>
    </w:pPr>
    <w:rPr>
      <w:b/>
      <w:bCs/>
      <w:kern w:val="32"/>
      <w:sz w:val="32"/>
      <w:szCs w:val="32"/>
    </w:rPr>
  </w:style>
  <w:style w:type="paragraph" w:styleId="Heading2">
    <w:name w:val="heading 2"/>
    <w:basedOn w:val="Normal"/>
    <w:next w:val="Normal"/>
    <w:qFormat/>
    <w:rsid w:val="00B16127"/>
    <w:pPr>
      <w:keepNext/>
      <w:spacing w:before="240" w:after="60"/>
      <w:outlineLvl w:val="1"/>
    </w:pPr>
    <w:rPr>
      <w:b/>
      <w:bCs/>
      <w:i/>
      <w:iCs/>
      <w:sz w:val="28"/>
      <w:szCs w:val="28"/>
    </w:rPr>
  </w:style>
  <w:style w:type="paragraph" w:styleId="Heading3">
    <w:name w:val="heading 3"/>
    <w:basedOn w:val="Normal"/>
    <w:next w:val="Normal"/>
    <w:qFormat/>
    <w:rsid w:val="003129E8"/>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rPr>
  </w:style>
  <w:style w:type="paragraph" w:styleId="DocumentMap">
    <w:name w:val="Document Map"/>
    <w:basedOn w:val="Normal"/>
    <w:semiHidden/>
    <w:rsid w:val="00B008BF"/>
    <w:pPr>
      <w:shd w:val="clear" w:color="auto" w:fill="000080"/>
    </w:pPr>
    <w:rPr>
      <w:rFonts w:ascii="Tahoma" w:hAnsi="Tahoma" w:cs="Tahoma"/>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table" w:customStyle="1" w:styleId="TableContemporary1">
    <w:name w:val="Table Contemporary1"/>
    <w:basedOn w:val="TableNormal"/>
    <w:next w:val="TableContemporary"/>
    <w:rsid w:val="00CA6643"/>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2">
    <w:name w:val="Table Contemporary2"/>
    <w:basedOn w:val="TableNormal"/>
    <w:next w:val="TableContemporary"/>
    <w:rsid w:val="00CA6643"/>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9C604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link w:val="Footer"/>
    <w:rsid w:val="00BC1F96"/>
    <w:rPr>
      <w:sz w:val="24"/>
      <w:szCs w:val="24"/>
    </w:rPr>
  </w:style>
  <w:style w:type="paragraph" w:customStyle="1" w:styleId="Default">
    <w:name w:val="Default"/>
    <w:rsid w:val="00910368"/>
    <w:pPr>
      <w:autoSpaceDE w:val="0"/>
      <w:autoSpaceDN w:val="0"/>
      <w:adjustRightInd w:val="0"/>
    </w:pPr>
    <w:rPr>
      <w:rFonts w:ascii="Calibri" w:hAnsi="Calibri" w:cs="Calibri"/>
      <w:color w:val="000000"/>
      <w:sz w:val="24"/>
      <w:szCs w:val="24"/>
    </w:rPr>
  </w:style>
  <w:style w:type="paragraph" w:customStyle="1" w:styleId="Calibri11">
    <w:name w:val="Calibri 11"/>
    <w:basedOn w:val="Normal"/>
    <w:link w:val="Calibri11Char"/>
    <w:qFormat/>
    <w:rsid w:val="00A44B8D"/>
    <w:rPr>
      <w:rFonts w:ascii="Calibri" w:hAnsi="Calibri" w:cs="Calibri"/>
      <w:sz w:val="22"/>
      <w:szCs w:val="22"/>
    </w:rPr>
  </w:style>
  <w:style w:type="character" w:customStyle="1" w:styleId="Calibri11Char">
    <w:name w:val="Calibri 11 Char"/>
    <w:link w:val="Calibri11"/>
    <w:rsid w:val="00A44B8D"/>
    <w:rPr>
      <w:rFonts w:ascii="Calibri" w:hAnsi="Calibri" w:cs="Calibri"/>
      <w:sz w:val="22"/>
      <w:szCs w:val="22"/>
    </w:rPr>
  </w:style>
  <w:style w:type="paragraph" w:styleId="Revision">
    <w:name w:val="Revision"/>
    <w:hidden/>
    <w:uiPriority w:val="99"/>
    <w:semiHidden/>
    <w:rsid w:val="002435D9"/>
    <w:rPr>
      <w:rFonts w:ascii="Arial" w:hAnsi="Arial" w:cs="Arial"/>
    </w:rPr>
  </w:style>
  <w:style w:type="character" w:styleId="PlaceholderText">
    <w:name w:val="Placeholder Text"/>
    <w:basedOn w:val="DefaultParagraphFont"/>
    <w:uiPriority w:val="99"/>
    <w:semiHidden/>
    <w:rsid w:val="00DE16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5EAA"/>
    <w:rPr>
      <w:rFonts w:ascii="Arial" w:hAnsi="Arial" w:cs="Arial"/>
    </w:rPr>
  </w:style>
  <w:style w:type="paragraph" w:styleId="Heading1">
    <w:name w:val="heading 1"/>
    <w:basedOn w:val="Normal"/>
    <w:next w:val="Normal"/>
    <w:link w:val="Heading1Char"/>
    <w:qFormat/>
    <w:rsid w:val="00E71EF1"/>
    <w:pPr>
      <w:keepNext/>
      <w:spacing w:before="240" w:after="60"/>
      <w:outlineLvl w:val="0"/>
    </w:pPr>
    <w:rPr>
      <w:b/>
      <w:bCs/>
      <w:kern w:val="32"/>
      <w:sz w:val="32"/>
      <w:szCs w:val="32"/>
    </w:rPr>
  </w:style>
  <w:style w:type="paragraph" w:styleId="Heading2">
    <w:name w:val="heading 2"/>
    <w:basedOn w:val="Normal"/>
    <w:next w:val="Normal"/>
    <w:qFormat/>
    <w:rsid w:val="00B16127"/>
    <w:pPr>
      <w:keepNext/>
      <w:spacing w:before="240" w:after="60"/>
      <w:outlineLvl w:val="1"/>
    </w:pPr>
    <w:rPr>
      <w:b/>
      <w:bCs/>
      <w:i/>
      <w:iCs/>
      <w:sz w:val="28"/>
      <w:szCs w:val="28"/>
    </w:rPr>
  </w:style>
  <w:style w:type="paragraph" w:styleId="Heading3">
    <w:name w:val="heading 3"/>
    <w:basedOn w:val="Normal"/>
    <w:next w:val="Normal"/>
    <w:qFormat/>
    <w:rsid w:val="003129E8"/>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rPr>
  </w:style>
  <w:style w:type="paragraph" w:styleId="DocumentMap">
    <w:name w:val="Document Map"/>
    <w:basedOn w:val="Normal"/>
    <w:semiHidden/>
    <w:rsid w:val="00B008BF"/>
    <w:pPr>
      <w:shd w:val="clear" w:color="auto" w:fill="000080"/>
    </w:pPr>
    <w:rPr>
      <w:rFonts w:ascii="Tahoma" w:hAnsi="Tahoma" w:cs="Tahoma"/>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table" w:customStyle="1" w:styleId="TableContemporary1">
    <w:name w:val="Table Contemporary1"/>
    <w:basedOn w:val="TableNormal"/>
    <w:next w:val="TableContemporary"/>
    <w:rsid w:val="00CA6643"/>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2">
    <w:name w:val="Table Contemporary2"/>
    <w:basedOn w:val="TableNormal"/>
    <w:next w:val="TableContemporary"/>
    <w:rsid w:val="00CA6643"/>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9C604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link w:val="Footer"/>
    <w:rsid w:val="00BC1F96"/>
    <w:rPr>
      <w:sz w:val="24"/>
      <w:szCs w:val="24"/>
    </w:rPr>
  </w:style>
  <w:style w:type="paragraph" w:customStyle="1" w:styleId="Default">
    <w:name w:val="Default"/>
    <w:rsid w:val="00910368"/>
    <w:pPr>
      <w:autoSpaceDE w:val="0"/>
      <w:autoSpaceDN w:val="0"/>
      <w:adjustRightInd w:val="0"/>
    </w:pPr>
    <w:rPr>
      <w:rFonts w:ascii="Calibri" w:hAnsi="Calibri" w:cs="Calibri"/>
      <w:color w:val="000000"/>
      <w:sz w:val="24"/>
      <w:szCs w:val="24"/>
    </w:rPr>
  </w:style>
  <w:style w:type="paragraph" w:customStyle="1" w:styleId="Calibri11">
    <w:name w:val="Calibri 11"/>
    <w:basedOn w:val="Normal"/>
    <w:link w:val="Calibri11Char"/>
    <w:qFormat/>
    <w:rsid w:val="00A44B8D"/>
    <w:rPr>
      <w:rFonts w:ascii="Calibri" w:hAnsi="Calibri" w:cs="Calibri"/>
      <w:sz w:val="22"/>
      <w:szCs w:val="22"/>
    </w:rPr>
  </w:style>
  <w:style w:type="character" w:customStyle="1" w:styleId="Calibri11Char">
    <w:name w:val="Calibri 11 Char"/>
    <w:link w:val="Calibri11"/>
    <w:rsid w:val="00A44B8D"/>
    <w:rPr>
      <w:rFonts w:ascii="Calibri" w:hAnsi="Calibri" w:cs="Calibri"/>
      <w:sz w:val="22"/>
      <w:szCs w:val="22"/>
    </w:rPr>
  </w:style>
  <w:style w:type="paragraph" w:styleId="Revision">
    <w:name w:val="Revision"/>
    <w:hidden/>
    <w:uiPriority w:val="99"/>
    <w:semiHidden/>
    <w:rsid w:val="002435D9"/>
    <w:rPr>
      <w:rFonts w:ascii="Arial" w:hAnsi="Arial" w:cs="Arial"/>
    </w:rPr>
  </w:style>
  <w:style w:type="character" w:styleId="PlaceholderText">
    <w:name w:val="Placeholder Text"/>
    <w:basedOn w:val="DefaultParagraphFont"/>
    <w:uiPriority w:val="99"/>
    <w:semiHidden/>
    <w:rsid w:val="00DE16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113184816">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54841818">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85049071">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117988133">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A4EB9161-97B9-4DC3-BEB3-392A263F3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18</Pages>
  <Words>3876</Words>
  <Characters>22099</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Microsoft</Company>
  <LinksUpToDate>false</LinksUpToDate>
  <CharactersWithSpaces>25924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Fok, Stephen</cp:lastModifiedBy>
  <cp:revision>2</cp:revision>
  <cp:lastPrinted>2014-01-16T20:55:00Z</cp:lastPrinted>
  <dcterms:created xsi:type="dcterms:W3CDTF">2014-08-13T22:14:00Z</dcterms:created>
  <dcterms:modified xsi:type="dcterms:W3CDTF">2014-08-13T22:14:00Z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