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B65" w:rsidRDefault="00B624B3" w:rsidP="00BA1F75">
      <w:pPr>
        <w:jc w:val="right"/>
        <w:rPr>
          <w:rFonts w:ascii="Arial" w:hAnsi="Arial" w:cs="Arial"/>
          <w:b/>
          <w:sz w:val="48"/>
          <w:szCs w:val="48"/>
        </w:rPr>
      </w:pPr>
      <w:bookmarkStart w:id="0" w:name="_GoBack"/>
      <w:bookmarkEnd w:id="0"/>
      <w:r w:rsidRPr="00573D7D">
        <w:rPr>
          <w:rFonts w:ascii="Arial" w:hAnsi="Arial" w:cs="Arial"/>
          <w:b/>
          <w:sz w:val="48"/>
          <w:szCs w:val="48"/>
        </w:rPr>
        <w:t xml:space="preserve">Work Paper </w:t>
      </w:r>
      <w:r w:rsidR="00636908">
        <w:rPr>
          <w:rFonts w:ascii="Arial" w:hAnsi="Arial" w:cs="Arial"/>
          <w:b/>
          <w:sz w:val="48"/>
          <w:szCs w:val="48"/>
        </w:rPr>
        <w:t>PGE3PREF128</w:t>
      </w:r>
    </w:p>
    <w:p w:rsidR="00B624B3" w:rsidRPr="00573D7D" w:rsidRDefault="00D60B65" w:rsidP="00BA1F75">
      <w:pPr>
        <w:jc w:val="right"/>
        <w:rPr>
          <w:rFonts w:ascii="Arial" w:hAnsi="Arial" w:cs="Arial"/>
          <w:b/>
          <w:sz w:val="48"/>
          <w:szCs w:val="48"/>
        </w:rPr>
      </w:pPr>
      <w:r>
        <w:rPr>
          <w:rFonts w:ascii="Arial" w:hAnsi="Arial" w:cs="Arial"/>
          <w:b/>
          <w:sz w:val="48"/>
          <w:szCs w:val="48"/>
        </w:rPr>
        <w:t>Medium Temp Open Case Retrofit</w:t>
      </w:r>
      <w:r w:rsidR="00B624B3" w:rsidRPr="00573D7D">
        <w:rPr>
          <w:rFonts w:ascii="Arial" w:hAnsi="Arial" w:cs="Arial"/>
          <w:b/>
          <w:sz w:val="48"/>
          <w:szCs w:val="48"/>
        </w:rPr>
        <w:t xml:space="preserve"> </w:t>
      </w:r>
    </w:p>
    <w:p w:rsidR="00B624B3" w:rsidRPr="00573D7D" w:rsidRDefault="00B624B3" w:rsidP="00B624B3">
      <w:pPr>
        <w:jc w:val="right"/>
        <w:rPr>
          <w:rFonts w:ascii="Arial" w:hAnsi="Arial" w:cs="Arial"/>
          <w:b/>
          <w:sz w:val="48"/>
          <w:szCs w:val="48"/>
        </w:rPr>
      </w:pPr>
      <w:bookmarkStart w:id="1" w:name="_Toc153189647"/>
      <w:r w:rsidRPr="00573D7D">
        <w:rPr>
          <w:rFonts w:ascii="Arial" w:hAnsi="Arial" w:cs="Arial"/>
          <w:b/>
          <w:sz w:val="48"/>
          <w:szCs w:val="48"/>
        </w:rPr>
        <w:t>Revision</w:t>
      </w:r>
      <w:bookmarkEnd w:id="1"/>
      <w:r w:rsidRPr="00573D7D">
        <w:rPr>
          <w:rFonts w:ascii="Arial" w:hAnsi="Arial" w:cs="Arial"/>
          <w:b/>
          <w:sz w:val="48"/>
          <w:szCs w:val="48"/>
        </w:rPr>
        <w:t xml:space="preserve"> </w:t>
      </w:r>
      <w:r w:rsidR="004944D0">
        <w:rPr>
          <w:rFonts w:ascii="Arial" w:hAnsi="Arial" w:cs="Arial"/>
          <w:b/>
          <w:sz w:val="48"/>
          <w:szCs w:val="48"/>
        </w:rPr>
        <w:t>2</w:t>
      </w:r>
    </w:p>
    <w:p w:rsidR="00B624B3" w:rsidRDefault="00B624B3" w:rsidP="00B624B3"/>
    <w:p w:rsidR="00B624B3" w:rsidRPr="002E0043" w:rsidRDefault="00B624B3" w:rsidP="00B624B3">
      <w:pPr>
        <w:pBdr>
          <w:bottom w:val="single" w:sz="4" w:space="1" w:color="auto"/>
        </w:pBdr>
        <w:rPr>
          <w:rFonts w:ascii="Arial" w:hAnsi="Arial" w:cs="Arial"/>
          <w:b/>
          <w:sz w:val="36"/>
          <w:szCs w:val="36"/>
        </w:rPr>
      </w:pPr>
      <w:r>
        <w:rPr>
          <w:rFonts w:ascii="Arial" w:hAnsi="Arial" w:cs="Arial"/>
          <w:b/>
          <w:sz w:val="36"/>
          <w:szCs w:val="36"/>
        </w:rPr>
        <w:t>PECI</w:t>
      </w:r>
    </w:p>
    <w:p w:rsidR="00B624B3" w:rsidRPr="002E0043" w:rsidRDefault="00B624B3" w:rsidP="00B624B3">
      <w:pPr>
        <w:rPr>
          <w:rFonts w:ascii="Arial" w:hAnsi="Arial" w:cs="Arial"/>
          <w:b/>
          <w:sz w:val="32"/>
          <w:szCs w:val="32"/>
        </w:rPr>
      </w:pPr>
      <w:r>
        <w:rPr>
          <w:rFonts w:ascii="Arial" w:hAnsi="Arial" w:cs="Arial"/>
          <w:b/>
          <w:sz w:val="32"/>
          <w:szCs w:val="32"/>
        </w:rPr>
        <w:t>EnergySmart Grocer</w:t>
      </w:r>
    </w:p>
    <w:p w:rsidR="00B624B3" w:rsidRDefault="00B624B3" w:rsidP="00B624B3">
      <w:pPr>
        <w:ind w:right="-720"/>
        <w:rPr>
          <w:rFonts w:ascii="Arial" w:hAnsi="Arial" w:cs="Arial"/>
          <w:b/>
          <w:i/>
          <w:color w:val="FF0000"/>
        </w:rPr>
      </w:pPr>
    </w:p>
    <w:p w:rsidR="00B624B3" w:rsidRDefault="00B624B3" w:rsidP="00B624B3">
      <w:pPr>
        <w:ind w:right="-720"/>
        <w:rPr>
          <w:rFonts w:ascii="Arial" w:hAnsi="Arial" w:cs="Arial"/>
          <w:b/>
          <w:i/>
          <w:color w:val="FF0000"/>
        </w:rPr>
      </w:pPr>
    </w:p>
    <w:p w:rsidR="00D8771C" w:rsidRDefault="0082616A" w:rsidP="00D8771C">
      <w:pPr>
        <w:rPr>
          <w:rFonts w:ascii="Arial" w:hAnsi="Arial" w:cs="Arial"/>
          <w:b/>
          <w:sz w:val="72"/>
          <w:szCs w:val="72"/>
        </w:rPr>
      </w:pPr>
      <w:r>
        <w:rPr>
          <w:rFonts w:ascii="Arial" w:hAnsi="Arial" w:cs="Arial"/>
          <w:b/>
          <w:sz w:val="72"/>
          <w:szCs w:val="72"/>
        </w:rPr>
        <w:t xml:space="preserve">Medium Temperature Open </w:t>
      </w:r>
      <w:r w:rsidR="00636908">
        <w:rPr>
          <w:rFonts w:ascii="Arial" w:hAnsi="Arial" w:cs="Arial"/>
          <w:b/>
          <w:sz w:val="72"/>
          <w:szCs w:val="72"/>
        </w:rPr>
        <w:t>Case Retrofit</w:t>
      </w:r>
    </w:p>
    <w:p w:rsidR="00B624B3" w:rsidRPr="0081771C" w:rsidRDefault="0082616A" w:rsidP="00D8771C">
      <w:pPr>
        <w:rPr>
          <w:rFonts w:ascii="Arial" w:hAnsi="Arial" w:cs="Arial"/>
          <w:b/>
        </w:rPr>
      </w:pPr>
      <w:r>
        <w:rPr>
          <w:rFonts w:ascii="Arial" w:hAnsi="Arial" w:cs="Arial"/>
          <w:b/>
        </w:rPr>
        <w:t>Measure Code</w:t>
      </w:r>
      <w:r w:rsidR="00B624B3" w:rsidRPr="0081771C">
        <w:rPr>
          <w:rFonts w:ascii="Arial" w:hAnsi="Arial" w:cs="Arial"/>
          <w:b/>
        </w:rPr>
        <w:t xml:space="preserve"> </w:t>
      </w:r>
      <w:r>
        <w:rPr>
          <w:rFonts w:ascii="Arial" w:hAnsi="Arial" w:cs="Arial"/>
          <w:b/>
        </w:rPr>
        <w:t>RA02</w:t>
      </w:r>
    </w:p>
    <w:p w:rsidR="00B624B3" w:rsidRDefault="00B624B3" w:rsidP="00B624B3">
      <w:pPr>
        <w:ind w:right="-720"/>
        <w:rPr>
          <w:rFonts w:ascii="Arial" w:hAnsi="Arial" w:cs="Arial"/>
          <w:b/>
        </w:rPr>
      </w:pPr>
      <w:r w:rsidRPr="0081771C">
        <w:rPr>
          <w:rFonts w:ascii="Arial" w:hAnsi="Arial" w:cs="Arial"/>
          <w:b/>
        </w:rPr>
        <w:t>PECI EnergySmart Grocer</w:t>
      </w:r>
    </w:p>
    <w:p w:rsidR="00BA3D35" w:rsidRDefault="00BA3D35">
      <w:pPr>
        <w:rPr>
          <w:rFonts w:ascii="Arial" w:hAnsi="Arial" w:cs="Arial"/>
          <w:b/>
        </w:rPr>
      </w:pPr>
      <w:bookmarkStart w:id="2" w:name="_Toc387911989"/>
      <w:bookmarkStart w:id="3" w:name="_Toc389487638"/>
      <w:r>
        <w:rPr>
          <w:bCs/>
        </w:rPr>
        <w:br w:type="page"/>
      </w:r>
    </w:p>
    <w:p w:rsidR="00B624B3" w:rsidRPr="00923FD4" w:rsidRDefault="00B624B3" w:rsidP="00B624B3">
      <w:pPr>
        <w:pStyle w:val="Heading1"/>
        <w:ind w:left="432"/>
      </w:pPr>
      <w:r w:rsidRPr="00923FD4">
        <w:lastRenderedPageBreak/>
        <w:t>At-a-Glance Summary</w:t>
      </w:r>
      <w:bookmarkEnd w:id="2"/>
      <w:bookmarkEnd w:id="3"/>
    </w:p>
    <w:tbl>
      <w:tblPr>
        <w:tblW w:w="6737" w:type="dxa"/>
        <w:tblBorders>
          <w:insideH w:val="single" w:sz="18" w:space="0" w:color="FFFFFF"/>
          <w:insideV w:val="single" w:sz="18" w:space="0" w:color="FFFFFF"/>
        </w:tblBorders>
        <w:tblLook w:val="01E0" w:firstRow="1" w:lastRow="1" w:firstColumn="1" w:lastColumn="1" w:noHBand="0" w:noVBand="0"/>
      </w:tblPr>
      <w:tblGrid>
        <w:gridCol w:w="3050"/>
        <w:gridCol w:w="3687"/>
      </w:tblGrid>
      <w:tr w:rsidR="0082616A" w:rsidRPr="00783DAC" w:rsidTr="0082616A">
        <w:trPr>
          <w:trHeight w:val="465"/>
        </w:trPr>
        <w:tc>
          <w:tcPr>
            <w:tcW w:w="3050" w:type="dxa"/>
            <w:shd w:val="pct20" w:color="000000" w:fill="FFFFFF"/>
          </w:tcPr>
          <w:p w:rsidR="0082616A" w:rsidRPr="00BD254C" w:rsidRDefault="0082616A" w:rsidP="0001647C">
            <w:pPr>
              <w:rPr>
                <w:rFonts w:ascii="Arial" w:hAnsi="Arial" w:cs="Arial"/>
                <w:b/>
                <w:bCs/>
                <w:sz w:val="20"/>
                <w:szCs w:val="20"/>
              </w:rPr>
            </w:pPr>
            <w:r w:rsidRPr="00BD254C">
              <w:rPr>
                <w:rFonts w:ascii="Arial" w:hAnsi="Arial" w:cs="Arial"/>
                <w:b/>
                <w:bCs/>
                <w:sz w:val="20"/>
                <w:szCs w:val="20"/>
              </w:rPr>
              <w:t>Applicable Measure Codes:</w:t>
            </w:r>
          </w:p>
        </w:tc>
        <w:tc>
          <w:tcPr>
            <w:tcW w:w="3687" w:type="dxa"/>
            <w:shd w:val="pct20" w:color="000000" w:fill="FFFFFF"/>
          </w:tcPr>
          <w:p w:rsidR="0082616A" w:rsidRPr="00783DAC" w:rsidRDefault="0082616A" w:rsidP="0082616A">
            <w:pPr>
              <w:rPr>
                <w:rFonts w:ascii="Arial" w:hAnsi="Arial" w:cs="Arial"/>
                <w:b/>
                <w:bCs/>
                <w:sz w:val="20"/>
                <w:szCs w:val="20"/>
              </w:rPr>
            </w:pPr>
            <w:r>
              <w:rPr>
                <w:rFonts w:ascii="Arial" w:hAnsi="Arial" w:cs="Arial"/>
                <w:b/>
                <w:bCs/>
                <w:sz w:val="20"/>
                <w:szCs w:val="20"/>
              </w:rPr>
              <w:t>RA02</w:t>
            </w:r>
          </w:p>
        </w:tc>
      </w:tr>
      <w:tr w:rsidR="0082616A" w:rsidRPr="00783DAC" w:rsidTr="0082616A">
        <w:trPr>
          <w:trHeight w:val="465"/>
        </w:trPr>
        <w:tc>
          <w:tcPr>
            <w:tcW w:w="3050" w:type="dxa"/>
            <w:shd w:val="pct5" w:color="000000" w:fill="FFFFFF"/>
          </w:tcPr>
          <w:p w:rsidR="0082616A" w:rsidRPr="00BD254C" w:rsidRDefault="0082616A" w:rsidP="0001647C">
            <w:pPr>
              <w:rPr>
                <w:rFonts w:ascii="Arial" w:hAnsi="Arial" w:cs="Arial"/>
                <w:b/>
                <w:sz w:val="20"/>
                <w:szCs w:val="20"/>
              </w:rPr>
            </w:pPr>
            <w:r w:rsidRPr="00BD254C">
              <w:rPr>
                <w:rFonts w:ascii="Arial" w:hAnsi="Arial" w:cs="Arial"/>
                <w:b/>
                <w:sz w:val="20"/>
                <w:szCs w:val="20"/>
              </w:rPr>
              <w:t xml:space="preserve">Measure Description: </w:t>
            </w:r>
          </w:p>
        </w:tc>
        <w:tc>
          <w:tcPr>
            <w:tcW w:w="3687" w:type="dxa"/>
            <w:shd w:val="pct5" w:color="000000" w:fill="FFFFFF"/>
          </w:tcPr>
          <w:p w:rsidR="0082616A" w:rsidRPr="00BD254C" w:rsidRDefault="0082616A" w:rsidP="0082616A">
            <w:pPr>
              <w:rPr>
                <w:rFonts w:ascii="Arial" w:hAnsi="Arial" w:cs="Arial"/>
                <w:sz w:val="18"/>
                <w:szCs w:val="18"/>
              </w:rPr>
            </w:pPr>
            <w:r w:rsidRPr="00BD254C">
              <w:rPr>
                <w:rFonts w:ascii="Arial" w:hAnsi="Arial" w:cs="Arial"/>
                <w:sz w:val="18"/>
                <w:szCs w:val="18"/>
              </w:rPr>
              <w:t>Install a medium temp open vertical refrigerated display case with a high efficiency evaporator coil</w:t>
            </w:r>
          </w:p>
        </w:tc>
      </w:tr>
      <w:tr w:rsidR="0082616A" w:rsidRPr="00783DAC" w:rsidTr="0082616A">
        <w:trPr>
          <w:trHeight w:val="465"/>
        </w:trPr>
        <w:tc>
          <w:tcPr>
            <w:tcW w:w="3050" w:type="dxa"/>
            <w:shd w:val="pct20" w:color="000000" w:fill="FFFFFF"/>
          </w:tcPr>
          <w:p w:rsidR="0082616A" w:rsidRPr="00BD254C" w:rsidRDefault="0082616A" w:rsidP="0001647C">
            <w:pPr>
              <w:rPr>
                <w:rFonts w:ascii="Arial" w:hAnsi="Arial" w:cs="Arial"/>
                <w:b/>
                <w:sz w:val="20"/>
                <w:szCs w:val="20"/>
              </w:rPr>
            </w:pPr>
            <w:r w:rsidRPr="00BD254C">
              <w:rPr>
                <w:rFonts w:ascii="Arial" w:hAnsi="Arial" w:cs="Arial"/>
                <w:b/>
                <w:sz w:val="20"/>
                <w:szCs w:val="20"/>
              </w:rPr>
              <w:t xml:space="preserve">Energy Impact Common Units: </w:t>
            </w:r>
          </w:p>
        </w:tc>
        <w:tc>
          <w:tcPr>
            <w:tcW w:w="3687" w:type="dxa"/>
            <w:shd w:val="pct20" w:color="000000" w:fill="FFFFFF"/>
          </w:tcPr>
          <w:p w:rsidR="0082616A" w:rsidRPr="00BD254C" w:rsidRDefault="0082616A" w:rsidP="0001647C">
            <w:pPr>
              <w:rPr>
                <w:rFonts w:ascii="Arial" w:hAnsi="Arial" w:cs="Arial"/>
                <w:sz w:val="18"/>
                <w:szCs w:val="18"/>
              </w:rPr>
            </w:pPr>
            <w:r w:rsidRPr="00BD254C">
              <w:rPr>
                <w:rFonts w:ascii="Arial" w:hAnsi="Arial" w:cs="Arial"/>
                <w:sz w:val="18"/>
                <w:szCs w:val="18"/>
              </w:rPr>
              <w:t>Len-ft</w:t>
            </w:r>
          </w:p>
        </w:tc>
      </w:tr>
      <w:tr w:rsidR="0082616A" w:rsidRPr="00783DAC" w:rsidTr="0082616A">
        <w:trPr>
          <w:trHeight w:val="465"/>
        </w:trPr>
        <w:tc>
          <w:tcPr>
            <w:tcW w:w="3050" w:type="dxa"/>
            <w:shd w:val="pct5" w:color="000000" w:fill="FFFFFF"/>
          </w:tcPr>
          <w:p w:rsidR="0082616A" w:rsidRPr="00BD254C" w:rsidRDefault="0082616A" w:rsidP="0001647C">
            <w:pPr>
              <w:rPr>
                <w:rFonts w:ascii="Arial" w:hAnsi="Arial" w:cs="Arial"/>
                <w:b/>
                <w:sz w:val="20"/>
                <w:szCs w:val="20"/>
              </w:rPr>
            </w:pPr>
            <w:r w:rsidRPr="00BD254C">
              <w:rPr>
                <w:rFonts w:ascii="Arial" w:hAnsi="Arial" w:cs="Arial"/>
                <w:b/>
                <w:sz w:val="20"/>
                <w:szCs w:val="20"/>
              </w:rPr>
              <w:t>Base Case Description:</w:t>
            </w:r>
          </w:p>
        </w:tc>
        <w:tc>
          <w:tcPr>
            <w:tcW w:w="3687" w:type="dxa"/>
            <w:shd w:val="pct5" w:color="000000" w:fill="FFFFFF"/>
          </w:tcPr>
          <w:p w:rsidR="0082616A" w:rsidRPr="00BD254C" w:rsidRDefault="0082616A" w:rsidP="0001647C">
            <w:pPr>
              <w:rPr>
                <w:rFonts w:ascii="Arial" w:hAnsi="Arial" w:cs="Arial"/>
                <w:sz w:val="18"/>
                <w:szCs w:val="18"/>
              </w:rPr>
            </w:pPr>
            <w:r w:rsidRPr="00BD254C">
              <w:rPr>
                <w:rFonts w:ascii="Arial" w:hAnsi="Arial" w:cs="Arial"/>
                <w:sz w:val="18"/>
                <w:szCs w:val="18"/>
              </w:rPr>
              <w:t>Source:  Manufacturer Specifications</w:t>
            </w:r>
          </w:p>
          <w:p w:rsidR="0082616A" w:rsidRPr="00BD254C" w:rsidRDefault="0082616A" w:rsidP="00551073">
            <w:pPr>
              <w:rPr>
                <w:rFonts w:ascii="Arial" w:hAnsi="Arial" w:cs="Arial"/>
                <w:sz w:val="18"/>
                <w:szCs w:val="18"/>
              </w:rPr>
            </w:pPr>
            <w:r w:rsidRPr="00BD254C">
              <w:rPr>
                <w:rFonts w:ascii="Arial" w:hAnsi="Arial" w:cs="Arial"/>
                <w:sz w:val="18"/>
                <w:szCs w:val="18"/>
              </w:rPr>
              <w:t xml:space="preserve">Code-compliant medium temp, open vertical refrigerated display case with </w:t>
            </w:r>
            <w:r w:rsidR="00C143E4" w:rsidRPr="00BD254C">
              <w:rPr>
                <w:rFonts w:ascii="Arial" w:hAnsi="Arial" w:cs="Arial"/>
                <w:sz w:val="18"/>
                <w:szCs w:val="18"/>
              </w:rPr>
              <w:t xml:space="preserve">a </w:t>
            </w:r>
            <w:r w:rsidRPr="00BD254C">
              <w:rPr>
                <w:rFonts w:ascii="Arial" w:hAnsi="Arial" w:cs="Arial"/>
                <w:sz w:val="18"/>
                <w:szCs w:val="18"/>
              </w:rPr>
              <w:t>standard evaporator coil</w:t>
            </w:r>
            <w:r w:rsidR="003107FA" w:rsidRPr="00BD254C">
              <w:rPr>
                <w:rFonts w:ascii="Arial" w:hAnsi="Arial" w:cs="Arial"/>
                <w:sz w:val="18"/>
                <w:szCs w:val="18"/>
              </w:rPr>
              <w:t>.</w:t>
            </w:r>
          </w:p>
        </w:tc>
      </w:tr>
      <w:tr w:rsidR="0082616A" w:rsidRPr="00783DAC" w:rsidTr="0082616A">
        <w:trPr>
          <w:trHeight w:val="465"/>
        </w:trPr>
        <w:tc>
          <w:tcPr>
            <w:tcW w:w="3050" w:type="dxa"/>
            <w:shd w:val="pct20" w:color="000000" w:fill="FFFFFF"/>
          </w:tcPr>
          <w:p w:rsidR="0082616A" w:rsidRPr="00BD254C" w:rsidRDefault="0082616A" w:rsidP="0001647C">
            <w:pPr>
              <w:rPr>
                <w:rFonts w:ascii="Arial" w:hAnsi="Arial" w:cs="Arial"/>
                <w:b/>
                <w:sz w:val="20"/>
                <w:szCs w:val="20"/>
              </w:rPr>
            </w:pPr>
            <w:r w:rsidRPr="00BD254C">
              <w:rPr>
                <w:rFonts w:ascii="Arial" w:hAnsi="Arial" w:cs="Arial"/>
                <w:b/>
                <w:sz w:val="20"/>
                <w:szCs w:val="20"/>
              </w:rPr>
              <w:t xml:space="preserve">Base Case Energy Consumption: </w:t>
            </w:r>
          </w:p>
        </w:tc>
        <w:tc>
          <w:tcPr>
            <w:tcW w:w="3687" w:type="dxa"/>
            <w:shd w:val="pct20" w:color="000000" w:fill="FFFFFF"/>
          </w:tcPr>
          <w:p w:rsidR="0082616A" w:rsidRPr="00BD254C" w:rsidRDefault="0082616A" w:rsidP="00366565">
            <w:pPr>
              <w:rPr>
                <w:rFonts w:ascii="Arial" w:hAnsi="Arial" w:cs="Arial"/>
                <w:sz w:val="18"/>
                <w:szCs w:val="18"/>
              </w:rPr>
            </w:pPr>
            <w:r w:rsidRPr="00BD254C">
              <w:rPr>
                <w:rFonts w:ascii="Arial" w:hAnsi="Arial" w:cs="Arial"/>
                <w:sz w:val="18"/>
                <w:szCs w:val="18"/>
              </w:rPr>
              <w:t xml:space="preserve">Source:  </w:t>
            </w:r>
            <w:r w:rsidR="003107FA" w:rsidRPr="00BD254C">
              <w:rPr>
                <w:rFonts w:ascii="Arial" w:hAnsi="Arial" w:cs="Arial"/>
                <w:sz w:val="18"/>
                <w:szCs w:val="18"/>
              </w:rPr>
              <w:t>Calculation</w:t>
            </w:r>
          </w:p>
          <w:p w:rsidR="0082616A" w:rsidRPr="00BD254C" w:rsidRDefault="003107FA" w:rsidP="00B507A0">
            <w:pPr>
              <w:rPr>
                <w:rFonts w:ascii="Arial" w:hAnsi="Arial" w:cs="Arial"/>
                <w:sz w:val="18"/>
                <w:szCs w:val="18"/>
              </w:rPr>
            </w:pPr>
            <w:r w:rsidRPr="00BD254C">
              <w:rPr>
                <w:rFonts w:ascii="Arial" w:hAnsi="Arial" w:cs="Arial"/>
                <w:sz w:val="18"/>
                <w:szCs w:val="18"/>
              </w:rPr>
              <w:t>834.9 kWh/unit</w:t>
            </w:r>
          </w:p>
        </w:tc>
      </w:tr>
      <w:tr w:rsidR="0082616A" w:rsidRPr="00783DAC" w:rsidTr="0082616A">
        <w:trPr>
          <w:trHeight w:val="465"/>
        </w:trPr>
        <w:tc>
          <w:tcPr>
            <w:tcW w:w="3050" w:type="dxa"/>
            <w:shd w:val="pct5" w:color="000000" w:fill="FFFFFF"/>
          </w:tcPr>
          <w:p w:rsidR="0082616A" w:rsidRPr="00BD254C" w:rsidRDefault="0082616A" w:rsidP="0001647C">
            <w:pPr>
              <w:rPr>
                <w:rFonts w:ascii="Arial" w:hAnsi="Arial" w:cs="Arial"/>
                <w:b/>
                <w:sz w:val="20"/>
                <w:szCs w:val="20"/>
              </w:rPr>
            </w:pPr>
            <w:r w:rsidRPr="00BD254C">
              <w:rPr>
                <w:rFonts w:ascii="Arial" w:hAnsi="Arial" w:cs="Arial"/>
                <w:b/>
                <w:sz w:val="20"/>
                <w:szCs w:val="20"/>
              </w:rPr>
              <w:t>Measure Energy Consumption:</w:t>
            </w:r>
          </w:p>
        </w:tc>
        <w:tc>
          <w:tcPr>
            <w:tcW w:w="3687" w:type="dxa"/>
            <w:shd w:val="pct5" w:color="000000" w:fill="FFFFFF"/>
          </w:tcPr>
          <w:p w:rsidR="0082616A" w:rsidRPr="00BD254C" w:rsidRDefault="0082616A" w:rsidP="00366565">
            <w:pPr>
              <w:rPr>
                <w:rFonts w:ascii="Arial" w:hAnsi="Arial" w:cs="Arial"/>
                <w:sz w:val="18"/>
                <w:szCs w:val="18"/>
              </w:rPr>
            </w:pPr>
            <w:r w:rsidRPr="00BD254C">
              <w:rPr>
                <w:rFonts w:ascii="Arial" w:hAnsi="Arial" w:cs="Arial"/>
                <w:sz w:val="18"/>
                <w:szCs w:val="18"/>
              </w:rPr>
              <w:t xml:space="preserve">Source:  </w:t>
            </w:r>
            <w:r w:rsidR="003107FA" w:rsidRPr="00BD254C">
              <w:rPr>
                <w:rFonts w:ascii="Arial" w:hAnsi="Arial" w:cs="Arial"/>
                <w:sz w:val="18"/>
                <w:szCs w:val="18"/>
              </w:rPr>
              <w:t>Calculation</w:t>
            </w:r>
          </w:p>
          <w:p w:rsidR="0082616A" w:rsidRPr="00BD254C" w:rsidRDefault="003107FA" w:rsidP="00B507A0">
            <w:pPr>
              <w:rPr>
                <w:rFonts w:ascii="Arial" w:hAnsi="Arial" w:cs="Arial"/>
                <w:sz w:val="18"/>
                <w:szCs w:val="18"/>
              </w:rPr>
            </w:pPr>
            <w:r w:rsidRPr="00BD254C">
              <w:rPr>
                <w:rFonts w:ascii="Arial" w:hAnsi="Arial" w:cs="Arial"/>
                <w:sz w:val="18"/>
                <w:szCs w:val="18"/>
              </w:rPr>
              <w:t>688.7 kWh/unit</w:t>
            </w:r>
          </w:p>
        </w:tc>
      </w:tr>
      <w:tr w:rsidR="0082616A" w:rsidRPr="00783DAC" w:rsidTr="0082616A">
        <w:trPr>
          <w:trHeight w:val="465"/>
        </w:trPr>
        <w:tc>
          <w:tcPr>
            <w:tcW w:w="3050" w:type="dxa"/>
            <w:shd w:val="pct20" w:color="000000" w:fill="FFFFFF"/>
          </w:tcPr>
          <w:p w:rsidR="0082616A" w:rsidRPr="00BD254C" w:rsidRDefault="0082616A" w:rsidP="0001647C">
            <w:pPr>
              <w:rPr>
                <w:rFonts w:ascii="Arial" w:hAnsi="Arial" w:cs="Arial"/>
                <w:b/>
                <w:sz w:val="20"/>
                <w:szCs w:val="20"/>
              </w:rPr>
            </w:pPr>
            <w:r w:rsidRPr="00BD254C">
              <w:rPr>
                <w:rFonts w:ascii="Arial" w:hAnsi="Arial" w:cs="Arial"/>
                <w:b/>
                <w:sz w:val="20"/>
                <w:szCs w:val="20"/>
              </w:rPr>
              <w:t>Energy Savings (Base Case – Measure)</w:t>
            </w:r>
          </w:p>
        </w:tc>
        <w:tc>
          <w:tcPr>
            <w:tcW w:w="3687" w:type="dxa"/>
            <w:shd w:val="pct20" w:color="000000" w:fill="FFFFFF"/>
          </w:tcPr>
          <w:p w:rsidR="0082616A" w:rsidRPr="00BD254C" w:rsidRDefault="0082616A" w:rsidP="00366565">
            <w:pPr>
              <w:rPr>
                <w:rFonts w:ascii="Arial" w:hAnsi="Arial" w:cs="Arial"/>
                <w:sz w:val="18"/>
                <w:szCs w:val="18"/>
              </w:rPr>
            </w:pPr>
            <w:r w:rsidRPr="00BD254C">
              <w:rPr>
                <w:rFonts w:ascii="Arial" w:hAnsi="Arial" w:cs="Arial"/>
                <w:sz w:val="18"/>
                <w:szCs w:val="18"/>
              </w:rPr>
              <w:t xml:space="preserve">Source:  </w:t>
            </w:r>
            <w:r w:rsidR="003107FA" w:rsidRPr="00BD254C">
              <w:rPr>
                <w:rFonts w:ascii="Arial" w:hAnsi="Arial" w:cs="Arial"/>
                <w:sz w:val="18"/>
                <w:szCs w:val="18"/>
              </w:rPr>
              <w:t>Calculation</w:t>
            </w:r>
          </w:p>
          <w:p w:rsidR="0082616A" w:rsidRPr="00BD254C" w:rsidRDefault="003107FA" w:rsidP="0001647C">
            <w:pPr>
              <w:rPr>
                <w:rFonts w:ascii="Arial" w:hAnsi="Arial" w:cs="Arial"/>
                <w:sz w:val="18"/>
                <w:szCs w:val="18"/>
              </w:rPr>
            </w:pPr>
            <w:r w:rsidRPr="00BD254C">
              <w:rPr>
                <w:rFonts w:ascii="Arial" w:hAnsi="Arial" w:cs="Arial"/>
                <w:sz w:val="18"/>
                <w:szCs w:val="18"/>
              </w:rPr>
              <w:t>146.2 kWh/unit</w:t>
            </w:r>
          </w:p>
        </w:tc>
      </w:tr>
      <w:tr w:rsidR="0082616A" w:rsidRPr="00783DAC" w:rsidTr="0082616A">
        <w:trPr>
          <w:trHeight w:val="465"/>
        </w:trPr>
        <w:tc>
          <w:tcPr>
            <w:tcW w:w="3050" w:type="dxa"/>
            <w:shd w:val="pct5" w:color="000000" w:fill="FFFFFF"/>
          </w:tcPr>
          <w:p w:rsidR="0082616A" w:rsidRPr="00BD254C" w:rsidRDefault="0082616A" w:rsidP="0001647C">
            <w:pPr>
              <w:rPr>
                <w:rFonts w:ascii="Arial" w:hAnsi="Arial" w:cs="Arial"/>
                <w:b/>
                <w:sz w:val="20"/>
                <w:szCs w:val="20"/>
              </w:rPr>
            </w:pPr>
            <w:r w:rsidRPr="00BD254C">
              <w:rPr>
                <w:rFonts w:ascii="Arial" w:hAnsi="Arial" w:cs="Arial"/>
                <w:b/>
                <w:sz w:val="20"/>
                <w:szCs w:val="20"/>
              </w:rPr>
              <w:t xml:space="preserve">Costs Common Units: </w:t>
            </w:r>
          </w:p>
        </w:tc>
        <w:tc>
          <w:tcPr>
            <w:tcW w:w="3687" w:type="dxa"/>
            <w:shd w:val="pct5" w:color="000000" w:fill="FFFFFF"/>
          </w:tcPr>
          <w:p w:rsidR="0082616A" w:rsidRPr="00BD254C" w:rsidRDefault="008679C2" w:rsidP="0001647C">
            <w:pPr>
              <w:rPr>
                <w:rFonts w:ascii="Arial" w:hAnsi="Arial" w:cs="Arial"/>
                <w:sz w:val="18"/>
                <w:szCs w:val="18"/>
              </w:rPr>
            </w:pPr>
            <w:r w:rsidRPr="00BD254C">
              <w:rPr>
                <w:rFonts w:ascii="Arial" w:hAnsi="Arial" w:cs="Arial"/>
                <w:sz w:val="18"/>
                <w:szCs w:val="18"/>
              </w:rPr>
              <w:t>Length of display case (</w:t>
            </w:r>
            <w:r w:rsidR="0082616A" w:rsidRPr="00BD254C">
              <w:rPr>
                <w:rFonts w:ascii="Arial" w:hAnsi="Arial" w:cs="Arial"/>
                <w:sz w:val="18"/>
                <w:szCs w:val="18"/>
              </w:rPr>
              <w:t>Len-ft</w:t>
            </w:r>
            <w:r w:rsidRPr="00BD254C">
              <w:rPr>
                <w:rFonts w:ascii="Arial" w:hAnsi="Arial" w:cs="Arial"/>
                <w:sz w:val="18"/>
                <w:szCs w:val="18"/>
              </w:rPr>
              <w:t>)</w:t>
            </w:r>
            <w:r w:rsidR="0082616A" w:rsidRPr="00BD254C">
              <w:rPr>
                <w:rFonts w:ascii="Arial" w:hAnsi="Arial" w:cs="Arial"/>
                <w:sz w:val="18"/>
                <w:szCs w:val="18"/>
              </w:rPr>
              <w:t xml:space="preserve"> </w:t>
            </w:r>
          </w:p>
        </w:tc>
      </w:tr>
      <w:tr w:rsidR="0082616A" w:rsidRPr="00783DAC" w:rsidTr="0082616A">
        <w:trPr>
          <w:trHeight w:val="465"/>
        </w:trPr>
        <w:tc>
          <w:tcPr>
            <w:tcW w:w="3050" w:type="dxa"/>
            <w:shd w:val="pct20" w:color="000000" w:fill="FFFFFF"/>
          </w:tcPr>
          <w:p w:rsidR="0082616A" w:rsidRPr="00BD254C" w:rsidRDefault="0082616A" w:rsidP="0001647C">
            <w:pPr>
              <w:rPr>
                <w:rFonts w:ascii="Arial" w:hAnsi="Arial" w:cs="Arial"/>
                <w:b/>
                <w:sz w:val="20"/>
                <w:szCs w:val="20"/>
                <w:highlight w:val="cyan"/>
              </w:rPr>
            </w:pPr>
            <w:r w:rsidRPr="00BD254C">
              <w:rPr>
                <w:rFonts w:ascii="Arial" w:hAnsi="Arial" w:cs="Arial"/>
                <w:b/>
                <w:sz w:val="20"/>
                <w:szCs w:val="20"/>
              </w:rPr>
              <w:t>Base Case Equipment Cost ($/unit):</w:t>
            </w:r>
          </w:p>
          <w:p w:rsidR="0082616A" w:rsidRPr="00BD254C" w:rsidRDefault="0082616A" w:rsidP="0001647C">
            <w:pPr>
              <w:rPr>
                <w:rFonts w:ascii="Arial" w:hAnsi="Arial" w:cs="Arial"/>
                <w:b/>
                <w:sz w:val="20"/>
                <w:szCs w:val="20"/>
                <w:highlight w:val="cyan"/>
              </w:rPr>
            </w:pPr>
          </w:p>
        </w:tc>
        <w:tc>
          <w:tcPr>
            <w:tcW w:w="3687" w:type="dxa"/>
            <w:shd w:val="pct20" w:color="000000" w:fill="FFFFFF"/>
          </w:tcPr>
          <w:p w:rsidR="0082616A" w:rsidRPr="00BD254C" w:rsidRDefault="0082616A" w:rsidP="0082616A">
            <w:pPr>
              <w:rPr>
                <w:rFonts w:ascii="Arial" w:hAnsi="Arial" w:cs="Arial"/>
                <w:sz w:val="18"/>
                <w:szCs w:val="18"/>
              </w:rPr>
            </w:pPr>
            <w:r w:rsidRPr="00BD254C">
              <w:rPr>
                <w:rFonts w:ascii="Arial" w:hAnsi="Arial" w:cs="Arial"/>
                <w:sz w:val="18"/>
                <w:szCs w:val="18"/>
              </w:rPr>
              <w:t xml:space="preserve">Source:  </w:t>
            </w:r>
            <w:r w:rsidR="00E83DCF" w:rsidRPr="00BD254C">
              <w:rPr>
                <w:rFonts w:ascii="Arial" w:hAnsi="Arial" w:cs="Arial"/>
                <w:sz w:val="18"/>
                <w:szCs w:val="18"/>
              </w:rPr>
              <w:t>US DOE Rulemaking Analysis</w:t>
            </w:r>
          </w:p>
          <w:p w:rsidR="0082616A" w:rsidRPr="00BD254C" w:rsidRDefault="003107FA" w:rsidP="0001647C">
            <w:pPr>
              <w:rPr>
                <w:rFonts w:ascii="Arial" w:hAnsi="Arial" w:cs="Arial"/>
                <w:sz w:val="18"/>
                <w:szCs w:val="18"/>
              </w:rPr>
            </w:pPr>
            <w:r w:rsidRPr="00BD254C">
              <w:rPr>
                <w:rFonts w:ascii="Arial" w:hAnsi="Arial" w:cs="Arial"/>
                <w:sz w:val="18"/>
                <w:szCs w:val="18"/>
              </w:rPr>
              <w:t>$550.92</w:t>
            </w:r>
          </w:p>
        </w:tc>
      </w:tr>
      <w:tr w:rsidR="0082616A" w:rsidRPr="00783DAC" w:rsidTr="0082616A">
        <w:trPr>
          <w:trHeight w:val="465"/>
        </w:trPr>
        <w:tc>
          <w:tcPr>
            <w:tcW w:w="3050" w:type="dxa"/>
            <w:shd w:val="pct5" w:color="000000" w:fill="FFFFFF"/>
          </w:tcPr>
          <w:p w:rsidR="0082616A" w:rsidRPr="00BD254C" w:rsidRDefault="0082616A" w:rsidP="0001647C">
            <w:pPr>
              <w:rPr>
                <w:rFonts w:ascii="Arial" w:hAnsi="Arial" w:cs="Arial"/>
                <w:b/>
                <w:sz w:val="20"/>
                <w:szCs w:val="20"/>
              </w:rPr>
            </w:pPr>
            <w:r w:rsidRPr="00BD254C">
              <w:rPr>
                <w:rFonts w:ascii="Arial" w:hAnsi="Arial" w:cs="Arial"/>
                <w:b/>
                <w:sz w:val="20"/>
                <w:szCs w:val="20"/>
              </w:rPr>
              <w:t xml:space="preserve">Measure Equipment Cost ($/unit): </w:t>
            </w:r>
          </w:p>
        </w:tc>
        <w:tc>
          <w:tcPr>
            <w:tcW w:w="3687" w:type="dxa"/>
            <w:shd w:val="pct5" w:color="000000" w:fill="FFFFFF"/>
          </w:tcPr>
          <w:p w:rsidR="0082616A" w:rsidRPr="00BD254C" w:rsidRDefault="0082616A" w:rsidP="0082616A">
            <w:pPr>
              <w:rPr>
                <w:rFonts w:ascii="Arial" w:hAnsi="Arial" w:cs="Arial"/>
                <w:sz w:val="18"/>
                <w:szCs w:val="18"/>
              </w:rPr>
            </w:pPr>
            <w:r w:rsidRPr="00BD254C">
              <w:rPr>
                <w:rFonts w:ascii="Arial" w:hAnsi="Arial" w:cs="Arial"/>
                <w:sz w:val="18"/>
                <w:szCs w:val="18"/>
              </w:rPr>
              <w:t xml:space="preserve">Source:  </w:t>
            </w:r>
            <w:r w:rsidR="003521B7" w:rsidRPr="00BD254C">
              <w:rPr>
                <w:rFonts w:ascii="Arial" w:hAnsi="Arial" w:cs="Arial"/>
                <w:sz w:val="18"/>
                <w:szCs w:val="18"/>
              </w:rPr>
              <w:t>Equipment Vendors</w:t>
            </w:r>
          </w:p>
          <w:p w:rsidR="0082616A" w:rsidRPr="00BD254C" w:rsidRDefault="003107FA" w:rsidP="008F1342">
            <w:pPr>
              <w:rPr>
                <w:rFonts w:ascii="Arial" w:hAnsi="Arial" w:cs="Arial"/>
                <w:sz w:val="18"/>
                <w:szCs w:val="18"/>
              </w:rPr>
            </w:pPr>
            <w:r w:rsidRPr="00BD254C">
              <w:rPr>
                <w:rFonts w:ascii="Arial" w:hAnsi="Arial" w:cs="Arial"/>
                <w:sz w:val="18"/>
                <w:szCs w:val="18"/>
              </w:rPr>
              <w:t>$592.87</w:t>
            </w:r>
          </w:p>
        </w:tc>
      </w:tr>
      <w:tr w:rsidR="0082616A" w:rsidRPr="00783DAC" w:rsidTr="0082616A">
        <w:trPr>
          <w:trHeight w:val="465"/>
        </w:trPr>
        <w:tc>
          <w:tcPr>
            <w:tcW w:w="3050" w:type="dxa"/>
            <w:shd w:val="pct20" w:color="000000" w:fill="FFFFFF"/>
          </w:tcPr>
          <w:p w:rsidR="0082616A" w:rsidRPr="00BD254C" w:rsidRDefault="003662D0" w:rsidP="0001647C">
            <w:pPr>
              <w:rPr>
                <w:rFonts w:ascii="Arial" w:hAnsi="Arial" w:cs="Arial"/>
                <w:b/>
                <w:sz w:val="20"/>
                <w:szCs w:val="20"/>
              </w:rPr>
            </w:pPr>
            <w:r>
              <w:rPr>
                <w:rFonts w:ascii="Arial" w:hAnsi="Arial" w:cs="Arial"/>
                <w:b/>
                <w:sz w:val="20"/>
                <w:szCs w:val="20"/>
              </w:rPr>
              <w:t>Full</w:t>
            </w:r>
            <w:r w:rsidR="0082616A" w:rsidRPr="00BD254C">
              <w:rPr>
                <w:rFonts w:ascii="Arial" w:hAnsi="Arial" w:cs="Arial"/>
                <w:b/>
                <w:sz w:val="20"/>
                <w:szCs w:val="20"/>
              </w:rPr>
              <w:t xml:space="preserve"> Measure Cost ($/unit)</w:t>
            </w:r>
          </w:p>
        </w:tc>
        <w:tc>
          <w:tcPr>
            <w:tcW w:w="3687" w:type="dxa"/>
            <w:shd w:val="pct20" w:color="000000" w:fill="FFFFFF"/>
          </w:tcPr>
          <w:p w:rsidR="0082616A" w:rsidRPr="00BD254C" w:rsidRDefault="0082616A" w:rsidP="0082616A">
            <w:pPr>
              <w:rPr>
                <w:rFonts w:ascii="Arial" w:hAnsi="Arial" w:cs="Arial"/>
                <w:sz w:val="18"/>
                <w:szCs w:val="18"/>
              </w:rPr>
            </w:pPr>
            <w:r w:rsidRPr="00BD254C">
              <w:rPr>
                <w:rFonts w:ascii="Arial" w:hAnsi="Arial" w:cs="Arial"/>
                <w:sz w:val="18"/>
                <w:szCs w:val="18"/>
              </w:rPr>
              <w:t xml:space="preserve">Source:  </w:t>
            </w:r>
            <w:r w:rsidR="003107FA" w:rsidRPr="00BD254C">
              <w:rPr>
                <w:rFonts w:ascii="Arial" w:hAnsi="Arial" w:cs="Arial"/>
                <w:sz w:val="18"/>
                <w:szCs w:val="18"/>
              </w:rPr>
              <w:t>Calculation</w:t>
            </w:r>
          </w:p>
          <w:p w:rsidR="0082616A" w:rsidRPr="00BD254C" w:rsidRDefault="003107FA" w:rsidP="008F1342">
            <w:pPr>
              <w:rPr>
                <w:rFonts w:ascii="Arial" w:hAnsi="Arial" w:cs="Arial"/>
                <w:sz w:val="18"/>
                <w:szCs w:val="18"/>
              </w:rPr>
            </w:pPr>
            <w:r w:rsidRPr="00BD254C">
              <w:rPr>
                <w:rFonts w:ascii="Arial" w:hAnsi="Arial" w:cs="Arial"/>
                <w:sz w:val="18"/>
                <w:szCs w:val="18"/>
              </w:rPr>
              <w:t>$41.95</w:t>
            </w:r>
          </w:p>
        </w:tc>
      </w:tr>
      <w:tr w:rsidR="0082616A" w:rsidRPr="00783DAC" w:rsidTr="0082616A">
        <w:trPr>
          <w:trHeight w:val="465"/>
        </w:trPr>
        <w:tc>
          <w:tcPr>
            <w:tcW w:w="3050" w:type="dxa"/>
            <w:shd w:val="pct20" w:color="000000" w:fill="FFFFFF"/>
          </w:tcPr>
          <w:p w:rsidR="0082616A" w:rsidRPr="00BD254C" w:rsidRDefault="0082616A" w:rsidP="0001647C">
            <w:pPr>
              <w:rPr>
                <w:rFonts w:ascii="Arial" w:hAnsi="Arial" w:cs="Arial"/>
                <w:b/>
                <w:sz w:val="20"/>
                <w:szCs w:val="20"/>
              </w:rPr>
            </w:pPr>
            <w:bookmarkStart w:id="4" w:name="OLE_LINK1"/>
            <w:r w:rsidRPr="00BD254C">
              <w:rPr>
                <w:rFonts w:ascii="Arial" w:hAnsi="Arial" w:cs="Arial"/>
                <w:b/>
                <w:sz w:val="20"/>
                <w:szCs w:val="20"/>
              </w:rPr>
              <w:t xml:space="preserve">Measure Incremental Cost ($/unit): </w:t>
            </w:r>
            <w:bookmarkEnd w:id="4"/>
          </w:p>
        </w:tc>
        <w:tc>
          <w:tcPr>
            <w:tcW w:w="3687" w:type="dxa"/>
            <w:shd w:val="pct20" w:color="000000" w:fill="FFFFFF"/>
          </w:tcPr>
          <w:p w:rsidR="0082616A" w:rsidRPr="00BD254C" w:rsidRDefault="0082616A" w:rsidP="0082616A">
            <w:pPr>
              <w:rPr>
                <w:rFonts w:ascii="Arial" w:hAnsi="Arial" w:cs="Arial"/>
                <w:sz w:val="18"/>
                <w:szCs w:val="18"/>
              </w:rPr>
            </w:pPr>
            <w:r w:rsidRPr="00BD254C">
              <w:rPr>
                <w:rFonts w:ascii="Arial" w:hAnsi="Arial" w:cs="Arial"/>
                <w:sz w:val="18"/>
                <w:szCs w:val="18"/>
              </w:rPr>
              <w:t xml:space="preserve">Source:  </w:t>
            </w:r>
            <w:r w:rsidR="003107FA" w:rsidRPr="00BD254C">
              <w:rPr>
                <w:rFonts w:ascii="Arial" w:hAnsi="Arial" w:cs="Arial"/>
                <w:sz w:val="18"/>
                <w:szCs w:val="18"/>
              </w:rPr>
              <w:t>Calculation</w:t>
            </w:r>
          </w:p>
          <w:p w:rsidR="0082616A" w:rsidRPr="00BD254C" w:rsidRDefault="003107FA" w:rsidP="008F1342">
            <w:pPr>
              <w:rPr>
                <w:rFonts w:ascii="Arial" w:hAnsi="Arial" w:cs="Arial"/>
                <w:sz w:val="18"/>
                <w:szCs w:val="18"/>
              </w:rPr>
            </w:pPr>
            <w:r w:rsidRPr="00BD254C">
              <w:rPr>
                <w:rFonts w:ascii="Arial" w:hAnsi="Arial" w:cs="Arial"/>
                <w:sz w:val="18"/>
                <w:szCs w:val="18"/>
              </w:rPr>
              <w:t>$41.95</w:t>
            </w:r>
          </w:p>
        </w:tc>
      </w:tr>
      <w:tr w:rsidR="0082616A" w:rsidRPr="00783DAC" w:rsidTr="0082616A">
        <w:trPr>
          <w:trHeight w:val="465"/>
        </w:trPr>
        <w:tc>
          <w:tcPr>
            <w:tcW w:w="3050" w:type="dxa"/>
            <w:shd w:val="pct5" w:color="000000" w:fill="FFFFFF"/>
          </w:tcPr>
          <w:p w:rsidR="0082616A" w:rsidRPr="00BD254C" w:rsidRDefault="0082616A" w:rsidP="0001647C">
            <w:pPr>
              <w:rPr>
                <w:rFonts w:ascii="Arial" w:hAnsi="Arial" w:cs="Arial"/>
                <w:b/>
                <w:sz w:val="20"/>
                <w:szCs w:val="20"/>
              </w:rPr>
            </w:pPr>
            <w:r w:rsidRPr="00BD254C">
              <w:rPr>
                <w:rFonts w:ascii="Arial" w:hAnsi="Arial" w:cs="Arial"/>
                <w:b/>
                <w:sz w:val="20"/>
                <w:szCs w:val="20"/>
              </w:rPr>
              <w:t xml:space="preserve">Effective Useful Life (years): </w:t>
            </w:r>
          </w:p>
        </w:tc>
        <w:tc>
          <w:tcPr>
            <w:tcW w:w="3687" w:type="dxa"/>
            <w:shd w:val="pct5" w:color="000000" w:fill="FFFFFF"/>
          </w:tcPr>
          <w:p w:rsidR="0082616A" w:rsidRPr="00BD254C" w:rsidRDefault="0082616A" w:rsidP="00366565">
            <w:pPr>
              <w:rPr>
                <w:rFonts w:ascii="Arial" w:hAnsi="Arial" w:cs="Arial"/>
                <w:sz w:val="18"/>
                <w:szCs w:val="18"/>
              </w:rPr>
            </w:pPr>
            <w:r w:rsidRPr="00BD254C">
              <w:rPr>
                <w:rFonts w:ascii="Arial" w:hAnsi="Arial" w:cs="Arial"/>
                <w:sz w:val="18"/>
                <w:szCs w:val="18"/>
              </w:rPr>
              <w:t xml:space="preserve">Source:  </w:t>
            </w:r>
            <w:r w:rsidR="00E83DCF" w:rsidRPr="00BD254C">
              <w:rPr>
                <w:rFonts w:ascii="Arial" w:hAnsi="Arial" w:cs="Arial"/>
                <w:sz w:val="18"/>
                <w:szCs w:val="18"/>
              </w:rPr>
              <w:t>DEER D03-207</w:t>
            </w:r>
          </w:p>
          <w:p w:rsidR="0082616A" w:rsidRPr="00BD254C" w:rsidRDefault="0082616A" w:rsidP="0001647C">
            <w:pPr>
              <w:rPr>
                <w:rFonts w:ascii="Arial" w:hAnsi="Arial" w:cs="Arial"/>
                <w:sz w:val="18"/>
                <w:szCs w:val="18"/>
              </w:rPr>
            </w:pPr>
            <w:r w:rsidRPr="00BD254C">
              <w:rPr>
                <w:rFonts w:ascii="Arial" w:hAnsi="Arial" w:cs="Arial"/>
                <w:sz w:val="18"/>
                <w:szCs w:val="18"/>
              </w:rPr>
              <w:t xml:space="preserve">12 years  </w:t>
            </w:r>
          </w:p>
        </w:tc>
      </w:tr>
      <w:tr w:rsidR="0082616A" w:rsidRPr="00783DAC" w:rsidTr="0082616A">
        <w:trPr>
          <w:trHeight w:val="465"/>
        </w:trPr>
        <w:tc>
          <w:tcPr>
            <w:tcW w:w="3050" w:type="dxa"/>
            <w:shd w:val="pct20" w:color="000000" w:fill="FFFFFF"/>
          </w:tcPr>
          <w:p w:rsidR="0082616A" w:rsidRPr="00BD254C" w:rsidRDefault="004944D0" w:rsidP="0001647C">
            <w:pPr>
              <w:rPr>
                <w:rFonts w:ascii="Arial" w:hAnsi="Arial" w:cs="Arial"/>
                <w:b/>
                <w:sz w:val="20"/>
                <w:szCs w:val="20"/>
              </w:rPr>
            </w:pPr>
            <w:r>
              <w:rPr>
                <w:rFonts w:ascii="Arial" w:hAnsi="Arial" w:cs="Arial"/>
                <w:b/>
                <w:sz w:val="20"/>
                <w:szCs w:val="20"/>
              </w:rPr>
              <w:t>Measure Application</w:t>
            </w:r>
            <w:r w:rsidRPr="00BD254C">
              <w:rPr>
                <w:rFonts w:ascii="Arial" w:hAnsi="Arial" w:cs="Arial"/>
                <w:b/>
                <w:sz w:val="20"/>
                <w:szCs w:val="20"/>
              </w:rPr>
              <w:t xml:space="preserve"> </w:t>
            </w:r>
            <w:r w:rsidR="0082616A" w:rsidRPr="00BD254C">
              <w:rPr>
                <w:rFonts w:ascii="Arial" w:hAnsi="Arial" w:cs="Arial"/>
                <w:b/>
                <w:sz w:val="20"/>
                <w:szCs w:val="20"/>
              </w:rPr>
              <w:t>Type:</w:t>
            </w:r>
          </w:p>
        </w:tc>
        <w:tc>
          <w:tcPr>
            <w:tcW w:w="3687" w:type="dxa"/>
            <w:shd w:val="pct20" w:color="000000" w:fill="FFFFFF"/>
          </w:tcPr>
          <w:p w:rsidR="0082616A" w:rsidRPr="00BD254C" w:rsidRDefault="0082616A" w:rsidP="00366565">
            <w:pPr>
              <w:rPr>
                <w:rFonts w:ascii="Arial" w:hAnsi="Arial" w:cs="Arial"/>
                <w:sz w:val="18"/>
                <w:szCs w:val="18"/>
              </w:rPr>
            </w:pPr>
            <w:r w:rsidRPr="00BD254C">
              <w:rPr>
                <w:rFonts w:ascii="Arial" w:hAnsi="Arial" w:cs="Arial"/>
                <w:sz w:val="18"/>
                <w:szCs w:val="18"/>
              </w:rPr>
              <w:t>Replace on burnout (ROB)</w:t>
            </w:r>
          </w:p>
        </w:tc>
      </w:tr>
      <w:tr w:rsidR="0082616A" w:rsidRPr="00783DAC" w:rsidTr="0082616A">
        <w:trPr>
          <w:trHeight w:val="465"/>
        </w:trPr>
        <w:tc>
          <w:tcPr>
            <w:tcW w:w="3050" w:type="dxa"/>
            <w:shd w:val="pct5" w:color="000000" w:fill="FFFFFF"/>
          </w:tcPr>
          <w:p w:rsidR="0082616A" w:rsidRPr="00BD254C" w:rsidRDefault="0082616A" w:rsidP="0001647C">
            <w:pPr>
              <w:rPr>
                <w:rFonts w:ascii="Arial" w:hAnsi="Arial" w:cs="Arial"/>
                <w:b/>
                <w:sz w:val="20"/>
                <w:szCs w:val="20"/>
              </w:rPr>
            </w:pPr>
            <w:r w:rsidRPr="00BD254C">
              <w:rPr>
                <w:rFonts w:ascii="Arial" w:hAnsi="Arial" w:cs="Arial"/>
                <w:b/>
                <w:sz w:val="20"/>
                <w:szCs w:val="20"/>
              </w:rPr>
              <w:t xml:space="preserve">Net-to-Gross Ratios: </w:t>
            </w:r>
          </w:p>
        </w:tc>
        <w:tc>
          <w:tcPr>
            <w:tcW w:w="3687" w:type="dxa"/>
            <w:shd w:val="pct5" w:color="000000" w:fill="FFFFFF"/>
          </w:tcPr>
          <w:p w:rsidR="0082616A" w:rsidRPr="00BD254C" w:rsidRDefault="0082616A" w:rsidP="00366565">
            <w:pPr>
              <w:rPr>
                <w:rFonts w:ascii="Arial" w:hAnsi="Arial" w:cs="Arial"/>
                <w:sz w:val="18"/>
                <w:szCs w:val="18"/>
              </w:rPr>
            </w:pPr>
            <w:r w:rsidRPr="00BD254C">
              <w:rPr>
                <w:rFonts w:ascii="Arial" w:hAnsi="Arial" w:cs="Arial"/>
                <w:sz w:val="18"/>
                <w:szCs w:val="18"/>
              </w:rPr>
              <w:t xml:space="preserve">Source: </w:t>
            </w:r>
            <w:r w:rsidR="00297B0C" w:rsidRPr="00297B0C">
              <w:rPr>
                <w:rFonts w:ascii="Arial" w:hAnsi="Arial" w:cs="Arial"/>
                <w:sz w:val="18"/>
                <w:szCs w:val="18"/>
              </w:rPr>
              <w:t>DEER2011_NTGR_2012-05-16</w:t>
            </w:r>
          </w:p>
          <w:p w:rsidR="0082616A" w:rsidRPr="00BD254C" w:rsidRDefault="0082616A" w:rsidP="00366565">
            <w:pPr>
              <w:rPr>
                <w:rFonts w:ascii="Arial" w:hAnsi="Arial" w:cs="Arial"/>
                <w:sz w:val="18"/>
                <w:szCs w:val="18"/>
                <w:highlight w:val="yellow"/>
              </w:rPr>
            </w:pPr>
            <w:r w:rsidRPr="00BD254C">
              <w:rPr>
                <w:rFonts w:ascii="Arial" w:hAnsi="Arial" w:cs="Arial"/>
                <w:sz w:val="18"/>
                <w:szCs w:val="18"/>
              </w:rPr>
              <w:t>0.</w:t>
            </w:r>
            <w:r w:rsidR="00297B0C">
              <w:rPr>
                <w:rFonts w:ascii="Arial" w:hAnsi="Arial" w:cs="Arial"/>
                <w:sz w:val="18"/>
                <w:szCs w:val="18"/>
              </w:rPr>
              <w:t>6</w:t>
            </w:r>
            <w:r w:rsidRPr="00BD254C">
              <w:rPr>
                <w:rFonts w:ascii="Arial" w:hAnsi="Arial" w:cs="Arial"/>
                <w:sz w:val="18"/>
                <w:szCs w:val="18"/>
              </w:rPr>
              <w:t>0  (Default Value)</w:t>
            </w:r>
          </w:p>
        </w:tc>
      </w:tr>
      <w:tr w:rsidR="0082616A" w:rsidRPr="00783DAC" w:rsidTr="0082616A">
        <w:trPr>
          <w:trHeight w:val="465"/>
        </w:trPr>
        <w:tc>
          <w:tcPr>
            <w:tcW w:w="3050" w:type="dxa"/>
            <w:shd w:val="pct20" w:color="000000" w:fill="FFFFFF"/>
          </w:tcPr>
          <w:p w:rsidR="0082616A" w:rsidRPr="00BD254C" w:rsidRDefault="0082616A" w:rsidP="0001647C">
            <w:pPr>
              <w:rPr>
                <w:rFonts w:ascii="Arial" w:hAnsi="Arial" w:cs="Arial"/>
                <w:b/>
                <w:sz w:val="20"/>
                <w:szCs w:val="20"/>
              </w:rPr>
            </w:pPr>
            <w:r w:rsidRPr="00BD254C">
              <w:rPr>
                <w:rFonts w:ascii="Arial" w:hAnsi="Arial" w:cs="Arial"/>
                <w:b/>
                <w:sz w:val="20"/>
                <w:szCs w:val="20"/>
              </w:rPr>
              <w:t>Important Comments:</w:t>
            </w:r>
          </w:p>
        </w:tc>
        <w:tc>
          <w:tcPr>
            <w:tcW w:w="3687" w:type="dxa"/>
            <w:shd w:val="pct20" w:color="000000" w:fill="FFFFFF"/>
          </w:tcPr>
          <w:p w:rsidR="0082616A" w:rsidRPr="003A1A20" w:rsidRDefault="0082616A" w:rsidP="0001647C">
            <w:pPr>
              <w:rPr>
                <w:rFonts w:ascii="Arial" w:hAnsi="Arial" w:cs="Arial"/>
                <w:sz w:val="18"/>
                <w:szCs w:val="18"/>
              </w:rPr>
            </w:pPr>
          </w:p>
        </w:tc>
      </w:tr>
    </w:tbl>
    <w:p w:rsidR="00820A87" w:rsidRPr="005F19E0" w:rsidRDefault="00820A87" w:rsidP="00820A87">
      <w:pPr>
        <w:rPr>
          <w:rFonts w:ascii="Arial" w:hAnsi="Arial" w:cs="Arial"/>
          <w:b/>
          <w:color w:val="FF0000"/>
          <w:sz w:val="20"/>
          <w:szCs w:val="20"/>
        </w:rPr>
        <w:sectPr w:rsidR="00820A87" w:rsidRPr="005F19E0" w:rsidSect="00820A87">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296" w:bottom="1296" w:left="1296" w:header="720" w:footer="720" w:gutter="0"/>
          <w:pgNumType w:fmt="lowerRoman" w:start="1"/>
          <w:cols w:space="720"/>
          <w:docGrid w:linePitch="360"/>
        </w:sectPr>
      </w:pPr>
    </w:p>
    <w:p w:rsidR="004A7BDE" w:rsidRDefault="004A7BDE" w:rsidP="004A7BDE">
      <w:pPr>
        <w:pStyle w:val="Heading1"/>
      </w:pPr>
      <w:bookmarkStart w:id="5" w:name="_Toc342311739"/>
      <w:bookmarkStart w:id="6" w:name="_Toc383441980"/>
      <w:r>
        <w:lastRenderedPageBreak/>
        <w:t>Work Paper Approvals</w:t>
      </w:r>
      <w:bookmarkEnd w:id="5"/>
      <w:bookmarkEnd w:id="6"/>
    </w:p>
    <w:p w:rsidR="004A7BDE" w:rsidRDefault="004A7BDE" w:rsidP="004A7BDE">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4A7BDE" w:rsidTr="006D2023">
        <w:tc>
          <w:tcPr>
            <w:tcW w:w="5000" w:type="pct"/>
            <w:tcMar>
              <w:top w:w="0" w:type="dxa"/>
              <w:left w:w="108" w:type="dxa"/>
              <w:bottom w:w="0" w:type="dxa"/>
              <w:right w:w="108" w:type="dxa"/>
            </w:tcMar>
          </w:tcPr>
          <w:p w:rsidR="004A7BDE" w:rsidRDefault="004A7BDE" w:rsidP="006D2023">
            <w:pPr>
              <w:rPr>
                <w:rFonts w:eastAsiaTheme="minorHAnsi" w:cs="Arial"/>
                <w:szCs w:val="22"/>
              </w:rPr>
            </w:pPr>
          </w:p>
        </w:tc>
      </w:tr>
      <w:tr w:rsidR="004A7BDE" w:rsidTr="006D2023">
        <w:tc>
          <w:tcPr>
            <w:tcW w:w="5000" w:type="pct"/>
            <w:tcMar>
              <w:top w:w="0" w:type="dxa"/>
              <w:left w:w="108" w:type="dxa"/>
              <w:bottom w:w="0" w:type="dxa"/>
              <w:right w:w="108" w:type="dxa"/>
            </w:tcMar>
            <w:hideMark/>
          </w:tcPr>
          <w:p w:rsidR="004A7BDE" w:rsidRPr="00A002BD" w:rsidRDefault="004A7BDE" w:rsidP="006D2023">
            <w:pPr>
              <w:rPr>
                <w:rFonts w:eastAsiaTheme="minorHAnsi" w:cs="Arial"/>
                <w:b/>
                <w:bCs/>
                <w:szCs w:val="22"/>
              </w:rPr>
            </w:pPr>
            <w:r w:rsidRPr="00A002BD">
              <w:rPr>
                <w:rFonts w:cs="Arial"/>
                <w:b/>
                <w:bCs/>
                <w:szCs w:val="22"/>
              </w:rPr>
              <w:t>Grant Brohard</w:t>
            </w:r>
          </w:p>
          <w:p w:rsidR="004A7BDE" w:rsidRDefault="004A7BDE" w:rsidP="006D2023">
            <w:pPr>
              <w:rPr>
                <w:rFonts w:eastAsiaTheme="minorHAnsi" w:cs="Arial"/>
                <w:szCs w:val="22"/>
              </w:rPr>
            </w:pPr>
            <w:r w:rsidRPr="00A002BD">
              <w:rPr>
                <w:rFonts w:cs="Arial"/>
                <w:szCs w:val="22"/>
              </w:rPr>
              <w:t>Manager, Technical Product Support</w:t>
            </w:r>
          </w:p>
        </w:tc>
      </w:tr>
      <w:tr w:rsidR="004A7BDE" w:rsidTr="006D2023">
        <w:tc>
          <w:tcPr>
            <w:tcW w:w="5000" w:type="pct"/>
            <w:tcMar>
              <w:top w:w="0" w:type="dxa"/>
              <w:left w:w="108" w:type="dxa"/>
              <w:bottom w:w="0" w:type="dxa"/>
              <w:right w:w="108" w:type="dxa"/>
            </w:tcMar>
          </w:tcPr>
          <w:p w:rsidR="004A7BDE" w:rsidRPr="00A002BD" w:rsidRDefault="004A7BDE" w:rsidP="006D2023">
            <w:pPr>
              <w:rPr>
                <w:rFonts w:eastAsiaTheme="minorHAnsi" w:cs="Arial"/>
                <w:b/>
                <w:bCs/>
                <w:szCs w:val="22"/>
              </w:rPr>
            </w:pPr>
          </w:p>
          <w:p w:rsidR="004A7BDE" w:rsidRPr="00FF337E" w:rsidRDefault="004A7BDE" w:rsidP="006D2023">
            <w:pPr>
              <w:rPr>
                <w:rFonts w:cs="Arial"/>
                <w:b/>
                <w:bCs/>
                <w:szCs w:val="22"/>
              </w:rPr>
            </w:pPr>
            <w:r w:rsidRPr="00FF337E">
              <w:rPr>
                <w:rFonts w:cs="Arial"/>
                <w:b/>
                <w:bCs/>
                <w:szCs w:val="22"/>
              </w:rPr>
              <w:t>Carolyn Weiner</w:t>
            </w:r>
          </w:p>
          <w:p w:rsidR="004A7BDE" w:rsidRPr="00A002BD" w:rsidRDefault="004A7BDE" w:rsidP="006D2023">
            <w:pPr>
              <w:rPr>
                <w:rFonts w:cs="Arial"/>
                <w:szCs w:val="22"/>
              </w:rPr>
            </w:pPr>
            <w:r>
              <w:rPr>
                <w:rFonts w:cs="Arial"/>
                <w:szCs w:val="22"/>
              </w:rPr>
              <w:t>Principal</w:t>
            </w:r>
            <w:r w:rsidRPr="00A002BD">
              <w:rPr>
                <w:rFonts w:cs="Arial"/>
                <w:szCs w:val="22"/>
              </w:rPr>
              <w:t xml:space="preserve">, </w:t>
            </w:r>
            <w:r>
              <w:rPr>
                <w:rFonts w:cs="Arial"/>
                <w:szCs w:val="22"/>
              </w:rPr>
              <w:t>CES Products and Programs</w:t>
            </w:r>
            <w:r w:rsidRPr="00A002BD">
              <w:rPr>
                <w:rFonts w:cs="Arial"/>
                <w:szCs w:val="22"/>
              </w:rPr>
              <w:t xml:space="preserve"> </w:t>
            </w:r>
          </w:p>
          <w:p w:rsidR="004A7BDE" w:rsidRDefault="004A7BDE" w:rsidP="006D2023">
            <w:pPr>
              <w:rPr>
                <w:rFonts w:eastAsiaTheme="minorHAnsi" w:cs="Arial"/>
                <w:szCs w:val="22"/>
              </w:rPr>
            </w:pPr>
          </w:p>
        </w:tc>
      </w:tr>
    </w:tbl>
    <w:p w:rsidR="00B624B3" w:rsidRDefault="00B624B3" w:rsidP="00B624B3">
      <w:pPr>
        <w:pStyle w:val="Heading1"/>
        <w:ind w:left="432" w:hanging="432"/>
      </w:pPr>
      <w:r>
        <w:br w:type="page"/>
      </w:r>
      <w:bookmarkStart w:id="7" w:name="_Toc387911992"/>
      <w:bookmarkStart w:id="8" w:name="_Toc389487640"/>
      <w:r>
        <w:lastRenderedPageBreak/>
        <w:t>Document Revision History</w:t>
      </w:r>
      <w:bookmarkEnd w:id="7"/>
      <w:bookmarkEnd w:id="8"/>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50"/>
        <w:gridCol w:w="1140"/>
        <w:gridCol w:w="4770"/>
        <w:gridCol w:w="1909"/>
      </w:tblGrid>
      <w:tr w:rsidR="00B624B3" w:rsidRPr="00783DAC" w:rsidTr="00504E17">
        <w:trPr>
          <w:trHeight w:val="464"/>
        </w:trPr>
        <w:tc>
          <w:tcPr>
            <w:tcW w:w="871" w:type="pct"/>
            <w:tcBorders>
              <w:top w:val="nil"/>
              <w:bottom w:val="single" w:sz="18" w:space="0" w:color="FFFFFF"/>
            </w:tcBorders>
            <w:shd w:val="pct20" w:color="000000" w:fill="FFFFFF"/>
          </w:tcPr>
          <w:p w:rsidR="00B624B3" w:rsidRPr="00504E17" w:rsidRDefault="00B624B3" w:rsidP="00504E17">
            <w:pPr>
              <w:jc w:val="center"/>
              <w:rPr>
                <w:rFonts w:ascii="Arial" w:hAnsi="Arial" w:cs="Arial"/>
                <w:b/>
                <w:bCs/>
                <w:sz w:val="20"/>
                <w:szCs w:val="20"/>
              </w:rPr>
            </w:pPr>
            <w:r w:rsidRPr="00504E17">
              <w:rPr>
                <w:rFonts w:ascii="Arial" w:hAnsi="Arial" w:cs="Arial"/>
                <w:b/>
                <w:sz w:val="20"/>
                <w:szCs w:val="20"/>
              </w:rPr>
              <w:t>Revision #</w:t>
            </w:r>
          </w:p>
        </w:tc>
        <w:tc>
          <w:tcPr>
            <w:tcW w:w="602" w:type="pct"/>
            <w:tcBorders>
              <w:top w:val="nil"/>
              <w:bottom w:val="single" w:sz="18" w:space="0" w:color="FFFFFF"/>
            </w:tcBorders>
            <w:shd w:val="pct20" w:color="000000" w:fill="FFFFFF"/>
          </w:tcPr>
          <w:p w:rsidR="00B624B3" w:rsidRPr="00504E17" w:rsidRDefault="00B624B3" w:rsidP="00504E17">
            <w:pPr>
              <w:jc w:val="center"/>
              <w:rPr>
                <w:rFonts w:ascii="Arial" w:hAnsi="Arial" w:cs="Arial"/>
                <w:b/>
                <w:bCs/>
                <w:sz w:val="20"/>
                <w:szCs w:val="20"/>
              </w:rPr>
            </w:pPr>
            <w:r w:rsidRPr="00504E17">
              <w:rPr>
                <w:rFonts w:ascii="Arial" w:hAnsi="Arial" w:cs="Arial"/>
                <w:b/>
                <w:sz w:val="20"/>
                <w:szCs w:val="20"/>
              </w:rPr>
              <w:t>Date</w:t>
            </w:r>
          </w:p>
        </w:tc>
        <w:tc>
          <w:tcPr>
            <w:tcW w:w="2519" w:type="pct"/>
            <w:tcBorders>
              <w:top w:val="nil"/>
              <w:bottom w:val="single" w:sz="18" w:space="0" w:color="FFFFFF"/>
            </w:tcBorders>
            <w:shd w:val="pct20" w:color="000000" w:fill="FFFFFF"/>
          </w:tcPr>
          <w:p w:rsidR="00B624B3" w:rsidRPr="00504E17" w:rsidRDefault="00B624B3" w:rsidP="00504E17">
            <w:pPr>
              <w:jc w:val="center"/>
              <w:rPr>
                <w:rFonts w:ascii="Arial" w:hAnsi="Arial" w:cs="Arial"/>
                <w:b/>
                <w:bCs/>
                <w:sz w:val="20"/>
                <w:szCs w:val="20"/>
              </w:rPr>
            </w:pPr>
            <w:r w:rsidRPr="00504E17">
              <w:rPr>
                <w:rFonts w:ascii="Arial" w:hAnsi="Arial" w:cs="Arial"/>
                <w:b/>
                <w:sz w:val="20"/>
                <w:szCs w:val="20"/>
              </w:rPr>
              <w:t>Section by Section Description of Revisions</w:t>
            </w:r>
          </w:p>
        </w:tc>
        <w:tc>
          <w:tcPr>
            <w:tcW w:w="1008" w:type="pct"/>
            <w:tcBorders>
              <w:top w:val="nil"/>
              <w:bottom w:val="single" w:sz="18" w:space="0" w:color="FFFFFF"/>
            </w:tcBorders>
            <w:shd w:val="pct20" w:color="000000" w:fill="FFFFFF"/>
          </w:tcPr>
          <w:p w:rsidR="00B624B3" w:rsidRPr="00504E17" w:rsidRDefault="00B624B3" w:rsidP="00504E17">
            <w:pPr>
              <w:jc w:val="center"/>
              <w:rPr>
                <w:rFonts w:ascii="Arial" w:hAnsi="Arial" w:cs="Arial"/>
                <w:b/>
                <w:bCs/>
                <w:sz w:val="20"/>
                <w:szCs w:val="20"/>
              </w:rPr>
            </w:pPr>
            <w:r w:rsidRPr="00504E17">
              <w:rPr>
                <w:rFonts w:ascii="Arial" w:hAnsi="Arial" w:cs="Arial"/>
                <w:b/>
                <w:sz w:val="20"/>
                <w:szCs w:val="20"/>
              </w:rPr>
              <w:t>Author (Company)</w:t>
            </w:r>
          </w:p>
        </w:tc>
      </w:tr>
      <w:tr w:rsidR="00B624B3" w:rsidRPr="00783DAC" w:rsidTr="00504E17">
        <w:trPr>
          <w:trHeight w:val="464"/>
        </w:trPr>
        <w:tc>
          <w:tcPr>
            <w:tcW w:w="871" w:type="pct"/>
            <w:tcBorders>
              <w:top w:val="single" w:sz="18" w:space="0" w:color="FFFFFF"/>
              <w:bottom w:val="single" w:sz="18" w:space="0" w:color="FFFFFF"/>
            </w:tcBorders>
            <w:shd w:val="pct5" w:color="000000" w:fill="FFFFFF"/>
          </w:tcPr>
          <w:p w:rsidR="00B624B3" w:rsidRPr="00BD254C" w:rsidRDefault="00B624B3" w:rsidP="0001647C">
            <w:pPr>
              <w:rPr>
                <w:rFonts w:ascii="Arial" w:hAnsi="Arial" w:cs="Arial"/>
                <w:b/>
                <w:bCs/>
                <w:sz w:val="20"/>
                <w:szCs w:val="20"/>
              </w:rPr>
            </w:pPr>
            <w:r w:rsidRPr="00BD254C">
              <w:rPr>
                <w:rFonts w:ascii="Arial" w:hAnsi="Arial" w:cs="Arial"/>
                <w:b/>
                <w:bCs/>
                <w:sz w:val="20"/>
                <w:szCs w:val="20"/>
              </w:rPr>
              <w:t>Revision 0</w:t>
            </w:r>
          </w:p>
        </w:tc>
        <w:tc>
          <w:tcPr>
            <w:tcW w:w="602" w:type="pct"/>
            <w:tcBorders>
              <w:top w:val="single" w:sz="18" w:space="0" w:color="FFFFFF"/>
              <w:bottom w:val="single" w:sz="18" w:space="0" w:color="FFFFFF"/>
            </w:tcBorders>
            <w:shd w:val="pct5" w:color="000000" w:fill="FFFFFF"/>
          </w:tcPr>
          <w:p w:rsidR="00B624B3" w:rsidRPr="00504E17" w:rsidRDefault="00C143E4" w:rsidP="0001647C">
            <w:pPr>
              <w:rPr>
                <w:rFonts w:ascii="Arial" w:hAnsi="Arial" w:cs="Arial"/>
                <w:bCs/>
                <w:sz w:val="18"/>
                <w:szCs w:val="18"/>
              </w:rPr>
            </w:pPr>
            <w:r w:rsidRPr="00504E17">
              <w:rPr>
                <w:rFonts w:ascii="Arial" w:hAnsi="Arial" w:cs="Arial"/>
                <w:bCs/>
                <w:sz w:val="18"/>
                <w:szCs w:val="18"/>
              </w:rPr>
              <w:t>07/23</w:t>
            </w:r>
            <w:r w:rsidR="00B624B3" w:rsidRPr="00504E17">
              <w:rPr>
                <w:rFonts w:ascii="Arial" w:hAnsi="Arial" w:cs="Arial"/>
                <w:bCs/>
                <w:sz w:val="18"/>
                <w:szCs w:val="18"/>
              </w:rPr>
              <w:t>/20</w:t>
            </w:r>
            <w:r w:rsidRPr="00504E17">
              <w:rPr>
                <w:rFonts w:ascii="Arial" w:hAnsi="Arial" w:cs="Arial"/>
                <w:bCs/>
                <w:sz w:val="18"/>
                <w:szCs w:val="18"/>
              </w:rPr>
              <w:t>09</w:t>
            </w:r>
          </w:p>
        </w:tc>
        <w:tc>
          <w:tcPr>
            <w:tcW w:w="2519" w:type="pct"/>
            <w:tcBorders>
              <w:top w:val="single" w:sz="18" w:space="0" w:color="FFFFFF"/>
              <w:bottom w:val="single" w:sz="18" w:space="0" w:color="FFFFFF"/>
            </w:tcBorders>
            <w:shd w:val="pct5" w:color="000000" w:fill="FFFFFF"/>
          </w:tcPr>
          <w:p w:rsidR="00B624B3" w:rsidRPr="00504E17" w:rsidRDefault="00B624B3" w:rsidP="0001647C">
            <w:pPr>
              <w:rPr>
                <w:rFonts w:ascii="Arial" w:hAnsi="Arial" w:cs="Arial"/>
                <w:bCs/>
                <w:sz w:val="18"/>
                <w:szCs w:val="18"/>
              </w:rPr>
            </w:pPr>
            <w:r w:rsidRPr="00504E17">
              <w:rPr>
                <w:rFonts w:ascii="Arial" w:hAnsi="Arial" w:cs="Arial"/>
                <w:bCs/>
                <w:sz w:val="18"/>
                <w:szCs w:val="18"/>
              </w:rPr>
              <w:t>Original work paper</w:t>
            </w:r>
          </w:p>
        </w:tc>
        <w:tc>
          <w:tcPr>
            <w:tcW w:w="1008" w:type="pct"/>
            <w:tcBorders>
              <w:top w:val="single" w:sz="18" w:space="0" w:color="FFFFFF"/>
              <w:bottom w:val="single" w:sz="18" w:space="0" w:color="FFFFFF"/>
            </w:tcBorders>
            <w:shd w:val="pct5" w:color="000000" w:fill="FFFFFF"/>
          </w:tcPr>
          <w:p w:rsidR="00B624B3" w:rsidRPr="00504E17" w:rsidRDefault="00C143E4" w:rsidP="0001647C">
            <w:pPr>
              <w:autoSpaceDE w:val="0"/>
              <w:autoSpaceDN w:val="0"/>
              <w:adjustRightInd w:val="0"/>
              <w:rPr>
                <w:rFonts w:ascii="Arial" w:hAnsi="Arial" w:cs="Arial"/>
                <w:sz w:val="18"/>
                <w:szCs w:val="18"/>
              </w:rPr>
            </w:pPr>
            <w:r w:rsidRPr="00504E17">
              <w:rPr>
                <w:rFonts w:ascii="Arial" w:hAnsi="Arial" w:cs="Arial"/>
                <w:sz w:val="18"/>
                <w:szCs w:val="18"/>
              </w:rPr>
              <w:t>James Anthony</w:t>
            </w:r>
          </w:p>
          <w:p w:rsidR="00B624B3" w:rsidRPr="00504E17" w:rsidRDefault="00B624B3" w:rsidP="0001647C">
            <w:pPr>
              <w:autoSpaceDE w:val="0"/>
              <w:autoSpaceDN w:val="0"/>
              <w:adjustRightInd w:val="0"/>
              <w:rPr>
                <w:rFonts w:ascii="Arial" w:hAnsi="Arial" w:cs="Arial"/>
                <w:sz w:val="18"/>
                <w:szCs w:val="18"/>
              </w:rPr>
            </w:pPr>
            <w:r w:rsidRPr="00504E17">
              <w:rPr>
                <w:rFonts w:ascii="Arial" w:hAnsi="Arial" w:cs="Arial"/>
                <w:sz w:val="18"/>
                <w:szCs w:val="18"/>
              </w:rPr>
              <w:t>(PECI Engineering)</w:t>
            </w:r>
          </w:p>
          <w:p w:rsidR="00B624B3" w:rsidRPr="00504E17" w:rsidRDefault="00B624B3" w:rsidP="0001647C">
            <w:pPr>
              <w:rPr>
                <w:rFonts w:ascii="Arial" w:hAnsi="Arial" w:cs="Arial"/>
                <w:bCs/>
                <w:sz w:val="18"/>
                <w:szCs w:val="18"/>
              </w:rPr>
            </w:pPr>
          </w:p>
        </w:tc>
      </w:tr>
      <w:tr w:rsidR="00B624B3" w:rsidRPr="00783DAC" w:rsidTr="00504E17">
        <w:trPr>
          <w:trHeight w:val="464"/>
        </w:trPr>
        <w:tc>
          <w:tcPr>
            <w:tcW w:w="871" w:type="pct"/>
            <w:tcBorders>
              <w:top w:val="single" w:sz="18" w:space="0" w:color="FFFFFF"/>
              <w:bottom w:val="single" w:sz="18" w:space="0" w:color="FFFFFF"/>
            </w:tcBorders>
            <w:shd w:val="pct20" w:color="000000" w:fill="FFFFFF"/>
          </w:tcPr>
          <w:p w:rsidR="00B624B3" w:rsidRPr="00BD254C" w:rsidRDefault="00B624B3" w:rsidP="0001647C">
            <w:pPr>
              <w:rPr>
                <w:rFonts w:ascii="Arial" w:hAnsi="Arial" w:cs="Arial"/>
                <w:sz w:val="20"/>
                <w:szCs w:val="20"/>
              </w:rPr>
            </w:pPr>
            <w:r w:rsidRPr="00BD254C">
              <w:rPr>
                <w:rFonts w:ascii="Arial" w:hAnsi="Arial" w:cs="Arial"/>
                <w:b/>
                <w:bCs/>
                <w:sz w:val="20"/>
                <w:szCs w:val="20"/>
              </w:rPr>
              <w:t>Revision 1</w:t>
            </w:r>
          </w:p>
        </w:tc>
        <w:tc>
          <w:tcPr>
            <w:tcW w:w="602" w:type="pct"/>
            <w:tcBorders>
              <w:top w:val="single" w:sz="18" w:space="0" w:color="FFFFFF"/>
              <w:bottom w:val="single" w:sz="18" w:space="0" w:color="FFFFFF"/>
            </w:tcBorders>
            <w:shd w:val="pct20" w:color="000000" w:fill="FFFFFF"/>
          </w:tcPr>
          <w:p w:rsidR="00B624B3" w:rsidRPr="00BD254C" w:rsidRDefault="00C143E4" w:rsidP="0001647C">
            <w:pPr>
              <w:rPr>
                <w:rFonts w:ascii="Arial" w:hAnsi="Arial" w:cs="Arial"/>
                <w:sz w:val="18"/>
                <w:szCs w:val="18"/>
              </w:rPr>
            </w:pPr>
            <w:r w:rsidRPr="00BD254C">
              <w:rPr>
                <w:rFonts w:ascii="Arial" w:hAnsi="Arial" w:cs="Arial"/>
                <w:sz w:val="18"/>
                <w:szCs w:val="18"/>
              </w:rPr>
              <w:t>6/13</w:t>
            </w:r>
            <w:r w:rsidR="00B624B3" w:rsidRPr="00BD254C">
              <w:rPr>
                <w:rFonts w:ascii="Arial" w:hAnsi="Arial" w:cs="Arial"/>
                <w:sz w:val="18"/>
                <w:szCs w:val="18"/>
              </w:rPr>
              <w:t>/2012</w:t>
            </w:r>
          </w:p>
        </w:tc>
        <w:tc>
          <w:tcPr>
            <w:tcW w:w="2519" w:type="pct"/>
            <w:tcBorders>
              <w:top w:val="single" w:sz="18" w:space="0" w:color="FFFFFF"/>
              <w:bottom w:val="single" w:sz="18" w:space="0" w:color="FFFFFF"/>
            </w:tcBorders>
            <w:shd w:val="pct20" w:color="000000" w:fill="FFFFFF"/>
          </w:tcPr>
          <w:p w:rsidR="00B624B3" w:rsidRPr="00BD254C" w:rsidRDefault="00B624B3" w:rsidP="0001647C">
            <w:pPr>
              <w:rPr>
                <w:rFonts w:ascii="Arial" w:hAnsi="Arial" w:cs="Arial"/>
                <w:sz w:val="18"/>
                <w:szCs w:val="18"/>
              </w:rPr>
            </w:pPr>
            <w:r w:rsidRPr="00BD254C">
              <w:rPr>
                <w:rFonts w:ascii="Arial" w:hAnsi="Arial" w:cs="Arial"/>
                <w:sz w:val="18"/>
                <w:szCs w:val="18"/>
              </w:rPr>
              <w:t>Updated to PG&amp;E 2013-2014 format</w:t>
            </w:r>
          </w:p>
          <w:p w:rsidR="00B624B3" w:rsidRPr="00BD254C" w:rsidRDefault="00B624B3" w:rsidP="0001647C">
            <w:pPr>
              <w:rPr>
                <w:rFonts w:ascii="Arial" w:hAnsi="Arial" w:cs="Arial"/>
                <w:sz w:val="18"/>
                <w:szCs w:val="18"/>
              </w:rPr>
            </w:pPr>
            <w:r w:rsidRPr="00BD254C">
              <w:rPr>
                <w:rFonts w:ascii="Arial" w:hAnsi="Arial" w:cs="Arial"/>
                <w:sz w:val="18"/>
                <w:szCs w:val="18"/>
              </w:rPr>
              <w:t>Update</w:t>
            </w:r>
            <w:r w:rsidR="00C143E4" w:rsidRPr="00BD254C">
              <w:rPr>
                <w:rFonts w:ascii="Arial" w:hAnsi="Arial" w:cs="Arial"/>
                <w:sz w:val="18"/>
                <w:szCs w:val="18"/>
              </w:rPr>
              <w:t>d</w:t>
            </w:r>
            <w:r w:rsidRPr="00BD254C">
              <w:rPr>
                <w:rFonts w:ascii="Arial" w:hAnsi="Arial" w:cs="Arial"/>
                <w:sz w:val="18"/>
                <w:szCs w:val="18"/>
              </w:rPr>
              <w:t xml:space="preserve"> </w:t>
            </w:r>
            <w:r w:rsidR="00C143E4" w:rsidRPr="00BD254C">
              <w:rPr>
                <w:rFonts w:ascii="Arial" w:hAnsi="Arial" w:cs="Arial"/>
                <w:sz w:val="18"/>
                <w:szCs w:val="18"/>
              </w:rPr>
              <w:t>base case to reflect federal code</w:t>
            </w:r>
          </w:p>
          <w:p w:rsidR="00C143E4" w:rsidRPr="00BD254C" w:rsidRDefault="00C143E4" w:rsidP="0001647C">
            <w:pPr>
              <w:rPr>
                <w:rFonts w:ascii="Arial" w:hAnsi="Arial" w:cs="Arial"/>
                <w:sz w:val="18"/>
                <w:szCs w:val="18"/>
              </w:rPr>
            </w:pPr>
            <w:r w:rsidRPr="00BD254C">
              <w:rPr>
                <w:rFonts w:ascii="Arial" w:hAnsi="Arial" w:cs="Arial"/>
                <w:sz w:val="18"/>
                <w:szCs w:val="18"/>
              </w:rPr>
              <w:t>Updated calculations to reflect new base case</w:t>
            </w:r>
          </w:p>
          <w:p w:rsidR="00C143E4" w:rsidRPr="00BD254C" w:rsidRDefault="00C143E4" w:rsidP="0001647C">
            <w:pPr>
              <w:rPr>
                <w:rFonts w:ascii="Arial" w:hAnsi="Arial" w:cs="Arial"/>
                <w:sz w:val="18"/>
                <w:szCs w:val="18"/>
              </w:rPr>
            </w:pPr>
            <w:r w:rsidRPr="00BD254C">
              <w:rPr>
                <w:rFonts w:ascii="Arial" w:hAnsi="Arial" w:cs="Arial"/>
                <w:sz w:val="18"/>
                <w:szCs w:val="18"/>
              </w:rPr>
              <w:t>Updated measure and base case costs to reflect code compliant cases</w:t>
            </w:r>
          </w:p>
          <w:p w:rsidR="00B624B3" w:rsidRPr="00BD254C" w:rsidRDefault="00B624B3" w:rsidP="0001647C">
            <w:pPr>
              <w:rPr>
                <w:rFonts w:ascii="Arial" w:hAnsi="Arial" w:cs="Arial"/>
                <w:sz w:val="18"/>
                <w:szCs w:val="18"/>
              </w:rPr>
            </w:pPr>
          </w:p>
        </w:tc>
        <w:tc>
          <w:tcPr>
            <w:tcW w:w="1008" w:type="pct"/>
            <w:tcBorders>
              <w:top w:val="single" w:sz="18" w:space="0" w:color="FFFFFF"/>
              <w:bottom w:val="single" w:sz="18" w:space="0" w:color="FFFFFF"/>
            </w:tcBorders>
            <w:shd w:val="pct20" w:color="000000" w:fill="FFFFFF"/>
          </w:tcPr>
          <w:p w:rsidR="00B624B3" w:rsidRPr="00BD254C" w:rsidRDefault="00C143E4" w:rsidP="0001647C">
            <w:pPr>
              <w:rPr>
                <w:rFonts w:ascii="Arial" w:hAnsi="Arial" w:cs="Arial"/>
                <w:bCs/>
                <w:sz w:val="18"/>
                <w:szCs w:val="18"/>
              </w:rPr>
            </w:pPr>
            <w:r w:rsidRPr="00BD254C">
              <w:rPr>
                <w:rFonts w:ascii="Arial" w:hAnsi="Arial" w:cs="Arial"/>
                <w:bCs/>
                <w:sz w:val="18"/>
                <w:szCs w:val="18"/>
              </w:rPr>
              <w:t>Eric Mullendore</w:t>
            </w:r>
          </w:p>
          <w:p w:rsidR="00B624B3" w:rsidRPr="00BD254C" w:rsidRDefault="00B624B3" w:rsidP="0001647C">
            <w:pPr>
              <w:rPr>
                <w:rFonts w:ascii="Arial" w:hAnsi="Arial" w:cs="Arial"/>
                <w:bCs/>
                <w:sz w:val="18"/>
                <w:szCs w:val="18"/>
              </w:rPr>
            </w:pPr>
            <w:r w:rsidRPr="00BD254C">
              <w:rPr>
                <w:rFonts w:ascii="Arial" w:hAnsi="Arial" w:cs="Arial"/>
                <w:bCs/>
                <w:sz w:val="18"/>
                <w:szCs w:val="18"/>
              </w:rPr>
              <w:t>(PECI Engineering)</w:t>
            </w:r>
          </w:p>
        </w:tc>
      </w:tr>
      <w:tr w:rsidR="008C6A2F" w:rsidRPr="00783DAC" w:rsidTr="00504E17">
        <w:trPr>
          <w:trHeight w:val="464"/>
        </w:trPr>
        <w:tc>
          <w:tcPr>
            <w:tcW w:w="871" w:type="pct"/>
            <w:tcBorders>
              <w:top w:val="single" w:sz="18" w:space="0" w:color="FFFFFF"/>
            </w:tcBorders>
            <w:shd w:val="pct5" w:color="000000" w:fill="FFFFFF"/>
          </w:tcPr>
          <w:p w:rsidR="008C6A2F" w:rsidRPr="00BD254C" w:rsidRDefault="008C6A2F" w:rsidP="008C6A2F">
            <w:pPr>
              <w:rPr>
                <w:rFonts w:ascii="Arial" w:hAnsi="Arial" w:cs="Arial"/>
                <w:sz w:val="20"/>
                <w:szCs w:val="20"/>
              </w:rPr>
            </w:pPr>
            <w:r w:rsidRPr="00BD254C">
              <w:rPr>
                <w:rFonts w:ascii="Arial" w:hAnsi="Arial" w:cs="Arial"/>
                <w:b/>
                <w:bCs/>
                <w:sz w:val="20"/>
                <w:szCs w:val="20"/>
              </w:rPr>
              <w:t xml:space="preserve">Revision </w:t>
            </w:r>
            <w:r>
              <w:rPr>
                <w:rFonts w:ascii="Arial" w:hAnsi="Arial" w:cs="Arial"/>
                <w:b/>
                <w:bCs/>
                <w:sz w:val="20"/>
                <w:szCs w:val="20"/>
              </w:rPr>
              <w:t>2</w:t>
            </w:r>
          </w:p>
        </w:tc>
        <w:tc>
          <w:tcPr>
            <w:tcW w:w="602" w:type="pct"/>
            <w:tcBorders>
              <w:top w:val="single" w:sz="18" w:space="0" w:color="FFFFFF"/>
            </w:tcBorders>
            <w:shd w:val="pct5" w:color="000000" w:fill="FFFFFF"/>
          </w:tcPr>
          <w:p w:rsidR="008C6A2F" w:rsidRPr="00BD254C" w:rsidRDefault="008C6A2F" w:rsidP="008C6A2F">
            <w:pPr>
              <w:rPr>
                <w:rFonts w:ascii="Arial" w:hAnsi="Arial" w:cs="Arial"/>
                <w:sz w:val="18"/>
                <w:szCs w:val="18"/>
              </w:rPr>
            </w:pPr>
            <w:r>
              <w:rPr>
                <w:rFonts w:ascii="Arial" w:hAnsi="Arial" w:cs="Arial"/>
                <w:sz w:val="18"/>
                <w:szCs w:val="18"/>
              </w:rPr>
              <w:t>5/20/14</w:t>
            </w:r>
          </w:p>
        </w:tc>
        <w:tc>
          <w:tcPr>
            <w:tcW w:w="2519" w:type="pct"/>
            <w:tcBorders>
              <w:top w:val="single" w:sz="18" w:space="0" w:color="FFFFFF"/>
            </w:tcBorders>
            <w:shd w:val="pct5" w:color="000000" w:fill="FFFFFF"/>
          </w:tcPr>
          <w:p w:rsidR="008C6A2F" w:rsidRPr="00BD254C" w:rsidRDefault="008C6A2F" w:rsidP="008C6A2F">
            <w:pPr>
              <w:rPr>
                <w:rFonts w:ascii="Arial" w:hAnsi="Arial" w:cs="Arial"/>
                <w:sz w:val="18"/>
                <w:szCs w:val="18"/>
              </w:rPr>
            </w:pPr>
            <w:r>
              <w:rPr>
                <w:rFonts w:ascii="Arial" w:hAnsi="Arial" w:cs="Arial"/>
                <w:sz w:val="18"/>
                <w:szCs w:val="18"/>
              </w:rPr>
              <w:t>Updated workpaper format</w:t>
            </w:r>
          </w:p>
          <w:p w:rsidR="008C6A2F" w:rsidRPr="00BD254C" w:rsidRDefault="008C6A2F" w:rsidP="008C6A2F">
            <w:pPr>
              <w:rPr>
                <w:rFonts w:ascii="Arial" w:hAnsi="Arial" w:cs="Arial"/>
                <w:sz w:val="18"/>
                <w:szCs w:val="18"/>
              </w:rPr>
            </w:pPr>
          </w:p>
        </w:tc>
        <w:tc>
          <w:tcPr>
            <w:tcW w:w="1008" w:type="pct"/>
            <w:tcBorders>
              <w:top w:val="single" w:sz="18" w:space="0" w:color="FFFFFF"/>
            </w:tcBorders>
            <w:shd w:val="pct5" w:color="000000" w:fill="FFFFFF"/>
          </w:tcPr>
          <w:p w:rsidR="008C6A2F" w:rsidRDefault="008C6A2F" w:rsidP="008C6A2F">
            <w:pPr>
              <w:rPr>
                <w:rFonts w:ascii="Arial" w:hAnsi="Arial" w:cs="Arial"/>
                <w:bCs/>
                <w:sz w:val="18"/>
                <w:szCs w:val="18"/>
              </w:rPr>
            </w:pPr>
            <w:r>
              <w:rPr>
                <w:rFonts w:ascii="Arial" w:hAnsi="Arial" w:cs="Arial"/>
                <w:bCs/>
                <w:sz w:val="18"/>
                <w:szCs w:val="18"/>
              </w:rPr>
              <w:t>John Rosendo, PECI</w:t>
            </w:r>
          </w:p>
          <w:p w:rsidR="008C6A2F" w:rsidRPr="00BD254C" w:rsidRDefault="008C6A2F" w:rsidP="008C6A2F">
            <w:pPr>
              <w:rPr>
                <w:rFonts w:ascii="Arial" w:hAnsi="Arial" w:cs="Arial"/>
                <w:bCs/>
                <w:sz w:val="18"/>
                <w:szCs w:val="18"/>
              </w:rPr>
            </w:pPr>
          </w:p>
        </w:tc>
      </w:tr>
    </w:tbl>
    <w:p w:rsidR="00B624B3" w:rsidRPr="00923FD4" w:rsidRDefault="00B624B3" w:rsidP="00B624B3">
      <w:pPr>
        <w:pStyle w:val="Heading1"/>
        <w:ind w:left="432" w:hanging="432"/>
      </w:pPr>
      <w:bookmarkStart w:id="9" w:name="_Toc186621650"/>
      <w:bookmarkStart w:id="10" w:name="_Toc304800197"/>
      <w:r w:rsidRPr="006832A4">
        <w:br w:type="page"/>
      </w:r>
      <w:bookmarkStart w:id="11" w:name="_Toc387911993"/>
      <w:bookmarkStart w:id="12" w:name="_Toc389487641"/>
      <w:r w:rsidRPr="00923FD4">
        <w:lastRenderedPageBreak/>
        <w:t>Table of Contents</w:t>
      </w:r>
      <w:bookmarkEnd w:id="9"/>
      <w:bookmarkEnd w:id="10"/>
      <w:bookmarkEnd w:id="11"/>
      <w:bookmarkEnd w:id="12"/>
    </w:p>
    <w:p w:rsidR="00827E05" w:rsidRDefault="00CE6855">
      <w:pPr>
        <w:pStyle w:val="TOC1"/>
        <w:tabs>
          <w:tab w:val="right" w:leader="dot" w:pos="9350"/>
        </w:tabs>
        <w:rPr>
          <w:rFonts w:asciiTheme="minorHAnsi" w:eastAsiaTheme="minorEastAsia" w:hAnsiTheme="minorHAnsi" w:cstheme="minorBidi"/>
          <w:noProof/>
          <w:szCs w:val="22"/>
        </w:rPr>
      </w:pPr>
      <w:r>
        <w:rPr>
          <w:rFonts w:cs="Arial"/>
          <w:b/>
          <w:bCs/>
          <w:szCs w:val="22"/>
        </w:rPr>
        <w:fldChar w:fldCharType="begin"/>
      </w:r>
      <w:r>
        <w:rPr>
          <w:rFonts w:cs="Arial"/>
          <w:b/>
          <w:bCs/>
          <w:szCs w:val="22"/>
        </w:rPr>
        <w:instrText xml:space="preserve"> TOC \o "1-3" \h \z \u </w:instrText>
      </w:r>
      <w:r>
        <w:rPr>
          <w:rFonts w:cs="Arial"/>
          <w:b/>
          <w:bCs/>
          <w:szCs w:val="22"/>
        </w:rPr>
        <w:fldChar w:fldCharType="separate"/>
      </w:r>
      <w:hyperlink w:anchor="_Toc389487638" w:history="1">
        <w:r w:rsidR="00827E05" w:rsidRPr="006E7023">
          <w:rPr>
            <w:rStyle w:val="Hyperlink"/>
            <w:noProof/>
          </w:rPr>
          <w:t>At-a-Glance Summary</w:t>
        </w:r>
        <w:r w:rsidR="00827E05">
          <w:rPr>
            <w:noProof/>
            <w:webHidden/>
          </w:rPr>
          <w:tab/>
        </w:r>
        <w:r w:rsidR="00827E05">
          <w:rPr>
            <w:noProof/>
            <w:webHidden/>
          </w:rPr>
          <w:fldChar w:fldCharType="begin"/>
        </w:r>
        <w:r w:rsidR="00827E05">
          <w:rPr>
            <w:noProof/>
            <w:webHidden/>
          </w:rPr>
          <w:instrText xml:space="preserve"> PAGEREF _Toc389487638 \h </w:instrText>
        </w:r>
        <w:r w:rsidR="00827E05">
          <w:rPr>
            <w:noProof/>
            <w:webHidden/>
          </w:rPr>
        </w:r>
        <w:r w:rsidR="00827E05">
          <w:rPr>
            <w:noProof/>
            <w:webHidden/>
          </w:rPr>
          <w:fldChar w:fldCharType="separate"/>
        </w:r>
        <w:r w:rsidR="00827E05">
          <w:rPr>
            <w:noProof/>
            <w:webHidden/>
          </w:rPr>
          <w:t>ii</w:t>
        </w:r>
        <w:r w:rsidR="00827E05">
          <w:rPr>
            <w:noProof/>
            <w:webHidden/>
          </w:rPr>
          <w:fldChar w:fldCharType="end"/>
        </w:r>
      </w:hyperlink>
    </w:p>
    <w:p w:rsidR="00827E05" w:rsidRDefault="00002B4A">
      <w:pPr>
        <w:pStyle w:val="TOC1"/>
        <w:tabs>
          <w:tab w:val="right" w:leader="dot" w:pos="9350"/>
        </w:tabs>
        <w:rPr>
          <w:rFonts w:asciiTheme="minorHAnsi" w:eastAsiaTheme="minorEastAsia" w:hAnsiTheme="minorHAnsi" w:cstheme="minorBidi"/>
          <w:noProof/>
          <w:szCs w:val="22"/>
        </w:rPr>
      </w:pPr>
      <w:hyperlink w:anchor="_Toc389487639" w:history="1">
        <w:r w:rsidR="00827E05" w:rsidRPr="006E7023">
          <w:rPr>
            <w:rStyle w:val="Hyperlink"/>
            <w:noProof/>
          </w:rPr>
          <w:t>Work Paper Approvals</w:t>
        </w:r>
        <w:r w:rsidR="00827E05">
          <w:rPr>
            <w:noProof/>
            <w:webHidden/>
          </w:rPr>
          <w:tab/>
        </w:r>
        <w:r w:rsidR="00827E05">
          <w:rPr>
            <w:noProof/>
            <w:webHidden/>
          </w:rPr>
          <w:fldChar w:fldCharType="begin"/>
        </w:r>
        <w:r w:rsidR="00827E05">
          <w:rPr>
            <w:noProof/>
            <w:webHidden/>
          </w:rPr>
          <w:instrText xml:space="preserve"> PAGEREF _Toc389487639 \h </w:instrText>
        </w:r>
        <w:r w:rsidR="00827E05">
          <w:rPr>
            <w:noProof/>
            <w:webHidden/>
          </w:rPr>
        </w:r>
        <w:r w:rsidR="00827E05">
          <w:rPr>
            <w:noProof/>
            <w:webHidden/>
          </w:rPr>
          <w:fldChar w:fldCharType="separate"/>
        </w:r>
        <w:r w:rsidR="00827E05">
          <w:rPr>
            <w:noProof/>
            <w:webHidden/>
          </w:rPr>
          <w:t>3</w:t>
        </w:r>
        <w:r w:rsidR="00827E05">
          <w:rPr>
            <w:noProof/>
            <w:webHidden/>
          </w:rPr>
          <w:fldChar w:fldCharType="end"/>
        </w:r>
      </w:hyperlink>
    </w:p>
    <w:p w:rsidR="00827E05" w:rsidRDefault="00002B4A">
      <w:pPr>
        <w:pStyle w:val="TOC1"/>
        <w:tabs>
          <w:tab w:val="right" w:leader="dot" w:pos="9350"/>
        </w:tabs>
        <w:rPr>
          <w:rFonts w:asciiTheme="minorHAnsi" w:eastAsiaTheme="minorEastAsia" w:hAnsiTheme="minorHAnsi" w:cstheme="minorBidi"/>
          <w:noProof/>
          <w:szCs w:val="22"/>
        </w:rPr>
      </w:pPr>
      <w:hyperlink w:anchor="_Toc389487640" w:history="1">
        <w:r w:rsidR="00827E05" w:rsidRPr="006E7023">
          <w:rPr>
            <w:rStyle w:val="Hyperlink"/>
            <w:noProof/>
          </w:rPr>
          <w:t>Document Revision History</w:t>
        </w:r>
        <w:r w:rsidR="00827E05">
          <w:rPr>
            <w:noProof/>
            <w:webHidden/>
          </w:rPr>
          <w:tab/>
        </w:r>
        <w:r w:rsidR="00827E05">
          <w:rPr>
            <w:noProof/>
            <w:webHidden/>
          </w:rPr>
          <w:fldChar w:fldCharType="begin"/>
        </w:r>
        <w:r w:rsidR="00827E05">
          <w:rPr>
            <w:noProof/>
            <w:webHidden/>
          </w:rPr>
          <w:instrText xml:space="preserve"> PAGEREF _Toc389487640 \h </w:instrText>
        </w:r>
        <w:r w:rsidR="00827E05">
          <w:rPr>
            <w:noProof/>
            <w:webHidden/>
          </w:rPr>
        </w:r>
        <w:r w:rsidR="00827E05">
          <w:rPr>
            <w:noProof/>
            <w:webHidden/>
          </w:rPr>
          <w:fldChar w:fldCharType="separate"/>
        </w:r>
        <w:r w:rsidR="00827E05">
          <w:rPr>
            <w:noProof/>
            <w:webHidden/>
          </w:rPr>
          <w:t>4</w:t>
        </w:r>
        <w:r w:rsidR="00827E05">
          <w:rPr>
            <w:noProof/>
            <w:webHidden/>
          </w:rPr>
          <w:fldChar w:fldCharType="end"/>
        </w:r>
      </w:hyperlink>
    </w:p>
    <w:p w:rsidR="00827E05" w:rsidRDefault="00002B4A">
      <w:pPr>
        <w:pStyle w:val="TOC1"/>
        <w:tabs>
          <w:tab w:val="right" w:leader="dot" w:pos="9350"/>
        </w:tabs>
        <w:rPr>
          <w:rFonts w:asciiTheme="minorHAnsi" w:eastAsiaTheme="minorEastAsia" w:hAnsiTheme="minorHAnsi" w:cstheme="minorBidi"/>
          <w:noProof/>
          <w:szCs w:val="22"/>
        </w:rPr>
      </w:pPr>
      <w:hyperlink w:anchor="_Toc389487641" w:history="1">
        <w:r w:rsidR="00827E05" w:rsidRPr="006E7023">
          <w:rPr>
            <w:rStyle w:val="Hyperlink"/>
            <w:noProof/>
          </w:rPr>
          <w:t>Table of Contents</w:t>
        </w:r>
        <w:r w:rsidR="00827E05">
          <w:rPr>
            <w:noProof/>
            <w:webHidden/>
          </w:rPr>
          <w:tab/>
        </w:r>
        <w:r w:rsidR="00827E05">
          <w:rPr>
            <w:noProof/>
            <w:webHidden/>
          </w:rPr>
          <w:fldChar w:fldCharType="begin"/>
        </w:r>
        <w:r w:rsidR="00827E05">
          <w:rPr>
            <w:noProof/>
            <w:webHidden/>
          </w:rPr>
          <w:instrText xml:space="preserve"> PAGEREF _Toc389487641 \h </w:instrText>
        </w:r>
        <w:r w:rsidR="00827E05">
          <w:rPr>
            <w:noProof/>
            <w:webHidden/>
          </w:rPr>
        </w:r>
        <w:r w:rsidR="00827E05">
          <w:rPr>
            <w:noProof/>
            <w:webHidden/>
          </w:rPr>
          <w:fldChar w:fldCharType="separate"/>
        </w:r>
        <w:r w:rsidR="00827E05">
          <w:rPr>
            <w:noProof/>
            <w:webHidden/>
          </w:rPr>
          <w:t>5</w:t>
        </w:r>
        <w:r w:rsidR="00827E05">
          <w:rPr>
            <w:noProof/>
            <w:webHidden/>
          </w:rPr>
          <w:fldChar w:fldCharType="end"/>
        </w:r>
      </w:hyperlink>
    </w:p>
    <w:p w:rsidR="00827E05" w:rsidRDefault="00002B4A">
      <w:pPr>
        <w:pStyle w:val="TOC1"/>
        <w:tabs>
          <w:tab w:val="right" w:leader="dot" w:pos="9350"/>
        </w:tabs>
        <w:rPr>
          <w:rFonts w:asciiTheme="minorHAnsi" w:eastAsiaTheme="minorEastAsia" w:hAnsiTheme="minorHAnsi" w:cstheme="minorBidi"/>
          <w:noProof/>
          <w:szCs w:val="22"/>
        </w:rPr>
      </w:pPr>
      <w:hyperlink w:anchor="_Toc389487642" w:history="1">
        <w:r w:rsidR="00827E05" w:rsidRPr="006E7023">
          <w:rPr>
            <w:rStyle w:val="Hyperlink"/>
            <w:noProof/>
          </w:rPr>
          <w:t>List of Tables</w:t>
        </w:r>
        <w:r w:rsidR="00827E05">
          <w:rPr>
            <w:noProof/>
            <w:webHidden/>
          </w:rPr>
          <w:tab/>
        </w:r>
        <w:r w:rsidR="00827E05">
          <w:rPr>
            <w:noProof/>
            <w:webHidden/>
          </w:rPr>
          <w:fldChar w:fldCharType="begin"/>
        </w:r>
        <w:r w:rsidR="00827E05">
          <w:rPr>
            <w:noProof/>
            <w:webHidden/>
          </w:rPr>
          <w:instrText xml:space="preserve"> PAGEREF _Toc389487642 \h </w:instrText>
        </w:r>
        <w:r w:rsidR="00827E05">
          <w:rPr>
            <w:noProof/>
            <w:webHidden/>
          </w:rPr>
        </w:r>
        <w:r w:rsidR="00827E05">
          <w:rPr>
            <w:noProof/>
            <w:webHidden/>
          </w:rPr>
          <w:fldChar w:fldCharType="separate"/>
        </w:r>
        <w:r w:rsidR="00827E05">
          <w:rPr>
            <w:noProof/>
            <w:webHidden/>
          </w:rPr>
          <w:t>6</w:t>
        </w:r>
        <w:r w:rsidR="00827E05">
          <w:rPr>
            <w:noProof/>
            <w:webHidden/>
          </w:rPr>
          <w:fldChar w:fldCharType="end"/>
        </w:r>
      </w:hyperlink>
    </w:p>
    <w:p w:rsidR="00827E05" w:rsidRDefault="00002B4A">
      <w:pPr>
        <w:pStyle w:val="TOC1"/>
        <w:tabs>
          <w:tab w:val="right" w:leader="dot" w:pos="9350"/>
        </w:tabs>
        <w:rPr>
          <w:rFonts w:asciiTheme="minorHAnsi" w:eastAsiaTheme="minorEastAsia" w:hAnsiTheme="minorHAnsi" w:cstheme="minorBidi"/>
          <w:noProof/>
          <w:szCs w:val="22"/>
        </w:rPr>
      </w:pPr>
      <w:hyperlink w:anchor="_Toc389487643" w:history="1">
        <w:r w:rsidR="00827E05" w:rsidRPr="006E7023">
          <w:rPr>
            <w:rStyle w:val="Hyperlink"/>
            <w:noProof/>
          </w:rPr>
          <w:t>List of Equations</w:t>
        </w:r>
        <w:r w:rsidR="00827E05">
          <w:rPr>
            <w:noProof/>
            <w:webHidden/>
          </w:rPr>
          <w:tab/>
        </w:r>
        <w:r w:rsidR="00827E05">
          <w:rPr>
            <w:noProof/>
            <w:webHidden/>
          </w:rPr>
          <w:fldChar w:fldCharType="begin"/>
        </w:r>
        <w:r w:rsidR="00827E05">
          <w:rPr>
            <w:noProof/>
            <w:webHidden/>
          </w:rPr>
          <w:instrText xml:space="preserve"> PAGEREF _Toc389487643 \h </w:instrText>
        </w:r>
        <w:r w:rsidR="00827E05">
          <w:rPr>
            <w:noProof/>
            <w:webHidden/>
          </w:rPr>
        </w:r>
        <w:r w:rsidR="00827E05">
          <w:rPr>
            <w:noProof/>
            <w:webHidden/>
          </w:rPr>
          <w:fldChar w:fldCharType="separate"/>
        </w:r>
        <w:r w:rsidR="00827E05">
          <w:rPr>
            <w:noProof/>
            <w:webHidden/>
          </w:rPr>
          <w:t>6</w:t>
        </w:r>
        <w:r w:rsidR="00827E05">
          <w:rPr>
            <w:noProof/>
            <w:webHidden/>
          </w:rPr>
          <w:fldChar w:fldCharType="end"/>
        </w:r>
      </w:hyperlink>
    </w:p>
    <w:p w:rsidR="00827E05" w:rsidRDefault="00002B4A">
      <w:pPr>
        <w:pStyle w:val="TOC1"/>
        <w:tabs>
          <w:tab w:val="right" w:leader="dot" w:pos="9350"/>
        </w:tabs>
        <w:rPr>
          <w:rFonts w:asciiTheme="minorHAnsi" w:eastAsiaTheme="minorEastAsia" w:hAnsiTheme="minorHAnsi" w:cstheme="minorBidi"/>
          <w:noProof/>
          <w:szCs w:val="22"/>
        </w:rPr>
      </w:pPr>
      <w:hyperlink w:anchor="_Toc389487644" w:history="1">
        <w:r w:rsidR="00827E05" w:rsidRPr="006E7023">
          <w:rPr>
            <w:rStyle w:val="Hyperlink"/>
            <w:noProof/>
          </w:rPr>
          <w:t>Section 1. General Measure &amp; Baseline Data</w:t>
        </w:r>
        <w:r w:rsidR="00827E05">
          <w:rPr>
            <w:noProof/>
            <w:webHidden/>
          </w:rPr>
          <w:tab/>
        </w:r>
        <w:r w:rsidR="00827E05">
          <w:rPr>
            <w:noProof/>
            <w:webHidden/>
          </w:rPr>
          <w:fldChar w:fldCharType="begin"/>
        </w:r>
        <w:r w:rsidR="00827E05">
          <w:rPr>
            <w:noProof/>
            <w:webHidden/>
          </w:rPr>
          <w:instrText xml:space="preserve"> PAGEREF _Toc389487644 \h </w:instrText>
        </w:r>
        <w:r w:rsidR="00827E05">
          <w:rPr>
            <w:noProof/>
            <w:webHidden/>
          </w:rPr>
        </w:r>
        <w:r w:rsidR="00827E05">
          <w:rPr>
            <w:noProof/>
            <w:webHidden/>
          </w:rPr>
          <w:fldChar w:fldCharType="separate"/>
        </w:r>
        <w:r w:rsidR="00827E05">
          <w:rPr>
            <w:noProof/>
            <w:webHidden/>
          </w:rPr>
          <w:t>7</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45" w:history="1">
        <w:r w:rsidR="00827E05" w:rsidRPr="006E7023">
          <w:rPr>
            <w:rStyle w:val="Hyperlink"/>
            <w:noProof/>
          </w:rPr>
          <w:t>1.1 Product Measure Description &amp; Background</w:t>
        </w:r>
        <w:r w:rsidR="00827E05">
          <w:rPr>
            <w:noProof/>
            <w:webHidden/>
          </w:rPr>
          <w:tab/>
        </w:r>
        <w:r w:rsidR="00827E05">
          <w:rPr>
            <w:noProof/>
            <w:webHidden/>
          </w:rPr>
          <w:fldChar w:fldCharType="begin"/>
        </w:r>
        <w:r w:rsidR="00827E05">
          <w:rPr>
            <w:noProof/>
            <w:webHidden/>
          </w:rPr>
          <w:instrText xml:space="preserve"> PAGEREF _Toc389487645 \h </w:instrText>
        </w:r>
        <w:r w:rsidR="00827E05">
          <w:rPr>
            <w:noProof/>
            <w:webHidden/>
          </w:rPr>
        </w:r>
        <w:r w:rsidR="00827E05">
          <w:rPr>
            <w:noProof/>
            <w:webHidden/>
          </w:rPr>
          <w:fldChar w:fldCharType="separate"/>
        </w:r>
        <w:r w:rsidR="00827E05">
          <w:rPr>
            <w:noProof/>
            <w:webHidden/>
          </w:rPr>
          <w:t>7</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46" w:history="1">
        <w:r w:rsidR="00827E05" w:rsidRPr="006E7023">
          <w:rPr>
            <w:rStyle w:val="Hyperlink"/>
            <w:noProof/>
          </w:rPr>
          <w:t>1.2 Product Technical Description</w:t>
        </w:r>
        <w:r w:rsidR="00827E05">
          <w:rPr>
            <w:noProof/>
            <w:webHidden/>
          </w:rPr>
          <w:tab/>
        </w:r>
        <w:r w:rsidR="00827E05">
          <w:rPr>
            <w:noProof/>
            <w:webHidden/>
          </w:rPr>
          <w:fldChar w:fldCharType="begin"/>
        </w:r>
        <w:r w:rsidR="00827E05">
          <w:rPr>
            <w:noProof/>
            <w:webHidden/>
          </w:rPr>
          <w:instrText xml:space="preserve"> PAGEREF _Toc389487646 \h </w:instrText>
        </w:r>
        <w:r w:rsidR="00827E05">
          <w:rPr>
            <w:noProof/>
            <w:webHidden/>
          </w:rPr>
        </w:r>
        <w:r w:rsidR="00827E05">
          <w:rPr>
            <w:noProof/>
            <w:webHidden/>
          </w:rPr>
          <w:fldChar w:fldCharType="separate"/>
        </w:r>
        <w:r w:rsidR="00827E05">
          <w:rPr>
            <w:noProof/>
            <w:webHidden/>
          </w:rPr>
          <w:t>7</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47" w:history="1">
        <w:r w:rsidR="00827E05" w:rsidRPr="006E7023">
          <w:rPr>
            <w:rStyle w:val="Hyperlink"/>
            <w:noProof/>
          </w:rPr>
          <w:t>1.3 Measure Application Types</w:t>
        </w:r>
        <w:r w:rsidR="00827E05">
          <w:rPr>
            <w:noProof/>
            <w:webHidden/>
          </w:rPr>
          <w:tab/>
        </w:r>
        <w:r w:rsidR="00827E05">
          <w:rPr>
            <w:noProof/>
            <w:webHidden/>
          </w:rPr>
          <w:fldChar w:fldCharType="begin"/>
        </w:r>
        <w:r w:rsidR="00827E05">
          <w:rPr>
            <w:noProof/>
            <w:webHidden/>
          </w:rPr>
          <w:instrText xml:space="preserve"> PAGEREF _Toc389487647 \h </w:instrText>
        </w:r>
        <w:r w:rsidR="00827E05">
          <w:rPr>
            <w:noProof/>
            <w:webHidden/>
          </w:rPr>
        </w:r>
        <w:r w:rsidR="00827E05">
          <w:rPr>
            <w:noProof/>
            <w:webHidden/>
          </w:rPr>
          <w:fldChar w:fldCharType="separate"/>
        </w:r>
        <w:r w:rsidR="00827E05">
          <w:rPr>
            <w:noProof/>
            <w:webHidden/>
          </w:rPr>
          <w:t>8</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48" w:history="1">
        <w:r w:rsidR="00827E05" w:rsidRPr="006E7023">
          <w:rPr>
            <w:rStyle w:val="Hyperlink"/>
            <w:noProof/>
          </w:rPr>
          <w:t>1.4 Product Base Case and Measure Case Data</w:t>
        </w:r>
        <w:r w:rsidR="00827E05">
          <w:rPr>
            <w:noProof/>
            <w:webHidden/>
          </w:rPr>
          <w:tab/>
        </w:r>
        <w:r w:rsidR="00827E05">
          <w:rPr>
            <w:noProof/>
            <w:webHidden/>
          </w:rPr>
          <w:fldChar w:fldCharType="begin"/>
        </w:r>
        <w:r w:rsidR="00827E05">
          <w:rPr>
            <w:noProof/>
            <w:webHidden/>
          </w:rPr>
          <w:instrText xml:space="preserve"> PAGEREF _Toc389487648 \h </w:instrText>
        </w:r>
        <w:r w:rsidR="00827E05">
          <w:rPr>
            <w:noProof/>
            <w:webHidden/>
          </w:rPr>
        </w:r>
        <w:r w:rsidR="00827E05">
          <w:rPr>
            <w:noProof/>
            <w:webHidden/>
          </w:rPr>
          <w:fldChar w:fldCharType="separate"/>
        </w:r>
        <w:r w:rsidR="00827E05">
          <w:rPr>
            <w:noProof/>
            <w:webHidden/>
          </w:rPr>
          <w:t>8</w:t>
        </w:r>
        <w:r w:rsidR="00827E05">
          <w:rPr>
            <w:noProof/>
            <w:webHidden/>
          </w:rPr>
          <w:fldChar w:fldCharType="end"/>
        </w:r>
      </w:hyperlink>
    </w:p>
    <w:p w:rsidR="00827E05" w:rsidRDefault="00002B4A">
      <w:pPr>
        <w:pStyle w:val="TOC3"/>
        <w:tabs>
          <w:tab w:val="right" w:leader="dot" w:pos="9350"/>
        </w:tabs>
        <w:rPr>
          <w:rFonts w:asciiTheme="minorHAnsi" w:eastAsiaTheme="minorEastAsia" w:hAnsiTheme="minorHAnsi" w:cstheme="minorBidi"/>
          <w:noProof/>
          <w:szCs w:val="22"/>
        </w:rPr>
      </w:pPr>
      <w:hyperlink w:anchor="_Toc389487649" w:history="1">
        <w:r w:rsidR="00827E05" w:rsidRPr="006E7023">
          <w:rPr>
            <w:rStyle w:val="Hyperlink"/>
            <w:noProof/>
          </w:rPr>
          <w:t>1.4.1 DEER Base Case and Measure Case Information</w:t>
        </w:r>
        <w:r w:rsidR="00827E05">
          <w:rPr>
            <w:noProof/>
            <w:webHidden/>
          </w:rPr>
          <w:tab/>
        </w:r>
        <w:r w:rsidR="00827E05">
          <w:rPr>
            <w:noProof/>
            <w:webHidden/>
          </w:rPr>
          <w:fldChar w:fldCharType="begin"/>
        </w:r>
        <w:r w:rsidR="00827E05">
          <w:rPr>
            <w:noProof/>
            <w:webHidden/>
          </w:rPr>
          <w:instrText xml:space="preserve"> PAGEREF _Toc389487649 \h </w:instrText>
        </w:r>
        <w:r w:rsidR="00827E05">
          <w:rPr>
            <w:noProof/>
            <w:webHidden/>
          </w:rPr>
        </w:r>
        <w:r w:rsidR="00827E05">
          <w:rPr>
            <w:noProof/>
            <w:webHidden/>
          </w:rPr>
          <w:fldChar w:fldCharType="separate"/>
        </w:r>
        <w:r w:rsidR="00827E05">
          <w:rPr>
            <w:noProof/>
            <w:webHidden/>
          </w:rPr>
          <w:t>8</w:t>
        </w:r>
        <w:r w:rsidR="00827E05">
          <w:rPr>
            <w:noProof/>
            <w:webHidden/>
          </w:rPr>
          <w:fldChar w:fldCharType="end"/>
        </w:r>
      </w:hyperlink>
    </w:p>
    <w:p w:rsidR="00827E05" w:rsidRDefault="00002B4A">
      <w:pPr>
        <w:pStyle w:val="TOC3"/>
        <w:tabs>
          <w:tab w:val="right" w:leader="dot" w:pos="9350"/>
        </w:tabs>
        <w:rPr>
          <w:rFonts w:asciiTheme="minorHAnsi" w:eastAsiaTheme="minorEastAsia" w:hAnsiTheme="minorHAnsi" w:cstheme="minorBidi"/>
          <w:noProof/>
          <w:szCs w:val="22"/>
        </w:rPr>
      </w:pPr>
      <w:hyperlink w:anchor="_Toc389487650" w:history="1">
        <w:r w:rsidR="00827E05" w:rsidRPr="006E7023">
          <w:rPr>
            <w:rStyle w:val="Hyperlink"/>
            <w:noProof/>
          </w:rPr>
          <w:t>1.4.2 Codes &amp; Standards Requirements Base Case and Measure Information</w:t>
        </w:r>
        <w:r w:rsidR="00827E05">
          <w:rPr>
            <w:noProof/>
            <w:webHidden/>
          </w:rPr>
          <w:tab/>
        </w:r>
        <w:r w:rsidR="00827E05">
          <w:rPr>
            <w:noProof/>
            <w:webHidden/>
          </w:rPr>
          <w:fldChar w:fldCharType="begin"/>
        </w:r>
        <w:r w:rsidR="00827E05">
          <w:rPr>
            <w:noProof/>
            <w:webHidden/>
          </w:rPr>
          <w:instrText xml:space="preserve"> PAGEREF _Toc389487650 \h </w:instrText>
        </w:r>
        <w:r w:rsidR="00827E05">
          <w:rPr>
            <w:noProof/>
            <w:webHidden/>
          </w:rPr>
        </w:r>
        <w:r w:rsidR="00827E05">
          <w:rPr>
            <w:noProof/>
            <w:webHidden/>
          </w:rPr>
          <w:fldChar w:fldCharType="separate"/>
        </w:r>
        <w:r w:rsidR="00827E05">
          <w:rPr>
            <w:noProof/>
            <w:webHidden/>
          </w:rPr>
          <w:t>9</w:t>
        </w:r>
        <w:r w:rsidR="00827E05">
          <w:rPr>
            <w:noProof/>
            <w:webHidden/>
          </w:rPr>
          <w:fldChar w:fldCharType="end"/>
        </w:r>
      </w:hyperlink>
    </w:p>
    <w:p w:rsidR="00827E05" w:rsidRDefault="00002B4A">
      <w:pPr>
        <w:pStyle w:val="TOC3"/>
        <w:tabs>
          <w:tab w:val="right" w:leader="dot" w:pos="9350"/>
        </w:tabs>
        <w:rPr>
          <w:rFonts w:asciiTheme="minorHAnsi" w:eastAsiaTheme="minorEastAsia" w:hAnsiTheme="minorHAnsi" w:cstheme="minorBidi"/>
          <w:noProof/>
          <w:szCs w:val="22"/>
        </w:rPr>
      </w:pPr>
      <w:hyperlink w:anchor="_Toc389487651" w:history="1">
        <w:r w:rsidR="00827E05" w:rsidRPr="006E7023">
          <w:rPr>
            <w:rStyle w:val="Hyperlink"/>
            <w:noProof/>
          </w:rPr>
          <w:t>1.4.3 EM&amp;V, Market Potential, and Other Studies – Base Case and Measure Case Information</w:t>
        </w:r>
        <w:r w:rsidR="00827E05">
          <w:rPr>
            <w:noProof/>
            <w:webHidden/>
          </w:rPr>
          <w:tab/>
        </w:r>
        <w:r w:rsidR="00827E05">
          <w:rPr>
            <w:noProof/>
            <w:webHidden/>
          </w:rPr>
          <w:fldChar w:fldCharType="begin"/>
        </w:r>
        <w:r w:rsidR="00827E05">
          <w:rPr>
            <w:noProof/>
            <w:webHidden/>
          </w:rPr>
          <w:instrText xml:space="preserve"> PAGEREF _Toc389487651 \h </w:instrText>
        </w:r>
        <w:r w:rsidR="00827E05">
          <w:rPr>
            <w:noProof/>
            <w:webHidden/>
          </w:rPr>
        </w:r>
        <w:r w:rsidR="00827E05">
          <w:rPr>
            <w:noProof/>
            <w:webHidden/>
          </w:rPr>
          <w:fldChar w:fldCharType="separate"/>
        </w:r>
        <w:r w:rsidR="00827E05">
          <w:rPr>
            <w:noProof/>
            <w:webHidden/>
          </w:rPr>
          <w:t>9</w:t>
        </w:r>
        <w:r w:rsidR="00827E05">
          <w:rPr>
            <w:noProof/>
            <w:webHidden/>
          </w:rPr>
          <w:fldChar w:fldCharType="end"/>
        </w:r>
      </w:hyperlink>
    </w:p>
    <w:p w:rsidR="00827E05" w:rsidRDefault="00002B4A">
      <w:pPr>
        <w:pStyle w:val="TOC3"/>
        <w:tabs>
          <w:tab w:val="right" w:leader="dot" w:pos="9350"/>
        </w:tabs>
        <w:rPr>
          <w:rFonts w:asciiTheme="minorHAnsi" w:eastAsiaTheme="minorEastAsia" w:hAnsiTheme="minorHAnsi" w:cstheme="minorBidi"/>
          <w:noProof/>
          <w:szCs w:val="22"/>
        </w:rPr>
      </w:pPr>
      <w:hyperlink w:anchor="_Toc389487652" w:history="1">
        <w:r w:rsidR="00827E05" w:rsidRPr="006E7023">
          <w:rPr>
            <w:rStyle w:val="Hyperlink"/>
            <w:noProof/>
          </w:rPr>
          <w:t>1.4.4 Assumptions and Calculations from other sources—Base and Measure Cases</w:t>
        </w:r>
        <w:r w:rsidR="00827E05">
          <w:rPr>
            <w:noProof/>
            <w:webHidden/>
          </w:rPr>
          <w:tab/>
        </w:r>
        <w:r w:rsidR="00827E05">
          <w:rPr>
            <w:noProof/>
            <w:webHidden/>
          </w:rPr>
          <w:fldChar w:fldCharType="begin"/>
        </w:r>
        <w:r w:rsidR="00827E05">
          <w:rPr>
            <w:noProof/>
            <w:webHidden/>
          </w:rPr>
          <w:instrText xml:space="preserve"> PAGEREF _Toc389487652 \h </w:instrText>
        </w:r>
        <w:r w:rsidR="00827E05">
          <w:rPr>
            <w:noProof/>
            <w:webHidden/>
          </w:rPr>
        </w:r>
        <w:r w:rsidR="00827E05">
          <w:rPr>
            <w:noProof/>
            <w:webHidden/>
          </w:rPr>
          <w:fldChar w:fldCharType="separate"/>
        </w:r>
        <w:r w:rsidR="00827E05">
          <w:rPr>
            <w:noProof/>
            <w:webHidden/>
          </w:rPr>
          <w:t>9</w:t>
        </w:r>
        <w:r w:rsidR="00827E05">
          <w:rPr>
            <w:noProof/>
            <w:webHidden/>
          </w:rPr>
          <w:fldChar w:fldCharType="end"/>
        </w:r>
      </w:hyperlink>
    </w:p>
    <w:p w:rsidR="00827E05" w:rsidRDefault="00002B4A">
      <w:pPr>
        <w:pStyle w:val="TOC3"/>
        <w:tabs>
          <w:tab w:val="right" w:leader="dot" w:pos="9350"/>
        </w:tabs>
        <w:rPr>
          <w:rFonts w:asciiTheme="minorHAnsi" w:eastAsiaTheme="minorEastAsia" w:hAnsiTheme="minorHAnsi" w:cstheme="minorBidi"/>
          <w:noProof/>
          <w:szCs w:val="22"/>
        </w:rPr>
      </w:pPr>
      <w:hyperlink w:anchor="_Toc389487653" w:history="1">
        <w:r w:rsidR="00827E05" w:rsidRPr="006E7023">
          <w:rPr>
            <w:rStyle w:val="Hyperlink"/>
            <w:noProof/>
          </w:rPr>
          <w:t>1.4.5 Time-of-Use Adjustment Factor</w:t>
        </w:r>
        <w:r w:rsidR="00827E05">
          <w:rPr>
            <w:noProof/>
            <w:webHidden/>
          </w:rPr>
          <w:tab/>
        </w:r>
        <w:r w:rsidR="00827E05">
          <w:rPr>
            <w:noProof/>
            <w:webHidden/>
          </w:rPr>
          <w:fldChar w:fldCharType="begin"/>
        </w:r>
        <w:r w:rsidR="00827E05">
          <w:rPr>
            <w:noProof/>
            <w:webHidden/>
          </w:rPr>
          <w:instrText xml:space="preserve"> PAGEREF _Toc389487653 \h </w:instrText>
        </w:r>
        <w:r w:rsidR="00827E05">
          <w:rPr>
            <w:noProof/>
            <w:webHidden/>
          </w:rPr>
        </w:r>
        <w:r w:rsidR="00827E05">
          <w:rPr>
            <w:noProof/>
            <w:webHidden/>
          </w:rPr>
          <w:fldChar w:fldCharType="separate"/>
        </w:r>
        <w:r w:rsidR="00827E05">
          <w:rPr>
            <w:noProof/>
            <w:webHidden/>
          </w:rPr>
          <w:t>10</w:t>
        </w:r>
        <w:r w:rsidR="00827E05">
          <w:rPr>
            <w:noProof/>
            <w:webHidden/>
          </w:rPr>
          <w:fldChar w:fldCharType="end"/>
        </w:r>
      </w:hyperlink>
    </w:p>
    <w:p w:rsidR="00827E05" w:rsidRDefault="00002B4A">
      <w:pPr>
        <w:pStyle w:val="TOC1"/>
        <w:tabs>
          <w:tab w:val="right" w:leader="dot" w:pos="9350"/>
        </w:tabs>
        <w:rPr>
          <w:rFonts w:asciiTheme="minorHAnsi" w:eastAsiaTheme="minorEastAsia" w:hAnsiTheme="minorHAnsi" w:cstheme="minorBidi"/>
          <w:noProof/>
          <w:szCs w:val="22"/>
        </w:rPr>
      </w:pPr>
      <w:hyperlink w:anchor="_Toc389487654" w:history="1">
        <w:r w:rsidR="00827E05" w:rsidRPr="006E7023">
          <w:rPr>
            <w:rStyle w:val="Hyperlink"/>
            <w:noProof/>
          </w:rPr>
          <w:t>Section 2. Calculation Methods</w:t>
        </w:r>
        <w:r w:rsidR="00827E05">
          <w:rPr>
            <w:noProof/>
            <w:webHidden/>
          </w:rPr>
          <w:tab/>
        </w:r>
        <w:r w:rsidR="00827E05">
          <w:rPr>
            <w:noProof/>
            <w:webHidden/>
          </w:rPr>
          <w:fldChar w:fldCharType="begin"/>
        </w:r>
        <w:r w:rsidR="00827E05">
          <w:rPr>
            <w:noProof/>
            <w:webHidden/>
          </w:rPr>
          <w:instrText xml:space="preserve"> PAGEREF _Toc389487654 \h </w:instrText>
        </w:r>
        <w:r w:rsidR="00827E05">
          <w:rPr>
            <w:noProof/>
            <w:webHidden/>
          </w:rPr>
        </w:r>
        <w:r w:rsidR="00827E05">
          <w:rPr>
            <w:noProof/>
            <w:webHidden/>
          </w:rPr>
          <w:fldChar w:fldCharType="separate"/>
        </w:r>
        <w:r w:rsidR="00827E05">
          <w:rPr>
            <w:noProof/>
            <w:webHidden/>
          </w:rPr>
          <w:t>11</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55" w:history="1">
        <w:r w:rsidR="00827E05" w:rsidRPr="006E7023">
          <w:rPr>
            <w:rStyle w:val="Hyperlink"/>
            <w:noProof/>
          </w:rPr>
          <w:t>Measure Application Type</w:t>
        </w:r>
        <w:r w:rsidR="00827E05">
          <w:rPr>
            <w:noProof/>
            <w:webHidden/>
          </w:rPr>
          <w:tab/>
        </w:r>
        <w:r w:rsidR="00827E05">
          <w:rPr>
            <w:noProof/>
            <w:webHidden/>
          </w:rPr>
          <w:fldChar w:fldCharType="begin"/>
        </w:r>
        <w:r w:rsidR="00827E05">
          <w:rPr>
            <w:noProof/>
            <w:webHidden/>
          </w:rPr>
          <w:instrText xml:space="preserve"> PAGEREF _Toc389487655 \h </w:instrText>
        </w:r>
        <w:r w:rsidR="00827E05">
          <w:rPr>
            <w:noProof/>
            <w:webHidden/>
          </w:rPr>
        </w:r>
        <w:r w:rsidR="00827E05">
          <w:rPr>
            <w:noProof/>
            <w:webHidden/>
          </w:rPr>
          <w:fldChar w:fldCharType="separate"/>
        </w:r>
        <w:r w:rsidR="00827E05">
          <w:rPr>
            <w:noProof/>
            <w:webHidden/>
          </w:rPr>
          <w:t>11</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56" w:history="1">
        <w:r w:rsidR="00827E05" w:rsidRPr="006E7023">
          <w:rPr>
            <w:rStyle w:val="Hyperlink"/>
            <w:noProof/>
          </w:rPr>
          <w:t>Measure Life Basis</w:t>
        </w:r>
        <w:r w:rsidR="00827E05">
          <w:rPr>
            <w:noProof/>
            <w:webHidden/>
          </w:rPr>
          <w:tab/>
        </w:r>
        <w:r w:rsidR="00827E05">
          <w:rPr>
            <w:noProof/>
            <w:webHidden/>
          </w:rPr>
          <w:fldChar w:fldCharType="begin"/>
        </w:r>
        <w:r w:rsidR="00827E05">
          <w:rPr>
            <w:noProof/>
            <w:webHidden/>
          </w:rPr>
          <w:instrText xml:space="preserve"> PAGEREF _Toc389487656 \h </w:instrText>
        </w:r>
        <w:r w:rsidR="00827E05">
          <w:rPr>
            <w:noProof/>
            <w:webHidden/>
          </w:rPr>
        </w:r>
        <w:r w:rsidR="00827E05">
          <w:rPr>
            <w:noProof/>
            <w:webHidden/>
          </w:rPr>
          <w:fldChar w:fldCharType="separate"/>
        </w:r>
        <w:r w:rsidR="00827E05">
          <w:rPr>
            <w:noProof/>
            <w:webHidden/>
          </w:rPr>
          <w:t>11</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57" w:history="1">
        <w:r w:rsidR="00827E05" w:rsidRPr="006E7023">
          <w:rPr>
            <w:rStyle w:val="Hyperlink"/>
            <w:noProof/>
          </w:rPr>
          <w:t>First Baseline Period: Energy Savings Baseline</w:t>
        </w:r>
        <w:r w:rsidR="00827E05">
          <w:rPr>
            <w:noProof/>
            <w:webHidden/>
          </w:rPr>
          <w:tab/>
        </w:r>
        <w:r w:rsidR="00827E05">
          <w:rPr>
            <w:noProof/>
            <w:webHidden/>
          </w:rPr>
          <w:fldChar w:fldCharType="begin"/>
        </w:r>
        <w:r w:rsidR="00827E05">
          <w:rPr>
            <w:noProof/>
            <w:webHidden/>
          </w:rPr>
          <w:instrText xml:space="preserve"> PAGEREF _Toc389487657 \h </w:instrText>
        </w:r>
        <w:r w:rsidR="00827E05">
          <w:rPr>
            <w:noProof/>
            <w:webHidden/>
          </w:rPr>
        </w:r>
        <w:r w:rsidR="00827E05">
          <w:rPr>
            <w:noProof/>
            <w:webHidden/>
          </w:rPr>
          <w:fldChar w:fldCharType="separate"/>
        </w:r>
        <w:r w:rsidR="00827E05">
          <w:rPr>
            <w:noProof/>
            <w:webHidden/>
          </w:rPr>
          <w:t>11</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58" w:history="1">
        <w:r w:rsidR="00827E05" w:rsidRPr="006E7023">
          <w:rPr>
            <w:rStyle w:val="Hyperlink"/>
            <w:noProof/>
          </w:rPr>
          <w:t>Second Baseline Period: Energy Savings Baseline</w:t>
        </w:r>
        <w:r w:rsidR="00827E05">
          <w:rPr>
            <w:noProof/>
            <w:webHidden/>
          </w:rPr>
          <w:tab/>
        </w:r>
        <w:r w:rsidR="00827E05">
          <w:rPr>
            <w:noProof/>
            <w:webHidden/>
          </w:rPr>
          <w:fldChar w:fldCharType="begin"/>
        </w:r>
        <w:r w:rsidR="00827E05">
          <w:rPr>
            <w:noProof/>
            <w:webHidden/>
          </w:rPr>
          <w:instrText xml:space="preserve"> PAGEREF _Toc389487658 \h </w:instrText>
        </w:r>
        <w:r w:rsidR="00827E05">
          <w:rPr>
            <w:noProof/>
            <w:webHidden/>
          </w:rPr>
        </w:r>
        <w:r w:rsidR="00827E05">
          <w:rPr>
            <w:noProof/>
            <w:webHidden/>
          </w:rPr>
          <w:fldChar w:fldCharType="separate"/>
        </w:r>
        <w:r w:rsidR="00827E05">
          <w:rPr>
            <w:noProof/>
            <w:webHidden/>
          </w:rPr>
          <w:t>11</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59" w:history="1">
        <w:r w:rsidR="00827E05" w:rsidRPr="006E7023">
          <w:rPr>
            <w:rStyle w:val="Hyperlink"/>
            <w:noProof/>
          </w:rPr>
          <w:t>2.1 Electric Energy Savings Estimation Methodologies</w:t>
        </w:r>
        <w:r w:rsidR="00827E05">
          <w:rPr>
            <w:noProof/>
            <w:webHidden/>
          </w:rPr>
          <w:tab/>
        </w:r>
        <w:r w:rsidR="00827E05">
          <w:rPr>
            <w:noProof/>
            <w:webHidden/>
          </w:rPr>
          <w:fldChar w:fldCharType="begin"/>
        </w:r>
        <w:r w:rsidR="00827E05">
          <w:rPr>
            <w:noProof/>
            <w:webHidden/>
          </w:rPr>
          <w:instrText xml:space="preserve"> PAGEREF _Toc389487659 \h </w:instrText>
        </w:r>
        <w:r w:rsidR="00827E05">
          <w:rPr>
            <w:noProof/>
            <w:webHidden/>
          </w:rPr>
        </w:r>
        <w:r w:rsidR="00827E05">
          <w:rPr>
            <w:noProof/>
            <w:webHidden/>
          </w:rPr>
          <w:fldChar w:fldCharType="separate"/>
        </w:r>
        <w:r w:rsidR="00827E05">
          <w:rPr>
            <w:noProof/>
            <w:webHidden/>
          </w:rPr>
          <w:t>11</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60" w:history="1">
        <w:r w:rsidR="00827E05" w:rsidRPr="006E7023">
          <w:rPr>
            <w:rStyle w:val="Hyperlink"/>
            <w:noProof/>
          </w:rPr>
          <w:t>2.2. Demand Reduction Estimation Methodologies</w:t>
        </w:r>
        <w:r w:rsidR="00827E05">
          <w:rPr>
            <w:noProof/>
            <w:webHidden/>
          </w:rPr>
          <w:tab/>
        </w:r>
        <w:r w:rsidR="00827E05">
          <w:rPr>
            <w:noProof/>
            <w:webHidden/>
          </w:rPr>
          <w:fldChar w:fldCharType="begin"/>
        </w:r>
        <w:r w:rsidR="00827E05">
          <w:rPr>
            <w:noProof/>
            <w:webHidden/>
          </w:rPr>
          <w:instrText xml:space="preserve"> PAGEREF _Toc389487660 \h </w:instrText>
        </w:r>
        <w:r w:rsidR="00827E05">
          <w:rPr>
            <w:noProof/>
            <w:webHidden/>
          </w:rPr>
        </w:r>
        <w:r w:rsidR="00827E05">
          <w:rPr>
            <w:noProof/>
            <w:webHidden/>
          </w:rPr>
          <w:fldChar w:fldCharType="separate"/>
        </w:r>
        <w:r w:rsidR="00827E05">
          <w:rPr>
            <w:noProof/>
            <w:webHidden/>
          </w:rPr>
          <w:t>12</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61" w:history="1">
        <w:r w:rsidR="00827E05" w:rsidRPr="006E7023">
          <w:rPr>
            <w:rStyle w:val="Hyperlink"/>
            <w:noProof/>
          </w:rPr>
          <w:t>2.3. Gas Energy Savings Estimation Methodologies</w:t>
        </w:r>
        <w:r w:rsidR="00827E05">
          <w:rPr>
            <w:noProof/>
            <w:webHidden/>
          </w:rPr>
          <w:tab/>
        </w:r>
        <w:r w:rsidR="00827E05">
          <w:rPr>
            <w:noProof/>
            <w:webHidden/>
          </w:rPr>
          <w:fldChar w:fldCharType="begin"/>
        </w:r>
        <w:r w:rsidR="00827E05">
          <w:rPr>
            <w:noProof/>
            <w:webHidden/>
          </w:rPr>
          <w:instrText xml:space="preserve"> PAGEREF _Toc389487661 \h </w:instrText>
        </w:r>
        <w:r w:rsidR="00827E05">
          <w:rPr>
            <w:noProof/>
            <w:webHidden/>
          </w:rPr>
        </w:r>
        <w:r w:rsidR="00827E05">
          <w:rPr>
            <w:noProof/>
            <w:webHidden/>
          </w:rPr>
          <w:fldChar w:fldCharType="separate"/>
        </w:r>
        <w:r w:rsidR="00827E05">
          <w:rPr>
            <w:noProof/>
            <w:webHidden/>
          </w:rPr>
          <w:t>12</w:t>
        </w:r>
        <w:r w:rsidR="00827E05">
          <w:rPr>
            <w:noProof/>
            <w:webHidden/>
          </w:rPr>
          <w:fldChar w:fldCharType="end"/>
        </w:r>
      </w:hyperlink>
    </w:p>
    <w:p w:rsidR="00827E05" w:rsidRDefault="00002B4A">
      <w:pPr>
        <w:pStyle w:val="TOC1"/>
        <w:tabs>
          <w:tab w:val="right" w:leader="dot" w:pos="9350"/>
        </w:tabs>
        <w:rPr>
          <w:rFonts w:asciiTheme="minorHAnsi" w:eastAsiaTheme="minorEastAsia" w:hAnsiTheme="minorHAnsi" w:cstheme="minorBidi"/>
          <w:noProof/>
          <w:szCs w:val="22"/>
        </w:rPr>
      </w:pPr>
      <w:hyperlink w:anchor="_Toc389487662" w:history="1">
        <w:r w:rsidR="00827E05" w:rsidRPr="006E7023">
          <w:rPr>
            <w:rStyle w:val="Hyperlink"/>
            <w:noProof/>
          </w:rPr>
          <w:t>Section 3. Load Shapes</w:t>
        </w:r>
        <w:r w:rsidR="00827E05">
          <w:rPr>
            <w:noProof/>
            <w:webHidden/>
          </w:rPr>
          <w:tab/>
        </w:r>
        <w:r w:rsidR="00827E05">
          <w:rPr>
            <w:noProof/>
            <w:webHidden/>
          </w:rPr>
          <w:fldChar w:fldCharType="begin"/>
        </w:r>
        <w:r w:rsidR="00827E05">
          <w:rPr>
            <w:noProof/>
            <w:webHidden/>
          </w:rPr>
          <w:instrText xml:space="preserve"> PAGEREF _Toc389487662 \h </w:instrText>
        </w:r>
        <w:r w:rsidR="00827E05">
          <w:rPr>
            <w:noProof/>
            <w:webHidden/>
          </w:rPr>
        </w:r>
        <w:r w:rsidR="00827E05">
          <w:rPr>
            <w:noProof/>
            <w:webHidden/>
          </w:rPr>
          <w:fldChar w:fldCharType="separate"/>
        </w:r>
        <w:r w:rsidR="00827E05">
          <w:rPr>
            <w:noProof/>
            <w:webHidden/>
          </w:rPr>
          <w:t>12</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63" w:history="1">
        <w:r w:rsidR="00827E05" w:rsidRPr="006E7023">
          <w:rPr>
            <w:rStyle w:val="Hyperlink"/>
            <w:noProof/>
          </w:rPr>
          <w:t>3.1 Base Case Load Shapes</w:t>
        </w:r>
        <w:r w:rsidR="00827E05">
          <w:rPr>
            <w:noProof/>
            <w:webHidden/>
          </w:rPr>
          <w:tab/>
        </w:r>
        <w:r w:rsidR="00827E05">
          <w:rPr>
            <w:noProof/>
            <w:webHidden/>
          </w:rPr>
          <w:fldChar w:fldCharType="begin"/>
        </w:r>
        <w:r w:rsidR="00827E05">
          <w:rPr>
            <w:noProof/>
            <w:webHidden/>
          </w:rPr>
          <w:instrText xml:space="preserve"> PAGEREF _Toc389487663 \h </w:instrText>
        </w:r>
        <w:r w:rsidR="00827E05">
          <w:rPr>
            <w:noProof/>
            <w:webHidden/>
          </w:rPr>
        </w:r>
        <w:r w:rsidR="00827E05">
          <w:rPr>
            <w:noProof/>
            <w:webHidden/>
          </w:rPr>
          <w:fldChar w:fldCharType="separate"/>
        </w:r>
        <w:r w:rsidR="00827E05">
          <w:rPr>
            <w:noProof/>
            <w:webHidden/>
          </w:rPr>
          <w:t>12</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64" w:history="1">
        <w:r w:rsidR="00827E05" w:rsidRPr="006E7023">
          <w:rPr>
            <w:rStyle w:val="Hyperlink"/>
            <w:noProof/>
          </w:rPr>
          <w:t>3.2 Measure Load Shapes</w:t>
        </w:r>
        <w:r w:rsidR="00827E05">
          <w:rPr>
            <w:noProof/>
            <w:webHidden/>
          </w:rPr>
          <w:tab/>
        </w:r>
        <w:r w:rsidR="00827E05">
          <w:rPr>
            <w:noProof/>
            <w:webHidden/>
          </w:rPr>
          <w:fldChar w:fldCharType="begin"/>
        </w:r>
        <w:r w:rsidR="00827E05">
          <w:rPr>
            <w:noProof/>
            <w:webHidden/>
          </w:rPr>
          <w:instrText xml:space="preserve"> PAGEREF _Toc389487664 \h </w:instrText>
        </w:r>
        <w:r w:rsidR="00827E05">
          <w:rPr>
            <w:noProof/>
            <w:webHidden/>
          </w:rPr>
        </w:r>
        <w:r w:rsidR="00827E05">
          <w:rPr>
            <w:noProof/>
            <w:webHidden/>
          </w:rPr>
          <w:fldChar w:fldCharType="separate"/>
        </w:r>
        <w:r w:rsidR="00827E05">
          <w:rPr>
            <w:noProof/>
            <w:webHidden/>
          </w:rPr>
          <w:t>13</w:t>
        </w:r>
        <w:r w:rsidR="00827E05">
          <w:rPr>
            <w:noProof/>
            <w:webHidden/>
          </w:rPr>
          <w:fldChar w:fldCharType="end"/>
        </w:r>
      </w:hyperlink>
    </w:p>
    <w:p w:rsidR="00827E05" w:rsidRDefault="00002B4A">
      <w:pPr>
        <w:pStyle w:val="TOC1"/>
        <w:tabs>
          <w:tab w:val="right" w:leader="dot" w:pos="9350"/>
        </w:tabs>
        <w:rPr>
          <w:rFonts w:asciiTheme="minorHAnsi" w:eastAsiaTheme="minorEastAsia" w:hAnsiTheme="minorHAnsi" w:cstheme="minorBidi"/>
          <w:noProof/>
          <w:szCs w:val="22"/>
        </w:rPr>
      </w:pPr>
      <w:hyperlink w:anchor="_Toc389487665" w:history="1">
        <w:r w:rsidR="00827E05" w:rsidRPr="006E7023">
          <w:rPr>
            <w:rStyle w:val="Hyperlink"/>
            <w:noProof/>
          </w:rPr>
          <w:t>Section 4. Base Case &amp; Measure Costs</w:t>
        </w:r>
        <w:r w:rsidR="00827E05">
          <w:rPr>
            <w:noProof/>
            <w:webHidden/>
          </w:rPr>
          <w:tab/>
        </w:r>
        <w:r w:rsidR="00827E05">
          <w:rPr>
            <w:noProof/>
            <w:webHidden/>
          </w:rPr>
          <w:fldChar w:fldCharType="begin"/>
        </w:r>
        <w:r w:rsidR="00827E05">
          <w:rPr>
            <w:noProof/>
            <w:webHidden/>
          </w:rPr>
          <w:instrText xml:space="preserve"> PAGEREF _Toc389487665 \h </w:instrText>
        </w:r>
        <w:r w:rsidR="00827E05">
          <w:rPr>
            <w:noProof/>
            <w:webHidden/>
          </w:rPr>
        </w:r>
        <w:r w:rsidR="00827E05">
          <w:rPr>
            <w:noProof/>
            <w:webHidden/>
          </w:rPr>
          <w:fldChar w:fldCharType="separate"/>
        </w:r>
        <w:r w:rsidR="00827E05">
          <w:rPr>
            <w:noProof/>
            <w:webHidden/>
          </w:rPr>
          <w:t>13</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66" w:history="1">
        <w:r w:rsidR="00827E05" w:rsidRPr="006E7023">
          <w:rPr>
            <w:rStyle w:val="Hyperlink"/>
            <w:noProof/>
          </w:rPr>
          <w:t>4.1 Base Case(s) Costs</w:t>
        </w:r>
        <w:r w:rsidR="00827E05">
          <w:rPr>
            <w:noProof/>
            <w:webHidden/>
          </w:rPr>
          <w:tab/>
        </w:r>
        <w:r w:rsidR="00827E05">
          <w:rPr>
            <w:noProof/>
            <w:webHidden/>
          </w:rPr>
          <w:fldChar w:fldCharType="begin"/>
        </w:r>
        <w:r w:rsidR="00827E05">
          <w:rPr>
            <w:noProof/>
            <w:webHidden/>
          </w:rPr>
          <w:instrText xml:space="preserve"> PAGEREF _Toc389487666 \h </w:instrText>
        </w:r>
        <w:r w:rsidR="00827E05">
          <w:rPr>
            <w:noProof/>
            <w:webHidden/>
          </w:rPr>
        </w:r>
        <w:r w:rsidR="00827E05">
          <w:rPr>
            <w:noProof/>
            <w:webHidden/>
          </w:rPr>
          <w:fldChar w:fldCharType="separate"/>
        </w:r>
        <w:r w:rsidR="00827E05">
          <w:rPr>
            <w:noProof/>
            <w:webHidden/>
          </w:rPr>
          <w:t>14</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67" w:history="1">
        <w:r w:rsidR="00827E05" w:rsidRPr="006E7023">
          <w:rPr>
            <w:rStyle w:val="Hyperlink"/>
            <w:noProof/>
          </w:rPr>
          <w:t>4.2 Measure Case Costs</w:t>
        </w:r>
        <w:r w:rsidR="00827E05">
          <w:rPr>
            <w:noProof/>
            <w:webHidden/>
          </w:rPr>
          <w:tab/>
        </w:r>
        <w:r w:rsidR="00827E05">
          <w:rPr>
            <w:noProof/>
            <w:webHidden/>
          </w:rPr>
          <w:fldChar w:fldCharType="begin"/>
        </w:r>
        <w:r w:rsidR="00827E05">
          <w:rPr>
            <w:noProof/>
            <w:webHidden/>
          </w:rPr>
          <w:instrText xml:space="preserve"> PAGEREF _Toc389487667 \h </w:instrText>
        </w:r>
        <w:r w:rsidR="00827E05">
          <w:rPr>
            <w:noProof/>
            <w:webHidden/>
          </w:rPr>
        </w:r>
        <w:r w:rsidR="00827E05">
          <w:rPr>
            <w:noProof/>
            <w:webHidden/>
          </w:rPr>
          <w:fldChar w:fldCharType="separate"/>
        </w:r>
        <w:r w:rsidR="00827E05">
          <w:rPr>
            <w:noProof/>
            <w:webHidden/>
          </w:rPr>
          <w:t>14</w:t>
        </w:r>
        <w:r w:rsidR="00827E05">
          <w:rPr>
            <w:noProof/>
            <w:webHidden/>
          </w:rPr>
          <w:fldChar w:fldCharType="end"/>
        </w:r>
      </w:hyperlink>
    </w:p>
    <w:p w:rsidR="00827E05" w:rsidRDefault="00002B4A">
      <w:pPr>
        <w:pStyle w:val="TOC2"/>
        <w:tabs>
          <w:tab w:val="right" w:leader="dot" w:pos="9350"/>
        </w:tabs>
        <w:rPr>
          <w:rFonts w:asciiTheme="minorHAnsi" w:eastAsiaTheme="minorEastAsia" w:hAnsiTheme="minorHAnsi" w:cstheme="minorBidi"/>
          <w:noProof/>
          <w:szCs w:val="22"/>
        </w:rPr>
      </w:pPr>
      <w:hyperlink w:anchor="_Toc389487668" w:history="1">
        <w:r w:rsidR="00827E05" w:rsidRPr="006E7023">
          <w:rPr>
            <w:rStyle w:val="Hyperlink"/>
            <w:noProof/>
          </w:rPr>
          <w:t>4.3 Incremental &amp; Full Measure Costs</w:t>
        </w:r>
        <w:r w:rsidR="00827E05">
          <w:rPr>
            <w:noProof/>
            <w:webHidden/>
          </w:rPr>
          <w:tab/>
        </w:r>
        <w:r w:rsidR="00827E05">
          <w:rPr>
            <w:noProof/>
            <w:webHidden/>
          </w:rPr>
          <w:fldChar w:fldCharType="begin"/>
        </w:r>
        <w:r w:rsidR="00827E05">
          <w:rPr>
            <w:noProof/>
            <w:webHidden/>
          </w:rPr>
          <w:instrText xml:space="preserve"> PAGEREF _Toc389487668 \h </w:instrText>
        </w:r>
        <w:r w:rsidR="00827E05">
          <w:rPr>
            <w:noProof/>
            <w:webHidden/>
          </w:rPr>
        </w:r>
        <w:r w:rsidR="00827E05">
          <w:rPr>
            <w:noProof/>
            <w:webHidden/>
          </w:rPr>
          <w:fldChar w:fldCharType="separate"/>
        </w:r>
        <w:r w:rsidR="00827E05">
          <w:rPr>
            <w:noProof/>
            <w:webHidden/>
          </w:rPr>
          <w:t>14</w:t>
        </w:r>
        <w:r w:rsidR="00827E05">
          <w:rPr>
            <w:noProof/>
            <w:webHidden/>
          </w:rPr>
          <w:fldChar w:fldCharType="end"/>
        </w:r>
      </w:hyperlink>
    </w:p>
    <w:p w:rsidR="00827E05" w:rsidRDefault="00002B4A">
      <w:pPr>
        <w:pStyle w:val="TOC3"/>
        <w:tabs>
          <w:tab w:val="right" w:leader="dot" w:pos="9350"/>
        </w:tabs>
        <w:rPr>
          <w:rFonts w:asciiTheme="minorHAnsi" w:eastAsiaTheme="minorEastAsia" w:hAnsiTheme="minorHAnsi" w:cstheme="minorBidi"/>
          <w:noProof/>
          <w:szCs w:val="22"/>
        </w:rPr>
      </w:pPr>
      <w:hyperlink w:anchor="_Toc389487669" w:history="1">
        <w:r w:rsidR="00827E05" w:rsidRPr="006E7023">
          <w:rPr>
            <w:rStyle w:val="Hyperlink"/>
            <w:noProof/>
          </w:rPr>
          <w:t>4.3.1 Full Measure Cost</w:t>
        </w:r>
        <w:r w:rsidR="00827E05">
          <w:rPr>
            <w:noProof/>
            <w:webHidden/>
          </w:rPr>
          <w:tab/>
        </w:r>
        <w:r w:rsidR="00827E05">
          <w:rPr>
            <w:noProof/>
            <w:webHidden/>
          </w:rPr>
          <w:fldChar w:fldCharType="begin"/>
        </w:r>
        <w:r w:rsidR="00827E05">
          <w:rPr>
            <w:noProof/>
            <w:webHidden/>
          </w:rPr>
          <w:instrText xml:space="preserve"> PAGEREF _Toc389487669 \h </w:instrText>
        </w:r>
        <w:r w:rsidR="00827E05">
          <w:rPr>
            <w:noProof/>
            <w:webHidden/>
          </w:rPr>
        </w:r>
        <w:r w:rsidR="00827E05">
          <w:rPr>
            <w:noProof/>
            <w:webHidden/>
          </w:rPr>
          <w:fldChar w:fldCharType="separate"/>
        </w:r>
        <w:r w:rsidR="00827E05">
          <w:rPr>
            <w:noProof/>
            <w:webHidden/>
          </w:rPr>
          <w:t>14</w:t>
        </w:r>
        <w:r w:rsidR="00827E05">
          <w:rPr>
            <w:noProof/>
            <w:webHidden/>
          </w:rPr>
          <w:fldChar w:fldCharType="end"/>
        </w:r>
      </w:hyperlink>
    </w:p>
    <w:p w:rsidR="00827E05" w:rsidRDefault="00002B4A">
      <w:pPr>
        <w:pStyle w:val="TOC3"/>
        <w:tabs>
          <w:tab w:val="right" w:leader="dot" w:pos="9350"/>
        </w:tabs>
        <w:rPr>
          <w:rFonts w:asciiTheme="minorHAnsi" w:eastAsiaTheme="minorEastAsia" w:hAnsiTheme="minorHAnsi" w:cstheme="minorBidi"/>
          <w:noProof/>
          <w:szCs w:val="22"/>
        </w:rPr>
      </w:pPr>
      <w:hyperlink w:anchor="_Toc389487670" w:history="1">
        <w:r w:rsidR="00827E05" w:rsidRPr="006E7023">
          <w:rPr>
            <w:rStyle w:val="Hyperlink"/>
            <w:noProof/>
          </w:rPr>
          <w:t>4.3.2 Incremental Measure Costs</w:t>
        </w:r>
        <w:r w:rsidR="00827E05">
          <w:rPr>
            <w:noProof/>
            <w:webHidden/>
          </w:rPr>
          <w:tab/>
        </w:r>
        <w:r w:rsidR="00827E05">
          <w:rPr>
            <w:noProof/>
            <w:webHidden/>
          </w:rPr>
          <w:fldChar w:fldCharType="begin"/>
        </w:r>
        <w:r w:rsidR="00827E05">
          <w:rPr>
            <w:noProof/>
            <w:webHidden/>
          </w:rPr>
          <w:instrText xml:space="preserve"> PAGEREF _Toc389487670 \h </w:instrText>
        </w:r>
        <w:r w:rsidR="00827E05">
          <w:rPr>
            <w:noProof/>
            <w:webHidden/>
          </w:rPr>
        </w:r>
        <w:r w:rsidR="00827E05">
          <w:rPr>
            <w:noProof/>
            <w:webHidden/>
          </w:rPr>
          <w:fldChar w:fldCharType="separate"/>
        </w:r>
        <w:r w:rsidR="00827E05">
          <w:rPr>
            <w:noProof/>
            <w:webHidden/>
          </w:rPr>
          <w:t>15</w:t>
        </w:r>
        <w:r w:rsidR="00827E05">
          <w:rPr>
            <w:noProof/>
            <w:webHidden/>
          </w:rPr>
          <w:fldChar w:fldCharType="end"/>
        </w:r>
      </w:hyperlink>
    </w:p>
    <w:p w:rsidR="00827E05" w:rsidRDefault="00002B4A">
      <w:pPr>
        <w:pStyle w:val="TOC1"/>
        <w:tabs>
          <w:tab w:val="right" w:leader="dot" w:pos="9350"/>
        </w:tabs>
        <w:rPr>
          <w:rFonts w:asciiTheme="minorHAnsi" w:eastAsiaTheme="minorEastAsia" w:hAnsiTheme="minorHAnsi" w:cstheme="minorBidi"/>
          <w:noProof/>
          <w:szCs w:val="22"/>
        </w:rPr>
      </w:pPr>
      <w:hyperlink w:anchor="_Toc389487671" w:history="1">
        <w:r w:rsidR="00827E05" w:rsidRPr="006E7023">
          <w:rPr>
            <w:rStyle w:val="Hyperlink"/>
            <w:noProof/>
          </w:rPr>
          <w:t>References</w:t>
        </w:r>
        <w:r w:rsidR="00827E05">
          <w:rPr>
            <w:noProof/>
            <w:webHidden/>
          </w:rPr>
          <w:tab/>
        </w:r>
        <w:r w:rsidR="00827E05">
          <w:rPr>
            <w:noProof/>
            <w:webHidden/>
          </w:rPr>
          <w:fldChar w:fldCharType="begin"/>
        </w:r>
        <w:r w:rsidR="00827E05">
          <w:rPr>
            <w:noProof/>
            <w:webHidden/>
          </w:rPr>
          <w:instrText xml:space="preserve"> PAGEREF _Toc389487671 \h </w:instrText>
        </w:r>
        <w:r w:rsidR="00827E05">
          <w:rPr>
            <w:noProof/>
            <w:webHidden/>
          </w:rPr>
        </w:r>
        <w:r w:rsidR="00827E05">
          <w:rPr>
            <w:noProof/>
            <w:webHidden/>
          </w:rPr>
          <w:fldChar w:fldCharType="separate"/>
        </w:r>
        <w:r w:rsidR="00827E05">
          <w:rPr>
            <w:noProof/>
            <w:webHidden/>
          </w:rPr>
          <w:t>15</w:t>
        </w:r>
        <w:r w:rsidR="00827E05">
          <w:rPr>
            <w:noProof/>
            <w:webHidden/>
          </w:rPr>
          <w:fldChar w:fldCharType="end"/>
        </w:r>
      </w:hyperlink>
    </w:p>
    <w:p w:rsidR="00B51A4B" w:rsidRDefault="00CE6855" w:rsidP="00923FD4">
      <w:pPr>
        <w:pStyle w:val="TOC1"/>
        <w:tabs>
          <w:tab w:val="right" w:leader="dot" w:pos="9350"/>
        </w:tabs>
        <w:rPr>
          <w:rFonts w:asciiTheme="minorHAnsi" w:eastAsiaTheme="minorEastAsia" w:hAnsiTheme="minorHAnsi" w:cstheme="minorBidi"/>
          <w:noProof/>
          <w:szCs w:val="22"/>
        </w:rPr>
      </w:pPr>
      <w:r>
        <w:rPr>
          <w:rFonts w:cs="Arial"/>
          <w:b/>
          <w:bCs/>
          <w:szCs w:val="22"/>
        </w:rPr>
        <w:fldChar w:fldCharType="end"/>
      </w:r>
      <w:r w:rsidR="00D2400A" w:rsidRPr="008C6A2F">
        <w:rPr>
          <w:rFonts w:cs="Arial"/>
          <w:b/>
          <w:bCs/>
          <w:szCs w:val="22"/>
        </w:rPr>
        <w:fldChar w:fldCharType="begin"/>
      </w:r>
      <w:r w:rsidR="00B624B3" w:rsidRPr="008C6A2F">
        <w:rPr>
          <w:rFonts w:cs="Arial"/>
          <w:b/>
          <w:bCs/>
          <w:szCs w:val="22"/>
        </w:rPr>
        <w:instrText xml:space="preserve"> TOC \o "1-3" \h \z \u </w:instrText>
      </w:r>
      <w:r w:rsidR="00D2400A" w:rsidRPr="008C6A2F">
        <w:rPr>
          <w:rFonts w:cs="Arial"/>
          <w:b/>
          <w:bCs/>
          <w:szCs w:val="22"/>
        </w:rPr>
        <w:fldChar w:fldCharType="separate"/>
      </w:r>
    </w:p>
    <w:p w:rsidR="00B624B3" w:rsidRDefault="00D2400A" w:rsidP="00B624B3">
      <w:pPr>
        <w:pStyle w:val="Heading1"/>
      </w:pPr>
      <w:r w:rsidRPr="008C6A2F">
        <w:rPr>
          <w:b w:val="0"/>
          <w:bCs w:val="0"/>
          <w:kern w:val="0"/>
          <w:sz w:val="22"/>
          <w:szCs w:val="22"/>
        </w:rPr>
        <w:fldChar w:fldCharType="end"/>
      </w:r>
      <w:bookmarkStart w:id="13" w:name="_Toc172205729"/>
      <w:bookmarkStart w:id="14" w:name="_Toc387911994"/>
      <w:bookmarkStart w:id="15" w:name="_Toc389487642"/>
      <w:r w:rsidR="00B624B3">
        <w:t>List of Tables</w:t>
      </w:r>
      <w:bookmarkEnd w:id="13"/>
      <w:bookmarkEnd w:id="14"/>
      <w:bookmarkEnd w:id="15"/>
    </w:p>
    <w:p w:rsidR="00C32D6C" w:rsidRPr="00C32D6C" w:rsidRDefault="00C32D6C" w:rsidP="00C32D6C"/>
    <w:p w:rsidR="00C32D6C" w:rsidRDefault="00CE6855">
      <w:pPr>
        <w:pStyle w:val="TableofFigures"/>
        <w:tabs>
          <w:tab w:val="right" w:leader="dot" w:pos="9350"/>
        </w:tabs>
        <w:rPr>
          <w:rFonts w:asciiTheme="minorHAnsi" w:eastAsiaTheme="minorEastAsia" w:hAnsiTheme="minorHAnsi" w:cstheme="minorBidi"/>
          <w:noProof/>
          <w:szCs w:val="22"/>
        </w:rPr>
      </w:pPr>
      <w:r>
        <w:rPr>
          <w:rFonts w:cs="Arial"/>
          <w:szCs w:val="22"/>
        </w:rPr>
        <w:fldChar w:fldCharType="begin"/>
      </w:r>
      <w:r>
        <w:rPr>
          <w:rFonts w:cs="Arial"/>
          <w:szCs w:val="22"/>
        </w:rPr>
        <w:instrText xml:space="preserve"> TOC \h \z \c "Table" </w:instrText>
      </w:r>
      <w:r>
        <w:rPr>
          <w:rFonts w:cs="Arial"/>
          <w:szCs w:val="22"/>
        </w:rPr>
        <w:fldChar w:fldCharType="separate"/>
      </w:r>
      <w:hyperlink w:anchor="_Toc390184320" w:history="1">
        <w:r w:rsidR="00C32D6C" w:rsidRPr="00F7772B">
          <w:rPr>
            <w:rStyle w:val="Hyperlink"/>
            <w:rFonts w:cs="Arial"/>
            <w:noProof/>
          </w:rPr>
          <w:t>Table 1 Measure Application Type</w:t>
        </w:r>
        <w:r w:rsidR="00C32D6C">
          <w:rPr>
            <w:noProof/>
            <w:webHidden/>
          </w:rPr>
          <w:tab/>
        </w:r>
        <w:r w:rsidR="00C32D6C">
          <w:rPr>
            <w:noProof/>
            <w:webHidden/>
          </w:rPr>
          <w:fldChar w:fldCharType="begin"/>
        </w:r>
        <w:r w:rsidR="00C32D6C">
          <w:rPr>
            <w:noProof/>
            <w:webHidden/>
          </w:rPr>
          <w:instrText xml:space="preserve"> PAGEREF _Toc390184320 \h </w:instrText>
        </w:r>
        <w:r w:rsidR="00C32D6C">
          <w:rPr>
            <w:noProof/>
            <w:webHidden/>
          </w:rPr>
        </w:r>
        <w:r w:rsidR="00C32D6C">
          <w:rPr>
            <w:noProof/>
            <w:webHidden/>
          </w:rPr>
          <w:fldChar w:fldCharType="separate"/>
        </w:r>
        <w:r w:rsidR="00C32D6C">
          <w:rPr>
            <w:noProof/>
            <w:webHidden/>
          </w:rPr>
          <w:t>2</w:t>
        </w:r>
        <w:r w:rsidR="00C32D6C">
          <w:rPr>
            <w:noProof/>
            <w:webHidden/>
          </w:rPr>
          <w:fldChar w:fldCharType="end"/>
        </w:r>
      </w:hyperlink>
    </w:p>
    <w:p w:rsidR="00C32D6C" w:rsidRDefault="00002B4A">
      <w:pPr>
        <w:pStyle w:val="TableofFigures"/>
        <w:tabs>
          <w:tab w:val="right" w:leader="dot" w:pos="9350"/>
        </w:tabs>
        <w:rPr>
          <w:rFonts w:asciiTheme="minorHAnsi" w:eastAsiaTheme="minorEastAsia" w:hAnsiTheme="minorHAnsi" w:cstheme="minorBidi"/>
          <w:noProof/>
          <w:szCs w:val="22"/>
        </w:rPr>
      </w:pPr>
      <w:hyperlink w:anchor="_Toc390184321" w:history="1">
        <w:r w:rsidR="00C32D6C" w:rsidRPr="00F7772B">
          <w:rPr>
            <w:rStyle w:val="Hyperlink"/>
            <w:rFonts w:cs="Arial"/>
            <w:noProof/>
          </w:rPr>
          <w:t>Table 2 DEER Net-to-Gross Ratios</w:t>
        </w:r>
        <w:r w:rsidR="00C32D6C">
          <w:rPr>
            <w:noProof/>
            <w:webHidden/>
          </w:rPr>
          <w:tab/>
        </w:r>
        <w:r w:rsidR="00C32D6C">
          <w:rPr>
            <w:noProof/>
            <w:webHidden/>
          </w:rPr>
          <w:fldChar w:fldCharType="begin"/>
        </w:r>
        <w:r w:rsidR="00C32D6C">
          <w:rPr>
            <w:noProof/>
            <w:webHidden/>
          </w:rPr>
          <w:instrText xml:space="preserve"> PAGEREF _Toc390184321 \h </w:instrText>
        </w:r>
        <w:r w:rsidR="00C32D6C">
          <w:rPr>
            <w:noProof/>
            <w:webHidden/>
          </w:rPr>
        </w:r>
        <w:r w:rsidR="00C32D6C">
          <w:rPr>
            <w:noProof/>
            <w:webHidden/>
          </w:rPr>
          <w:fldChar w:fldCharType="separate"/>
        </w:r>
        <w:r w:rsidR="00C32D6C">
          <w:rPr>
            <w:noProof/>
            <w:webHidden/>
          </w:rPr>
          <w:t>2</w:t>
        </w:r>
        <w:r w:rsidR="00C32D6C">
          <w:rPr>
            <w:noProof/>
            <w:webHidden/>
          </w:rPr>
          <w:fldChar w:fldCharType="end"/>
        </w:r>
      </w:hyperlink>
    </w:p>
    <w:p w:rsidR="00C32D6C" w:rsidRDefault="00002B4A">
      <w:pPr>
        <w:pStyle w:val="TableofFigures"/>
        <w:tabs>
          <w:tab w:val="right" w:leader="dot" w:pos="9350"/>
        </w:tabs>
        <w:rPr>
          <w:rFonts w:asciiTheme="minorHAnsi" w:eastAsiaTheme="minorEastAsia" w:hAnsiTheme="minorHAnsi" w:cstheme="minorBidi"/>
          <w:noProof/>
          <w:szCs w:val="22"/>
        </w:rPr>
      </w:pPr>
      <w:hyperlink w:anchor="_Toc390184322" w:history="1">
        <w:r w:rsidR="00C32D6C" w:rsidRPr="00F7772B">
          <w:rPr>
            <w:rStyle w:val="Hyperlink"/>
            <w:rFonts w:cs="Arial"/>
            <w:noProof/>
          </w:rPr>
          <w:t>Table 3 Baseline by Measure Application Type</w:t>
        </w:r>
        <w:r w:rsidR="00C32D6C">
          <w:rPr>
            <w:noProof/>
            <w:webHidden/>
          </w:rPr>
          <w:tab/>
        </w:r>
        <w:r w:rsidR="00C32D6C">
          <w:rPr>
            <w:noProof/>
            <w:webHidden/>
          </w:rPr>
          <w:fldChar w:fldCharType="begin"/>
        </w:r>
        <w:r w:rsidR="00C32D6C">
          <w:rPr>
            <w:noProof/>
            <w:webHidden/>
          </w:rPr>
          <w:instrText xml:space="preserve"> PAGEREF _Toc390184322 \h </w:instrText>
        </w:r>
        <w:r w:rsidR="00C32D6C">
          <w:rPr>
            <w:noProof/>
            <w:webHidden/>
          </w:rPr>
        </w:r>
        <w:r w:rsidR="00C32D6C">
          <w:rPr>
            <w:noProof/>
            <w:webHidden/>
          </w:rPr>
          <w:fldChar w:fldCharType="separate"/>
        </w:r>
        <w:r w:rsidR="00C32D6C">
          <w:rPr>
            <w:noProof/>
            <w:webHidden/>
          </w:rPr>
          <w:t>5</w:t>
        </w:r>
        <w:r w:rsidR="00C32D6C">
          <w:rPr>
            <w:noProof/>
            <w:webHidden/>
          </w:rPr>
          <w:fldChar w:fldCharType="end"/>
        </w:r>
      </w:hyperlink>
    </w:p>
    <w:p w:rsidR="003521B7" w:rsidRDefault="00CE6855" w:rsidP="00B624B3">
      <w:r>
        <w:rPr>
          <w:rFonts w:ascii="Arial" w:hAnsi="Arial" w:cs="Arial"/>
          <w:sz w:val="22"/>
          <w:szCs w:val="22"/>
        </w:rPr>
        <w:fldChar w:fldCharType="end"/>
      </w:r>
    </w:p>
    <w:p w:rsidR="00493B0D" w:rsidRDefault="003521B7" w:rsidP="003521B7">
      <w:pPr>
        <w:pStyle w:val="Heading1"/>
      </w:pPr>
      <w:bookmarkStart w:id="16" w:name="_Toc387911995"/>
      <w:bookmarkStart w:id="17" w:name="_Toc389487643"/>
      <w:r>
        <w:t>List of Equations</w:t>
      </w:r>
      <w:bookmarkEnd w:id="16"/>
      <w:bookmarkEnd w:id="17"/>
    </w:p>
    <w:p w:rsidR="00C32D6C" w:rsidRDefault="00054FC2">
      <w:pPr>
        <w:pStyle w:val="TableofFigures"/>
        <w:tabs>
          <w:tab w:val="right" w:leader="dot" w:pos="9350"/>
        </w:tabs>
        <w:rPr>
          <w:rFonts w:asciiTheme="minorHAnsi" w:eastAsiaTheme="minorEastAsia" w:hAnsiTheme="minorHAnsi" w:cstheme="minorBidi"/>
          <w:noProof/>
          <w:szCs w:val="22"/>
        </w:rPr>
      </w:pPr>
      <w:r w:rsidRPr="00504E17">
        <w:rPr>
          <w:noProof/>
        </w:rPr>
        <w:fldChar w:fldCharType="begin"/>
      </w:r>
      <w:r>
        <w:rPr>
          <w:noProof/>
        </w:rPr>
        <w:instrText xml:space="preserve"> TOC \h \z \c "Equation" </w:instrText>
      </w:r>
      <w:r w:rsidRPr="00504E17">
        <w:rPr>
          <w:noProof/>
        </w:rPr>
        <w:fldChar w:fldCharType="separate"/>
      </w:r>
      <w:hyperlink w:anchor="_Toc390184326" w:history="1">
        <w:r w:rsidR="00C32D6C" w:rsidRPr="00584D95">
          <w:rPr>
            <w:rStyle w:val="Hyperlink"/>
            <w:rFonts w:cs="Arial"/>
            <w:noProof/>
          </w:rPr>
          <w:t>Equation 1- Annual Electric Savings Equation</w:t>
        </w:r>
        <w:r w:rsidR="00C32D6C">
          <w:rPr>
            <w:noProof/>
            <w:webHidden/>
          </w:rPr>
          <w:tab/>
        </w:r>
        <w:r w:rsidR="00C32D6C">
          <w:rPr>
            <w:noProof/>
            <w:webHidden/>
          </w:rPr>
          <w:fldChar w:fldCharType="begin"/>
        </w:r>
        <w:r w:rsidR="00C32D6C">
          <w:rPr>
            <w:noProof/>
            <w:webHidden/>
          </w:rPr>
          <w:instrText xml:space="preserve"> PAGEREF _Toc390184326 \h </w:instrText>
        </w:r>
        <w:r w:rsidR="00C32D6C">
          <w:rPr>
            <w:noProof/>
            <w:webHidden/>
          </w:rPr>
        </w:r>
        <w:r w:rsidR="00C32D6C">
          <w:rPr>
            <w:noProof/>
            <w:webHidden/>
          </w:rPr>
          <w:fldChar w:fldCharType="separate"/>
        </w:r>
        <w:r w:rsidR="00C32D6C">
          <w:rPr>
            <w:noProof/>
            <w:webHidden/>
          </w:rPr>
          <w:t>5</w:t>
        </w:r>
        <w:r w:rsidR="00C32D6C">
          <w:rPr>
            <w:noProof/>
            <w:webHidden/>
          </w:rPr>
          <w:fldChar w:fldCharType="end"/>
        </w:r>
      </w:hyperlink>
    </w:p>
    <w:p w:rsidR="00C32D6C" w:rsidRDefault="00002B4A">
      <w:pPr>
        <w:pStyle w:val="TableofFigures"/>
        <w:tabs>
          <w:tab w:val="right" w:leader="dot" w:pos="9350"/>
        </w:tabs>
        <w:rPr>
          <w:rFonts w:asciiTheme="minorHAnsi" w:eastAsiaTheme="minorEastAsia" w:hAnsiTheme="minorHAnsi" w:cstheme="minorBidi"/>
          <w:noProof/>
          <w:szCs w:val="22"/>
        </w:rPr>
      </w:pPr>
      <w:hyperlink w:anchor="_Toc390184327" w:history="1">
        <w:r w:rsidR="00C32D6C" w:rsidRPr="00584D95">
          <w:rPr>
            <w:rStyle w:val="Hyperlink"/>
            <w:rFonts w:cs="Arial"/>
            <w:noProof/>
          </w:rPr>
          <w:t>Equation 2- Base Case Annual Electric Energy Used</w:t>
        </w:r>
        <w:r w:rsidR="00C32D6C">
          <w:rPr>
            <w:noProof/>
            <w:webHidden/>
          </w:rPr>
          <w:tab/>
        </w:r>
        <w:r w:rsidR="00C32D6C">
          <w:rPr>
            <w:noProof/>
            <w:webHidden/>
          </w:rPr>
          <w:fldChar w:fldCharType="begin"/>
        </w:r>
        <w:r w:rsidR="00C32D6C">
          <w:rPr>
            <w:noProof/>
            <w:webHidden/>
          </w:rPr>
          <w:instrText xml:space="preserve"> PAGEREF _Toc390184327 \h </w:instrText>
        </w:r>
        <w:r w:rsidR="00C32D6C">
          <w:rPr>
            <w:noProof/>
            <w:webHidden/>
          </w:rPr>
        </w:r>
        <w:r w:rsidR="00C32D6C">
          <w:rPr>
            <w:noProof/>
            <w:webHidden/>
          </w:rPr>
          <w:fldChar w:fldCharType="separate"/>
        </w:r>
        <w:r w:rsidR="00C32D6C">
          <w:rPr>
            <w:noProof/>
            <w:webHidden/>
          </w:rPr>
          <w:t>5</w:t>
        </w:r>
        <w:r w:rsidR="00C32D6C">
          <w:rPr>
            <w:noProof/>
            <w:webHidden/>
          </w:rPr>
          <w:fldChar w:fldCharType="end"/>
        </w:r>
      </w:hyperlink>
    </w:p>
    <w:p w:rsidR="00C32D6C" w:rsidRDefault="00002B4A">
      <w:pPr>
        <w:pStyle w:val="TableofFigures"/>
        <w:tabs>
          <w:tab w:val="right" w:leader="dot" w:pos="9350"/>
        </w:tabs>
        <w:rPr>
          <w:rFonts w:asciiTheme="minorHAnsi" w:eastAsiaTheme="minorEastAsia" w:hAnsiTheme="minorHAnsi" w:cstheme="minorBidi"/>
          <w:noProof/>
          <w:szCs w:val="22"/>
        </w:rPr>
      </w:pPr>
      <w:hyperlink r:id="rId18" w:anchor="_Toc390184328" w:history="1">
        <w:r w:rsidR="00C32D6C" w:rsidRPr="00584D95">
          <w:rPr>
            <w:rStyle w:val="Hyperlink"/>
            <w:rFonts w:cs="Arial"/>
            <w:noProof/>
          </w:rPr>
          <w:t>Equation 3 – Average Annual EER for Efficient Case</w:t>
        </w:r>
        <w:r w:rsidR="00C32D6C">
          <w:rPr>
            <w:noProof/>
            <w:webHidden/>
          </w:rPr>
          <w:tab/>
        </w:r>
        <w:r w:rsidR="00C32D6C">
          <w:rPr>
            <w:noProof/>
            <w:webHidden/>
          </w:rPr>
          <w:fldChar w:fldCharType="begin"/>
        </w:r>
        <w:r w:rsidR="00C32D6C">
          <w:rPr>
            <w:noProof/>
            <w:webHidden/>
          </w:rPr>
          <w:instrText xml:space="preserve"> PAGEREF _Toc390184328 \h </w:instrText>
        </w:r>
        <w:r w:rsidR="00C32D6C">
          <w:rPr>
            <w:noProof/>
            <w:webHidden/>
          </w:rPr>
        </w:r>
        <w:r w:rsidR="00C32D6C">
          <w:rPr>
            <w:noProof/>
            <w:webHidden/>
          </w:rPr>
          <w:fldChar w:fldCharType="separate"/>
        </w:r>
        <w:r w:rsidR="00C32D6C">
          <w:rPr>
            <w:noProof/>
            <w:webHidden/>
          </w:rPr>
          <w:t>6</w:t>
        </w:r>
        <w:r w:rsidR="00C32D6C">
          <w:rPr>
            <w:noProof/>
            <w:webHidden/>
          </w:rPr>
          <w:fldChar w:fldCharType="end"/>
        </w:r>
      </w:hyperlink>
    </w:p>
    <w:p w:rsidR="00C32D6C" w:rsidRDefault="00002B4A">
      <w:pPr>
        <w:pStyle w:val="TableofFigures"/>
        <w:tabs>
          <w:tab w:val="right" w:leader="dot" w:pos="9350"/>
        </w:tabs>
        <w:rPr>
          <w:rFonts w:asciiTheme="minorHAnsi" w:eastAsiaTheme="minorEastAsia" w:hAnsiTheme="minorHAnsi" w:cstheme="minorBidi"/>
          <w:noProof/>
          <w:szCs w:val="22"/>
        </w:rPr>
      </w:pPr>
      <w:hyperlink r:id="rId19" w:anchor="_Toc390184329" w:history="1">
        <w:r w:rsidR="00C32D6C" w:rsidRPr="00584D95">
          <w:rPr>
            <w:rStyle w:val="Hyperlink"/>
            <w:rFonts w:cs="Arial"/>
            <w:noProof/>
          </w:rPr>
          <w:t>Equation 4 - Peak Demand Reduction</w:t>
        </w:r>
        <w:r w:rsidR="00C32D6C">
          <w:rPr>
            <w:noProof/>
            <w:webHidden/>
          </w:rPr>
          <w:tab/>
        </w:r>
        <w:r w:rsidR="00C32D6C">
          <w:rPr>
            <w:noProof/>
            <w:webHidden/>
          </w:rPr>
          <w:fldChar w:fldCharType="begin"/>
        </w:r>
        <w:r w:rsidR="00C32D6C">
          <w:rPr>
            <w:noProof/>
            <w:webHidden/>
          </w:rPr>
          <w:instrText xml:space="preserve"> PAGEREF _Toc390184329 \h </w:instrText>
        </w:r>
        <w:r w:rsidR="00C32D6C">
          <w:rPr>
            <w:noProof/>
            <w:webHidden/>
          </w:rPr>
        </w:r>
        <w:r w:rsidR="00C32D6C">
          <w:rPr>
            <w:noProof/>
            <w:webHidden/>
          </w:rPr>
          <w:fldChar w:fldCharType="separate"/>
        </w:r>
        <w:r w:rsidR="00C32D6C">
          <w:rPr>
            <w:noProof/>
            <w:webHidden/>
          </w:rPr>
          <w:t>6</w:t>
        </w:r>
        <w:r w:rsidR="00C32D6C">
          <w:rPr>
            <w:noProof/>
            <w:webHidden/>
          </w:rPr>
          <w:fldChar w:fldCharType="end"/>
        </w:r>
      </w:hyperlink>
    </w:p>
    <w:p w:rsidR="00C32D6C" w:rsidRDefault="00002B4A">
      <w:pPr>
        <w:pStyle w:val="TableofFigures"/>
        <w:tabs>
          <w:tab w:val="right" w:leader="dot" w:pos="9350"/>
        </w:tabs>
        <w:rPr>
          <w:rFonts w:asciiTheme="minorHAnsi" w:eastAsiaTheme="minorEastAsia" w:hAnsiTheme="minorHAnsi" w:cstheme="minorBidi"/>
          <w:noProof/>
          <w:szCs w:val="22"/>
        </w:rPr>
      </w:pPr>
      <w:hyperlink w:anchor="_Toc390184330" w:history="1">
        <w:r w:rsidR="00C32D6C" w:rsidRPr="00584D95">
          <w:rPr>
            <w:rStyle w:val="Hyperlink"/>
            <w:rFonts w:cs="Arial"/>
            <w:noProof/>
          </w:rPr>
          <w:t>Equation 5- Peak Demand in Base Case</w:t>
        </w:r>
        <w:r w:rsidR="00C32D6C">
          <w:rPr>
            <w:noProof/>
            <w:webHidden/>
          </w:rPr>
          <w:tab/>
        </w:r>
        <w:r w:rsidR="00C32D6C">
          <w:rPr>
            <w:noProof/>
            <w:webHidden/>
          </w:rPr>
          <w:fldChar w:fldCharType="begin"/>
        </w:r>
        <w:r w:rsidR="00C32D6C">
          <w:rPr>
            <w:noProof/>
            <w:webHidden/>
          </w:rPr>
          <w:instrText xml:space="preserve"> PAGEREF _Toc390184330 \h </w:instrText>
        </w:r>
        <w:r w:rsidR="00C32D6C">
          <w:rPr>
            <w:noProof/>
            <w:webHidden/>
          </w:rPr>
        </w:r>
        <w:r w:rsidR="00C32D6C">
          <w:rPr>
            <w:noProof/>
            <w:webHidden/>
          </w:rPr>
          <w:fldChar w:fldCharType="separate"/>
        </w:r>
        <w:r w:rsidR="00C32D6C">
          <w:rPr>
            <w:noProof/>
            <w:webHidden/>
          </w:rPr>
          <w:t>6</w:t>
        </w:r>
        <w:r w:rsidR="00C32D6C">
          <w:rPr>
            <w:noProof/>
            <w:webHidden/>
          </w:rPr>
          <w:fldChar w:fldCharType="end"/>
        </w:r>
      </w:hyperlink>
    </w:p>
    <w:p w:rsidR="00C32D6C" w:rsidRDefault="00002B4A">
      <w:pPr>
        <w:pStyle w:val="TableofFigures"/>
        <w:tabs>
          <w:tab w:val="right" w:leader="dot" w:pos="9350"/>
        </w:tabs>
        <w:rPr>
          <w:rFonts w:asciiTheme="minorHAnsi" w:eastAsiaTheme="minorEastAsia" w:hAnsiTheme="minorHAnsi" w:cstheme="minorBidi"/>
          <w:noProof/>
          <w:szCs w:val="22"/>
        </w:rPr>
      </w:pPr>
      <w:hyperlink w:anchor="_Toc390184331" w:history="1">
        <w:r w:rsidR="00C32D6C" w:rsidRPr="00584D95">
          <w:rPr>
            <w:rStyle w:val="Hyperlink"/>
            <w:rFonts w:cs="Arial"/>
            <w:noProof/>
          </w:rPr>
          <w:t>Equation 6 – Peak EER for Efficient Case</w:t>
        </w:r>
        <w:r w:rsidR="00C32D6C">
          <w:rPr>
            <w:noProof/>
            <w:webHidden/>
          </w:rPr>
          <w:tab/>
        </w:r>
        <w:r w:rsidR="00C32D6C">
          <w:rPr>
            <w:noProof/>
            <w:webHidden/>
          </w:rPr>
          <w:fldChar w:fldCharType="begin"/>
        </w:r>
        <w:r w:rsidR="00C32D6C">
          <w:rPr>
            <w:noProof/>
            <w:webHidden/>
          </w:rPr>
          <w:instrText xml:space="preserve"> PAGEREF _Toc390184331 \h </w:instrText>
        </w:r>
        <w:r w:rsidR="00C32D6C">
          <w:rPr>
            <w:noProof/>
            <w:webHidden/>
          </w:rPr>
        </w:r>
        <w:r w:rsidR="00C32D6C">
          <w:rPr>
            <w:noProof/>
            <w:webHidden/>
          </w:rPr>
          <w:fldChar w:fldCharType="separate"/>
        </w:r>
        <w:r w:rsidR="00C32D6C">
          <w:rPr>
            <w:noProof/>
            <w:webHidden/>
          </w:rPr>
          <w:t>6</w:t>
        </w:r>
        <w:r w:rsidR="00C32D6C">
          <w:rPr>
            <w:noProof/>
            <w:webHidden/>
          </w:rPr>
          <w:fldChar w:fldCharType="end"/>
        </w:r>
      </w:hyperlink>
    </w:p>
    <w:p w:rsidR="0061765C" w:rsidRDefault="00054FC2" w:rsidP="00504E17">
      <w:pPr>
        <w:pStyle w:val="TableofFigures"/>
        <w:tabs>
          <w:tab w:val="right" w:leader="dot" w:pos="9350"/>
        </w:tabs>
        <w:rPr>
          <w:b/>
          <w:bCs/>
        </w:rPr>
        <w:sectPr w:rsidR="0061765C" w:rsidSect="0061765C">
          <w:footerReference w:type="even" r:id="rId20"/>
          <w:footerReference w:type="first" r:id="rId21"/>
          <w:endnotePr>
            <w:numFmt w:val="decimal"/>
          </w:endnotePr>
          <w:pgSz w:w="12240" w:h="15840"/>
          <w:pgMar w:top="1440" w:right="1440" w:bottom="1440" w:left="1440" w:header="720" w:footer="720" w:gutter="0"/>
          <w:pgNumType w:fmt="lowerRoman" w:chapStyle="1"/>
          <w:cols w:space="720"/>
          <w:docGrid w:linePitch="360"/>
        </w:sectPr>
      </w:pPr>
      <w:r w:rsidRPr="00504E17">
        <w:rPr>
          <w:noProof/>
        </w:rPr>
        <w:fldChar w:fldCharType="end"/>
      </w:r>
      <w:bookmarkStart w:id="18" w:name="_Toc387911996"/>
      <w:bookmarkStart w:id="19" w:name="_Toc389487644"/>
      <w:bookmarkStart w:id="20" w:name="_Toc172205732"/>
    </w:p>
    <w:p w:rsidR="00B624B3" w:rsidRDefault="00B624B3" w:rsidP="00B624B3">
      <w:pPr>
        <w:pStyle w:val="Heading1"/>
        <w:ind w:left="432" w:hanging="432"/>
      </w:pPr>
      <w:r>
        <w:lastRenderedPageBreak/>
        <w:t>Section 1. General Measure &amp; Baseline Data</w:t>
      </w:r>
      <w:bookmarkEnd w:id="18"/>
      <w:bookmarkEnd w:id="19"/>
    </w:p>
    <w:p w:rsidR="00366565" w:rsidRPr="00BD254C" w:rsidRDefault="00366565" w:rsidP="00B624B3">
      <w:pPr>
        <w:rPr>
          <w:rFonts w:ascii="Arial" w:hAnsi="Arial" w:cs="Arial"/>
          <w:sz w:val="20"/>
          <w:szCs w:val="20"/>
        </w:rPr>
      </w:pPr>
      <w:r w:rsidRPr="00BD254C">
        <w:rPr>
          <w:rFonts w:ascii="Arial" w:hAnsi="Arial" w:cs="Arial"/>
          <w:sz w:val="20"/>
          <w:szCs w:val="20"/>
        </w:rPr>
        <w:t>This work paper documents the rationale for the “</w:t>
      </w:r>
      <w:r w:rsidR="00E73FF6" w:rsidRPr="00BD254C">
        <w:rPr>
          <w:rFonts w:ascii="Arial" w:hAnsi="Arial" w:cs="Arial"/>
          <w:sz w:val="20"/>
          <w:szCs w:val="20"/>
        </w:rPr>
        <w:t>Medium Temperature Open Vertical C</w:t>
      </w:r>
      <w:r w:rsidR="003521B7" w:rsidRPr="00BD254C">
        <w:rPr>
          <w:rFonts w:ascii="Arial" w:hAnsi="Arial" w:cs="Arial"/>
          <w:sz w:val="20"/>
          <w:szCs w:val="20"/>
        </w:rPr>
        <w:t>ase, Standard to High Efficiency</w:t>
      </w:r>
      <w:r w:rsidRPr="00BD254C">
        <w:rPr>
          <w:rFonts w:ascii="Arial" w:hAnsi="Arial" w:cs="Arial"/>
          <w:sz w:val="20"/>
          <w:szCs w:val="20"/>
        </w:rPr>
        <w:t>” measure as part of Pacific Gas &amp; Electronic Company’s Customer Energy Efficiency Program</w:t>
      </w:r>
      <w:r w:rsidR="00D60B65" w:rsidRPr="00BD254C">
        <w:rPr>
          <w:rFonts w:ascii="Arial" w:hAnsi="Arial" w:cs="Arial"/>
          <w:sz w:val="20"/>
          <w:szCs w:val="20"/>
        </w:rPr>
        <w:t>.</w:t>
      </w:r>
    </w:p>
    <w:p w:rsidR="00366565" w:rsidRDefault="00366565" w:rsidP="00366565">
      <w:pPr>
        <w:rPr>
          <w:rFonts w:ascii="Arial" w:hAnsi="Arial" w:cs="Arial"/>
          <w:b/>
          <w:i/>
        </w:rPr>
      </w:pPr>
    </w:p>
    <w:p w:rsidR="00366565" w:rsidRDefault="00A64804" w:rsidP="00366565">
      <w:pPr>
        <w:rPr>
          <w:rFonts w:ascii="Arial" w:hAnsi="Arial" w:cs="Arial"/>
          <w:b/>
          <w:i/>
        </w:rPr>
      </w:pPr>
      <w:r>
        <w:rPr>
          <w:rFonts w:ascii="Arial" w:hAnsi="Arial" w:cs="Arial"/>
          <w:b/>
          <w:i/>
        </w:rPr>
        <w:t>Catalog Description –</w:t>
      </w:r>
    </w:p>
    <w:p w:rsidR="00366565" w:rsidRPr="00BD254C" w:rsidRDefault="00366565" w:rsidP="00366565">
      <w:pPr>
        <w:spacing w:before="100" w:beforeAutospacing="1" w:after="100" w:afterAutospacing="1" w:line="264" w:lineRule="auto"/>
        <w:rPr>
          <w:rFonts w:ascii="Arial" w:hAnsi="Arial" w:cs="Arial"/>
          <w:sz w:val="20"/>
          <w:szCs w:val="20"/>
        </w:rPr>
      </w:pPr>
      <w:r w:rsidRPr="00BD254C">
        <w:rPr>
          <w:rFonts w:ascii="Arial" w:hAnsi="Arial" w:cs="Arial"/>
          <w:sz w:val="20"/>
          <w:szCs w:val="20"/>
        </w:rPr>
        <w:t>R</w:t>
      </w:r>
      <w:r w:rsidR="00E73FF6" w:rsidRPr="00BD254C">
        <w:rPr>
          <w:rFonts w:ascii="Arial" w:hAnsi="Arial" w:cs="Arial"/>
          <w:sz w:val="20"/>
          <w:szCs w:val="20"/>
        </w:rPr>
        <w:t>A02</w:t>
      </w:r>
      <w:r w:rsidRPr="00BD254C">
        <w:rPr>
          <w:rFonts w:ascii="Arial" w:hAnsi="Arial" w:cs="Arial"/>
          <w:sz w:val="20"/>
          <w:szCs w:val="20"/>
        </w:rPr>
        <w:t xml:space="preserve">: This measure is applicable to </w:t>
      </w:r>
      <w:r w:rsidR="00E73FF6" w:rsidRPr="00BD254C">
        <w:rPr>
          <w:rFonts w:ascii="Arial" w:hAnsi="Arial" w:cs="Arial"/>
          <w:sz w:val="20"/>
          <w:szCs w:val="20"/>
        </w:rPr>
        <w:t>the replacement of an existing medium temperature open vertical refrigerated display case with a new case of the same style that exceeds federal energy standards through the use of a high efficiency evaporator coil.</w:t>
      </w:r>
      <w:r w:rsidR="00BA3214" w:rsidRPr="00BD254C">
        <w:rPr>
          <w:rFonts w:ascii="Arial" w:hAnsi="Arial" w:cs="Arial"/>
          <w:sz w:val="20"/>
          <w:szCs w:val="20"/>
        </w:rPr>
        <w:t xml:space="preserve"> </w:t>
      </w:r>
      <w:r w:rsidRPr="00BD254C">
        <w:rPr>
          <w:rFonts w:ascii="Arial" w:hAnsi="Arial" w:cs="Arial"/>
          <w:sz w:val="20"/>
          <w:szCs w:val="20"/>
        </w:rPr>
        <w:t xml:space="preserve"> </w:t>
      </w:r>
      <w:r w:rsidR="00D2400A" w:rsidRPr="00BD254C">
        <w:rPr>
          <w:rFonts w:ascii="Arial" w:hAnsi="Arial" w:cs="Arial"/>
          <w:sz w:val="20"/>
          <w:szCs w:val="20"/>
        </w:rPr>
        <w:fldChar w:fldCharType="begin"/>
      </w:r>
      <w:r w:rsidRPr="00BD254C">
        <w:rPr>
          <w:rFonts w:ascii="Arial" w:hAnsi="Arial" w:cs="Arial"/>
          <w:sz w:val="20"/>
          <w:szCs w:val="20"/>
        </w:rPr>
        <w:instrText xml:space="preserve"> XE "display cases" </w:instrText>
      </w:r>
      <w:r w:rsidR="00D2400A" w:rsidRPr="00BD254C">
        <w:rPr>
          <w:rFonts w:ascii="Arial" w:hAnsi="Arial" w:cs="Arial"/>
          <w:sz w:val="20"/>
          <w:szCs w:val="20"/>
        </w:rPr>
        <w:fldChar w:fldCharType="end"/>
      </w:r>
      <w:r w:rsidRPr="00BD254C">
        <w:rPr>
          <w:rFonts w:ascii="Arial" w:hAnsi="Arial" w:cs="Arial"/>
          <w:sz w:val="20"/>
          <w:szCs w:val="20"/>
        </w:rPr>
        <w:t xml:space="preserve"> </w:t>
      </w:r>
    </w:p>
    <w:p w:rsidR="00B624B3" w:rsidRDefault="00B624B3" w:rsidP="00B624B3">
      <w:pPr>
        <w:pStyle w:val="Heading2"/>
        <w:ind w:left="576" w:hanging="576"/>
      </w:pPr>
      <w:bookmarkStart w:id="21" w:name="_Toc387911997"/>
      <w:bookmarkStart w:id="22" w:name="_Toc389487645"/>
      <w:bookmarkEnd w:id="20"/>
      <w:r>
        <w:t xml:space="preserve">1.1 Product </w:t>
      </w:r>
      <w:r w:rsidRPr="001248A3">
        <w:t>Measure Description &amp; Background</w:t>
      </w:r>
      <w:bookmarkEnd w:id="21"/>
      <w:bookmarkEnd w:id="22"/>
    </w:p>
    <w:p w:rsidR="00B624B3" w:rsidRDefault="00B624B3" w:rsidP="00B624B3">
      <w:pPr>
        <w:rPr>
          <w:rFonts w:ascii="Arial" w:hAnsi="Arial" w:cs="Arial"/>
          <w:b/>
          <w:i/>
        </w:rPr>
      </w:pPr>
      <w:r>
        <w:rPr>
          <w:rFonts w:ascii="Arial" w:hAnsi="Arial" w:cs="Arial"/>
          <w:b/>
          <w:i/>
        </w:rPr>
        <w:t>Program Restrictions and Guidelines</w:t>
      </w:r>
    </w:p>
    <w:p w:rsidR="00B624B3" w:rsidRDefault="00B624B3" w:rsidP="00B624B3">
      <w:pPr>
        <w:ind w:firstLine="360"/>
        <w:rPr>
          <w:rFonts w:ascii="Arial" w:hAnsi="Arial" w:cs="Arial"/>
          <w:b/>
          <w:i/>
          <w:sz w:val="20"/>
          <w:szCs w:val="20"/>
        </w:rPr>
      </w:pPr>
    </w:p>
    <w:p w:rsidR="00B624B3" w:rsidRDefault="00B624B3" w:rsidP="00B624B3">
      <w:pPr>
        <w:rPr>
          <w:rFonts w:ascii="Arial" w:hAnsi="Arial" w:cs="Arial"/>
          <w:b/>
          <w:i/>
          <w:sz w:val="20"/>
          <w:szCs w:val="20"/>
        </w:rPr>
      </w:pPr>
      <w:r w:rsidRPr="00697D6B">
        <w:rPr>
          <w:rFonts w:ascii="Arial" w:hAnsi="Arial" w:cs="Arial"/>
          <w:b/>
          <w:i/>
        </w:rPr>
        <w:t>Terms and Conditions:</w:t>
      </w:r>
    </w:p>
    <w:p w:rsidR="00B624B3" w:rsidRPr="00A30823" w:rsidRDefault="00D60B65" w:rsidP="00B624B3">
      <w:pPr>
        <w:ind w:firstLine="360"/>
        <w:rPr>
          <w:rFonts w:ascii="Arial" w:hAnsi="Arial" w:cs="Arial"/>
          <w:b/>
          <w:bCs/>
          <w:sz w:val="20"/>
          <w:szCs w:val="20"/>
        </w:rPr>
      </w:pPr>
      <w:r>
        <w:rPr>
          <w:rFonts w:ascii="Arial" w:hAnsi="Arial" w:cs="Arial"/>
          <w:b/>
          <w:bCs/>
          <w:sz w:val="20"/>
          <w:szCs w:val="20"/>
        </w:rPr>
        <w:t>Requirements</w:t>
      </w:r>
    </w:p>
    <w:p w:rsidR="00B624B3" w:rsidRPr="00BD254C" w:rsidRDefault="0068498E" w:rsidP="00E73FF6">
      <w:pPr>
        <w:numPr>
          <w:ilvl w:val="0"/>
          <w:numId w:val="36"/>
        </w:numPr>
        <w:rPr>
          <w:rFonts w:ascii="Arial" w:hAnsi="Arial" w:cs="Arial"/>
          <w:sz w:val="20"/>
          <w:szCs w:val="20"/>
        </w:rPr>
      </w:pPr>
      <w:r w:rsidRPr="00BD254C">
        <w:rPr>
          <w:rFonts w:ascii="Arial" w:hAnsi="Arial" w:cs="Arial"/>
          <w:sz w:val="20"/>
          <w:szCs w:val="20"/>
        </w:rPr>
        <w:t xml:space="preserve">Must replace </w:t>
      </w:r>
      <w:r w:rsidR="00E73FF6" w:rsidRPr="00BD254C">
        <w:rPr>
          <w:rFonts w:ascii="Arial" w:hAnsi="Arial" w:cs="Arial"/>
          <w:sz w:val="20"/>
          <w:szCs w:val="20"/>
        </w:rPr>
        <w:t>an existing medium temperature open vertical refrigerated display case with a new case of the same style that exceeds federal energy standards through the use of a high efficiency evaporator coil.</w:t>
      </w:r>
    </w:p>
    <w:p w:rsidR="00D60B65" w:rsidRDefault="00D60B65" w:rsidP="00D60B65">
      <w:pPr>
        <w:ind w:left="360"/>
      </w:pPr>
    </w:p>
    <w:p w:rsidR="00D60B65" w:rsidRPr="00D60B65" w:rsidRDefault="00D60B65" w:rsidP="00D60B65">
      <w:pPr>
        <w:ind w:left="360"/>
        <w:rPr>
          <w:rFonts w:ascii="Arial" w:hAnsi="Arial" w:cs="Arial"/>
          <w:b/>
          <w:bCs/>
          <w:sz w:val="20"/>
          <w:szCs w:val="20"/>
        </w:rPr>
      </w:pPr>
      <w:r w:rsidRPr="00D60B65">
        <w:rPr>
          <w:rFonts w:ascii="Arial" w:hAnsi="Arial" w:cs="Arial"/>
          <w:b/>
          <w:bCs/>
          <w:sz w:val="20"/>
          <w:szCs w:val="20"/>
        </w:rPr>
        <w:t>Additional details</w:t>
      </w:r>
    </w:p>
    <w:p w:rsidR="00B624B3" w:rsidRPr="00BD254C" w:rsidRDefault="00D60B65" w:rsidP="00B624B3">
      <w:pPr>
        <w:numPr>
          <w:ilvl w:val="0"/>
          <w:numId w:val="36"/>
        </w:numPr>
        <w:rPr>
          <w:rFonts w:ascii="Arial" w:hAnsi="Arial" w:cs="Arial"/>
          <w:sz w:val="20"/>
          <w:szCs w:val="20"/>
        </w:rPr>
      </w:pPr>
      <w:r w:rsidRPr="00BD254C">
        <w:rPr>
          <w:rFonts w:ascii="Arial" w:hAnsi="Arial" w:cs="Arial"/>
          <w:sz w:val="20"/>
          <w:szCs w:val="20"/>
        </w:rPr>
        <w:t>Spec sheet for new cases must be submitted to the Program for review to confirm eligibility</w:t>
      </w:r>
    </w:p>
    <w:p w:rsidR="00B624B3" w:rsidRDefault="00B624B3" w:rsidP="00B624B3">
      <w:pPr>
        <w:ind w:left="360"/>
        <w:rPr>
          <w:rFonts w:ascii="Arial" w:hAnsi="Arial" w:cs="Arial"/>
          <w:b/>
          <w:i/>
          <w:sz w:val="20"/>
          <w:szCs w:val="20"/>
        </w:rPr>
      </w:pPr>
    </w:p>
    <w:p w:rsidR="00E256F4" w:rsidRDefault="00B624B3" w:rsidP="00E256F4">
      <w:pPr>
        <w:rPr>
          <w:rFonts w:ascii="Arial" w:hAnsi="Arial" w:cs="Arial"/>
          <w:b/>
          <w:i/>
          <w:sz w:val="20"/>
          <w:szCs w:val="20"/>
        </w:rPr>
      </w:pPr>
      <w:r w:rsidRPr="00697D6B">
        <w:rPr>
          <w:rFonts w:ascii="Arial" w:hAnsi="Arial" w:cs="Arial"/>
          <w:b/>
          <w:i/>
        </w:rPr>
        <w:t>Market Applicability:</w:t>
      </w:r>
    </w:p>
    <w:p w:rsidR="00E256F4" w:rsidRPr="00BD254C" w:rsidRDefault="00E83DCF" w:rsidP="00E256F4">
      <w:pPr>
        <w:rPr>
          <w:rFonts w:ascii="Arial" w:hAnsi="Arial" w:cs="Arial"/>
          <w:sz w:val="20"/>
          <w:szCs w:val="20"/>
        </w:rPr>
      </w:pPr>
      <w:r w:rsidRPr="00BD254C">
        <w:rPr>
          <w:rFonts w:ascii="Arial" w:hAnsi="Arial" w:cs="Arial"/>
          <w:sz w:val="20"/>
          <w:szCs w:val="20"/>
        </w:rPr>
        <w:t>This measure</w:t>
      </w:r>
      <w:r w:rsidR="00E256F4" w:rsidRPr="00BD254C">
        <w:rPr>
          <w:rFonts w:ascii="Arial" w:hAnsi="Arial" w:cs="Arial"/>
          <w:sz w:val="20"/>
          <w:szCs w:val="20"/>
        </w:rPr>
        <w:t xml:space="preserve"> </w:t>
      </w:r>
      <w:r w:rsidRPr="00BD254C">
        <w:rPr>
          <w:rFonts w:ascii="Arial" w:hAnsi="Arial" w:cs="Arial"/>
          <w:sz w:val="20"/>
          <w:szCs w:val="20"/>
        </w:rPr>
        <w:t>is</w:t>
      </w:r>
      <w:r w:rsidR="00E256F4" w:rsidRPr="00BD254C">
        <w:rPr>
          <w:rFonts w:ascii="Arial" w:hAnsi="Arial" w:cs="Arial"/>
          <w:sz w:val="20"/>
          <w:szCs w:val="20"/>
        </w:rPr>
        <w:t xml:space="preserve"> applicable to medium temp </w:t>
      </w:r>
      <w:r w:rsidR="00BA76B4" w:rsidRPr="00BD254C">
        <w:rPr>
          <w:rFonts w:ascii="Arial" w:hAnsi="Arial" w:cs="Arial"/>
          <w:sz w:val="20"/>
          <w:szCs w:val="20"/>
        </w:rPr>
        <w:t xml:space="preserve">open vertical </w:t>
      </w:r>
      <w:r w:rsidRPr="00BD254C">
        <w:rPr>
          <w:rFonts w:ascii="Arial" w:hAnsi="Arial" w:cs="Arial"/>
          <w:sz w:val="20"/>
          <w:szCs w:val="20"/>
        </w:rPr>
        <w:t>refrigerated display cases</w:t>
      </w:r>
      <w:r w:rsidR="00BA76B4" w:rsidRPr="00BD254C">
        <w:rPr>
          <w:rFonts w:ascii="Arial" w:hAnsi="Arial" w:cs="Arial"/>
          <w:sz w:val="20"/>
          <w:szCs w:val="20"/>
        </w:rPr>
        <w:t>,</w:t>
      </w:r>
      <w:r w:rsidR="00E256F4" w:rsidRPr="00BD254C">
        <w:rPr>
          <w:rFonts w:ascii="Arial" w:hAnsi="Arial" w:cs="Arial"/>
          <w:sz w:val="20"/>
          <w:szCs w:val="20"/>
        </w:rPr>
        <w:t xml:space="preserve"> </w:t>
      </w:r>
      <w:r w:rsidR="00BA76B4" w:rsidRPr="00BD254C">
        <w:rPr>
          <w:rFonts w:ascii="Arial" w:hAnsi="Arial" w:cs="Arial"/>
          <w:sz w:val="20"/>
          <w:szCs w:val="20"/>
        </w:rPr>
        <w:t>which</w:t>
      </w:r>
      <w:r w:rsidR="00D2400A" w:rsidRPr="00BD254C">
        <w:rPr>
          <w:rFonts w:ascii="Arial" w:hAnsi="Arial" w:cs="Arial"/>
          <w:sz w:val="20"/>
          <w:szCs w:val="20"/>
        </w:rPr>
        <w:fldChar w:fldCharType="begin"/>
      </w:r>
      <w:r w:rsidR="00E256F4" w:rsidRPr="00BD254C">
        <w:rPr>
          <w:rFonts w:ascii="Arial" w:hAnsi="Arial" w:cs="Arial"/>
          <w:sz w:val="20"/>
          <w:szCs w:val="20"/>
        </w:rPr>
        <w:instrText xml:space="preserve"> XE "display cases" </w:instrText>
      </w:r>
      <w:r w:rsidR="00D2400A" w:rsidRPr="00BD254C">
        <w:rPr>
          <w:rFonts w:ascii="Arial" w:hAnsi="Arial" w:cs="Arial"/>
          <w:sz w:val="20"/>
          <w:szCs w:val="20"/>
        </w:rPr>
        <w:fldChar w:fldCharType="end"/>
      </w:r>
      <w:r w:rsidR="00E256F4" w:rsidRPr="00BD254C">
        <w:rPr>
          <w:rFonts w:ascii="Arial" w:hAnsi="Arial" w:cs="Arial"/>
          <w:sz w:val="20"/>
          <w:szCs w:val="20"/>
        </w:rPr>
        <w:t xml:space="preserve"> are found </w:t>
      </w:r>
      <w:r w:rsidRPr="00BD254C">
        <w:rPr>
          <w:rFonts w:ascii="Arial" w:hAnsi="Arial" w:cs="Arial"/>
          <w:sz w:val="20"/>
          <w:szCs w:val="20"/>
        </w:rPr>
        <w:t xml:space="preserve">primarily </w:t>
      </w:r>
      <w:r w:rsidR="00E256F4" w:rsidRPr="00BD254C">
        <w:rPr>
          <w:rStyle w:val="content121"/>
          <w:sz w:val="20"/>
          <w:szCs w:val="20"/>
        </w:rPr>
        <w:t>i</w:t>
      </w:r>
      <w:r w:rsidRPr="00BD254C">
        <w:rPr>
          <w:rStyle w:val="content121"/>
          <w:sz w:val="20"/>
          <w:szCs w:val="20"/>
        </w:rPr>
        <w:t>n grocery stores</w:t>
      </w:r>
      <w:r w:rsidR="00BA76B4" w:rsidRPr="00BD254C">
        <w:rPr>
          <w:rStyle w:val="content121"/>
          <w:sz w:val="20"/>
          <w:szCs w:val="20"/>
        </w:rPr>
        <w:t xml:space="preserve"> and also in other food retail establishments</w:t>
      </w:r>
      <w:r w:rsidR="00E256F4" w:rsidRPr="00BD254C">
        <w:rPr>
          <w:rStyle w:val="content121"/>
          <w:sz w:val="20"/>
          <w:szCs w:val="20"/>
        </w:rPr>
        <w:t>.</w:t>
      </w:r>
    </w:p>
    <w:p w:rsidR="00B624B3" w:rsidRPr="00E8746D" w:rsidRDefault="00B624B3" w:rsidP="00B624B3">
      <w:pPr>
        <w:rPr>
          <w:rFonts w:ascii="Arial" w:hAnsi="Arial" w:cs="Arial"/>
          <w:sz w:val="20"/>
          <w:szCs w:val="20"/>
        </w:rPr>
      </w:pPr>
    </w:p>
    <w:p w:rsidR="00B624B3" w:rsidRDefault="00B624B3" w:rsidP="00B624B3">
      <w:pPr>
        <w:pStyle w:val="Heading2"/>
        <w:ind w:left="576" w:hanging="576"/>
      </w:pPr>
      <w:bookmarkStart w:id="23" w:name="_Toc387911998"/>
      <w:bookmarkStart w:id="24" w:name="_Toc389487646"/>
      <w:r>
        <w:t xml:space="preserve">1.2 Product </w:t>
      </w:r>
      <w:r w:rsidRPr="00806070">
        <w:t>Technical Description</w:t>
      </w:r>
      <w:bookmarkEnd w:id="23"/>
      <w:bookmarkEnd w:id="24"/>
    </w:p>
    <w:p w:rsidR="00B42525" w:rsidRPr="00AB3433" w:rsidRDefault="00E83DCF" w:rsidP="00E83DCF">
      <w:pPr>
        <w:pStyle w:val="BodyText"/>
        <w:rPr>
          <w:rFonts w:ascii="Arial" w:hAnsi="Arial" w:cs="Arial"/>
          <w:sz w:val="20"/>
        </w:rPr>
      </w:pPr>
      <w:r w:rsidRPr="00AB3433">
        <w:rPr>
          <w:rFonts w:ascii="Arial" w:hAnsi="Arial" w:cs="Arial"/>
          <w:sz w:val="20"/>
        </w:rPr>
        <w:t xml:space="preserve">This measure replaces an existing open standard efficiency medium temperature refrigerated display case with a new open high efficiency medium </w:t>
      </w:r>
      <w:r w:rsidR="0052346E" w:rsidRPr="00AB3433">
        <w:rPr>
          <w:rFonts w:ascii="Arial" w:hAnsi="Arial" w:cs="Arial"/>
          <w:sz w:val="20"/>
        </w:rPr>
        <w:t xml:space="preserve">refrigerated display case. </w:t>
      </w:r>
      <w:r w:rsidRPr="00AB3433">
        <w:rPr>
          <w:rFonts w:ascii="Arial" w:hAnsi="Arial" w:cs="Arial"/>
          <w:sz w:val="20"/>
        </w:rPr>
        <w:t xml:space="preserve">The savings result from the use of an evaporator coil that exceeds the minimum efficiency required to meet federal display case standards. Cases with a high efficiency evaporator coil are designed to keep the product at the desired temperature while reducing the amount of heat that the refrigeration system needs to reject.  Additionally, </w:t>
      </w:r>
      <w:r w:rsidR="0052346E" w:rsidRPr="00AB3433">
        <w:rPr>
          <w:rFonts w:ascii="Arial" w:hAnsi="Arial" w:cs="Arial"/>
          <w:sz w:val="20"/>
        </w:rPr>
        <w:t>the efficient evaporator coil allows the</w:t>
      </w:r>
      <w:r w:rsidRPr="00AB3433">
        <w:rPr>
          <w:rFonts w:ascii="Arial" w:hAnsi="Arial" w:cs="Arial"/>
          <w:sz w:val="20"/>
        </w:rPr>
        <w:t xml:space="preserve"> suction temperature to be 3 °F higher than th</w:t>
      </w:r>
      <w:r w:rsidR="0052346E" w:rsidRPr="00AB3433">
        <w:rPr>
          <w:rFonts w:ascii="Arial" w:hAnsi="Arial" w:cs="Arial"/>
          <w:sz w:val="20"/>
        </w:rPr>
        <w:t xml:space="preserve">at required for a standard evaporator coil. The higher suction </w:t>
      </w:r>
      <w:r w:rsidRPr="00AB3433">
        <w:rPr>
          <w:rFonts w:ascii="Arial" w:hAnsi="Arial" w:cs="Arial"/>
          <w:sz w:val="20"/>
        </w:rPr>
        <w:t xml:space="preserve">temperature results in an increase in compressor efficiency.  </w:t>
      </w:r>
    </w:p>
    <w:p w:rsidR="00700E58" w:rsidRDefault="00B42525" w:rsidP="00CA34FA">
      <w:pPr>
        <w:pStyle w:val="BodyText"/>
        <w:rPr>
          <w:rFonts w:ascii="TimesNewRomanPSMT" w:hAnsi="TimesNewRomanPSMT" w:cs="TimesNewRomanPSMT"/>
        </w:rPr>
      </w:pPr>
      <w:r w:rsidRPr="00AB3433">
        <w:rPr>
          <w:rFonts w:ascii="Arial" w:hAnsi="Arial" w:cs="Arial"/>
          <w:sz w:val="20"/>
        </w:rPr>
        <w:t>The refrigeration system</w:t>
      </w:r>
      <w:r w:rsidR="00BA76B4" w:rsidRPr="00AB3433">
        <w:rPr>
          <w:rFonts w:ascii="Arial" w:hAnsi="Arial" w:cs="Arial"/>
          <w:sz w:val="20"/>
        </w:rPr>
        <w:t xml:space="preserve"> </w:t>
      </w:r>
      <w:r w:rsidRPr="00AB3433">
        <w:rPr>
          <w:rFonts w:ascii="Arial" w:hAnsi="Arial" w:cs="Arial"/>
          <w:sz w:val="20"/>
        </w:rPr>
        <w:t xml:space="preserve">serving the display case load is generally remote (i.e. external) to the display case. </w:t>
      </w:r>
      <w:r w:rsidR="00700E58">
        <w:rPr>
          <w:rFonts w:ascii="TimesNewRomanPSMT" w:hAnsi="TimesNewRomanPSMT" w:cs="TimesNewRomanPSMT"/>
        </w:rPr>
        <w:br w:type="page"/>
      </w:r>
    </w:p>
    <w:p w:rsidR="00B624B3" w:rsidRDefault="00B624B3" w:rsidP="00B624B3">
      <w:pPr>
        <w:pStyle w:val="Heading2"/>
        <w:keepNext w:val="0"/>
        <w:ind w:left="576" w:hanging="576"/>
      </w:pPr>
      <w:bookmarkStart w:id="25" w:name="_Toc387911999"/>
      <w:bookmarkStart w:id="26" w:name="_Toc389487647"/>
      <w:r>
        <w:lastRenderedPageBreak/>
        <w:t xml:space="preserve">1.3 </w:t>
      </w:r>
      <w:r w:rsidR="004944D0">
        <w:t xml:space="preserve">Measure Application </w:t>
      </w:r>
      <w:r>
        <w:t>Types</w:t>
      </w:r>
      <w:bookmarkEnd w:id="25"/>
      <w:bookmarkEnd w:id="26"/>
      <w:r>
        <w:t xml:space="preserve"> </w:t>
      </w:r>
    </w:p>
    <w:p w:rsidR="00B624B3" w:rsidRPr="00AB3433" w:rsidRDefault="00B624B3" w:rsidP="00B624B3">
      <w:pPr>
        <w:rPr>
          <w:rFonts w:ascii="Arial" w:hAnsi="Arial" w:cs="Arial"/>
          <w:sz w:val="20"/>
          <w:szCs w:val="20"/>
        </w:rPr>
      </w:pPr>
      <w:r w:rsidRPr="00AB3433">
        <w:rPr>
          <w:rFonts w:ascii="Arial" w:hAnsi="Arial" w:cs="Arial"/>
          <w:sz w:val="20"/>
          <w:szCs w:val="20"/>
        </w:rPr>
        <w:t>The delivery method for this measure is downstream prescriptive rebate.</w:t>
      </w:r>
    </w:p>
    <w:p w:rsidR="00B624B3" w:rsidRPr="00AB3433" w:rsidRDefault="00B624B3" w:rsidP="00B624B3">
      <w:pPr>
        <w:rPr>
          <w:rFonts w:ascii="Arial" w:hAnsi="Arial" w:cs="Arial"/>
          <w:sz w:val="20"/>
          <w:szCs w:val="20"/>
        </w:rPr>
      </w:pPr>
    </w:p>
    <w:p w:rsidR="004944D0" w:rsidRPr="004944D0" w:rsidRDefault="00B624B3" w:rsidP="004944D0">
      <w:pPr>
        <w:rPr>
          <w:rFonts w:ascii="Arial" w:hAnsi="Arial"/>
          <w:sz w:val="20"/>
        </w:rPr>
      </w:pPr>
      <w:r w:rsidRPr="00AB3433">
        <w:rPr>
          <w:rFonts w:ascii="Arial" w:hAnsi="Arial" w:cs="Arial"/>
          <w:sz w:val="20"/>
          <w:szCs w:val="20"/>
        </w:rPr>
        <w:t xml:space="preserve">The </w:t>
      </w:r>
      <w:r w:rsidR="00923FD4">
        <w:rPr>
          <w:rFonts w:ascii="Arial" w:hAnsi="Arial" w:cs="Arial"/>
          <w:sz w:val="20"/>
          <w:szCs w:val="20"/>
        </w:rPr>
        <w:t>Measure Application T</w:t>
      </w:r>
      <w:r w:rsidRPr="00AB3433">
        <w:rPr>
          <w:rFonts w:ascii="Arial" w:hAnsi="Arial" w:cs="Arial"/>
          <w:sz w:val="20"/>
          <w:szCs w:val="20"/>
        </w:rPr>
        <w:t>ype</w:t>
      </w:r>
      <w:r w:rsidR="0052346E" w:rsidRPr="00AB3433">
        <w:rPr>
          <w:rFonts w:ascii="Arial" w:hAnsi="Arial" w:cs="Arial"/>
          <w:sz w:val="20"/>
          <w:szCs w:val="20"/>
        </w:rPr>
        <w:t xml:space="preserve"> for this</w:t>
      </w:r>
      <w:r w:rsidRPr="00AB3433">
        <w:rPr>
          <w:rFonts w:ascii="Arial" w:hAnsi="Arial" w:cs="Arial"/>
          <w:sz w:val="20"/>
          <w:szCs w:val="20"/>
        </w:rPr>
        <w:t xml:space="preserve"> measure </w:t>
      </w:r>
      <w:r w:rsidR="0052346E" w:rsidRPr="00AB3433">
        <w:rPr>
          <w:rFonts w:ascii="Arial" w:hAnsi="Arial" w:cs="Arial"/>
          <w:sz w:val="20"/>
          <w:szCs w:val="20"/>
        </w:rPr>
        <w:t>is</w:t>
      </w:r>
      <w:r w:rsidR="004944D0">
        <w:rPr>
          <w:rFonts w:ascii="Arial" w:hAnsi="Arial" w:cs="Arial"/>
          <w:sz w:val="20"/>
          <w:szCs w:val="20"/>
        </w:rPr>
        <w:t xml:space="preserve"> Replace on Burnout. </w:t>
      </w:r>
      <w:r w:rsidR="004944D0" w:rsidRPr="004944D0">
        <w:rPr>
          <w:rFonts w:ascii="Arial" w:hAnsi="Arial"/>
          <w:sz w:val="20"/>
        </w:rPr>
        <w:t>The DEER Measure Cost Data Users Guide</w:t>
      </w:r>
      <w:r w:rsidR="004944D0" w:rsidRPr="004944D0">
        <w:rPr>
          <w:rFonts w:ascii="Arial" w:hAnsi="Arial" w:cs="Arial"/>
          <w:sz w:val="20"/>
          <w:szCs w:val="20"/>
        </w:rPr>
        <w:t xml:space="preserve"> found on </w:t>
      </w:r>
      <w:hyperlink r:id="rId22" w:history="1">
        <w:r w:rsidR="004944D0" w:rsidRPr="004944D0">
          <w:rPr>
            <w:rFonts w:ascii="Arial" w:hAnsi="Arial" w:cs="Arial"/>
            <w:color w:val="0000FF"/>
            <w:sz w:val="20"/>
            <w:szCs w:val="20"/>
            <w:u w:val="single"/>
          </w:rPr>
          <w:t>www.deeresources.com</w:t>
        </w:r>
      </w:hyperlink>
      <w:r w:rsidR="004944D0" w:rsidRPr="004944D0">
        <w:rPr>
          <w:rFonts w:ascii="Arial" w:hAnsi="Arial" w:cs="Arial"/>
          <w:sz w:val="20"/>
          <w:szCs w:val="20"/>
        </w:rPr>
        <w:t xml:space="preserve"> under </w:t>
      </w:r>
      <w:r w:rsidR="004944D0" w:rsidRPr="004944D0">
        <w:rPr>
          <w:rFonts w:ascii="Arial" w:hAnsi="Arial" w:cs="Arial"/>
          <w:i/>
          <w:sz w:val="20"/>
          <w:szCs w:val="20"/>
        </w:rPr>
        <w:t>DEER2011 Database Format</w:t>
      </w:r>
      <w:r w:rsidR="004944D0" w:rsidRPr="004944D0">
        <w:rPr>
          <w:rFonts w:ascii="Arial" w:hAnsi="Arial" w:cs="Arial"/>
          <w:sz w:val="20"/>
          <w:szCs w:val="20"/>
        </w:rPr>
        <w:t xml:space="preserve"> hyperlink, </w:t>
      </w:r>
      <w:r w:rsidR="004944D0" w:rsidRPr="004944D0">
        <w:rPr>
          <w:rFonts w:ascii="Arial" w:hAnsi="Arial" w:cs="Arial"/>
          <w:color w:val="333333"/>
          <w:sz w:val="19"/>
          <w:szCs w:val="19"/>
          <w:lang w:val="en-GB"/>
        </w:rPr>
        <w:t>DEER2011 for 13-14,</w:t>
      </w:r>
      <w:r w:rsidR="004944D0" w:rsidRPr="004944D0">
        <w:rPr>
          <w:rFonts w:ascii="Arial" w:hAnsi="Arial" w:cs="Arial"/>
          <w:sz w:val="20"/>
          <w:szCs w:val="20"/>
        </w:rPr>
        <w:t xml:space="preserve"> spreadsheet </w:t>
      </w:r>
      <w:r w:rsidR="004944D0" w:rsidRPr="004944D0">
        <w:rPr>
          <w:rFonts w:ascii="Arial" w:hAnsi="Arial" w:cs="Arial"/>
          <w:i/>
          <w:sz w:val="20"/>
          <w:szCs w:val="20"/>
        </w:rPr>
        <w:t>SPTdata_format-V0.97.xls</w:t>
      </w:r>
      <w:r w:rsidR="004944D0" w:rsidRPr="004944D0">
        <w:rPr>
          <w:rFonts w:ascii="Arial" w:hAnsi="Arial"/>
          <w:sz w:val="20"/>
        </w:rPr>
        <w:t>, defines the terms as follows:</w:t>
      </w:r>
    </w:p>
    <w:p w:rsidR="004944D0" w:rsidRPr="004944D0" w:rsidRDefault="004944D0" w:rsidP="0052346E">
      <w:pPr>
        <w:rPr>
          <w:rFonts w:ascii="Arial" w:hAnsi="Arial" w:cs="Arial"/>
          <w:sz w:val="20"/>
          <w:szCs w:val="20"/>
        </w:rPr>
      </w:pPr>
      <w:r w:rsidRPr="004944D0">
        <w:rPr>
          <w:rFonts w:ascii="Arial" w:hAnsi="Arial" w:cs="Arial"/>
          <w:sz w:val="20"/>
          <w:szCs w:val="20"/>
        </w:rPr>
        <w:t xml:space="preserve"> </w:t>
      </w:r>
    </w:p>
    <w:p w:rsidR="004944D0" w:rsidRPr="008C6A2F" w:rsidRDefault="004944D0" w:rsidP="008C6A2F">
      <w:pPr>
        <w:pStyle w:val="Caption"/>
        <w:keepNext/>
        <w:jc w:val="center"/>
        <w:rPr>
          <w:rFonts w:ascii="Arial" w:hAnsi="Arial" w:cs="Arial"/>
          <w:sz w:val="26"/>
          <w:szCs w:val="26"/>
        </w:rPr>
      </w:pPr>
      <w:bookmarkStart w:id="27" w:name="_Toc387912234"/>
      <w:bookmarkStart w:id="28" w:name="_Toc390184320"/>
      <w:r w:rsidRPr="008C6A2F">
        <w:rPr>
          <w:rFonts w:ascii="Arial" w:hAnsi="Arial" w:cs="Arial"/>
        </w:rPr>
        <w:t xml:space="preserve">Table </w:t>
      </w:r>
      <w:r w:rsidRPr="008C6A2F">
        <w:rPr>
          <w:rFonts w:ascii="Arial" w:hAnsi="Arial" w:cs="Arial"/>
        </w:rPr>
        <w:fldChar w:fldCharType="begin"/>
      </w:r>
      <w:r w:rsidRPr="008C6A2F">
        <w:rPr>
          <w:rFonts w:ascii="Arial" w:hAnsi="Arial" w:cs="Arial"/>
        </w:rPr>
        <w:instrText xml:space="preserve"> SEQ Table \* ARABIC </w:instrText>
      </w:r>
      <w:r w:rsidRPr="008C6A2F">
        <w:rPr>
          <w:rFonts w:ascii="Arial" w:hAnsi="Arial" w:cs="Arial"/>
        </w:rPr>
        <w:fldChar w:fldCharType="separate"/>
      </w:r>
      <w:r w:rsidRPr="008C6A2F">
        <w:rPr>
          <w:rFonts w:ascii="Arial" w:hAnsi="Arial" w:cs="Arial"/>
          <w:noProof/>
        </w:rPr>
        <w:t>1</w:t>
      </w:r>
      <w:r w:rsidRPr="008C6A2F">
        <w:rPr>
          <w:rFonts w:ascii="Arial" w:hAnsi="Arial" w:cs="Arial"/>
          <w:noProof/>
        </w:rPr>
        <w:fldChar w:fldCharType="end"/>
      </w:r>
      <w:bookmarkStart w:id="29" w:name="RANGE!B222"/>
      <w:r w:rsidRPr="008C6A2F">
        <w:rPr>
          <w:rFonts w:ascii="Arial" w:hAnsi="Arial" w:cs="Arial"/>
          <w:sz w:val="26"/>
          <w:szCs w:val="26"/>
        </w:rPr>
        <w:t xml:space="preserve"> </w:t>
      </w:r>
      <w:r w:rsidRPr="008C6A2F">
        <w:rPr>
          <w:rFonts w:ascii="Arial" w:hAnsi="Arial" w:cs="Arial"/>
        </w:rPr>
        <w:t>Measure Application Type</w:t>
      </w:r>
      <w:bookmarkEnd w:id="27"/>
      <w:bookmarkEnd w:id="28"/>
      <w:bookmarkEnd w:id="29"/>
    </w:p>
    <w:p w:rsidR="004944D0" w:rsidRPr="008C6A2F" w:rsidRDefault="004944D0" w:rsidP="004944D0">
      <w:pPr>
        <w:keepNext/>
        <w:rPr>
          <w:rFonts w:ascii="Arial" w:hAnsi="Arial" w:cs="Arial"/>
          <w:sz w:val="20"/>
          <w:szCs w:val="20"/>
        </w:rPr>
      </w:pPr>
      <w:r w:rsidRPr="008C6A2F">
        <w:rPr>
          <w:rFonts w:ascii="Arial" w:hAnsi="Arial" w:cs="Arial"/>
          <w:i/>
          <w:iCs/>
          <w:sz w:val="20"/>
          <w:szCs w:val="20"/>
        </w:rPr>
        <w:t>Identifies the measure application type in the Measure Implementation table in DEER2011.</w:t>
      </w:r>
    </w:p>
    <w:tbl>
      <w:tblPr>
        <w:tblW w:w="9090" w:type="dxa"/>
        <w:tblInd w:w="108" w:type="dxa"/>
        <w:tblBorders>
          <w:top w:val="single" w:sz="4" w:space="0" w:color="auto"/>
          <w:left w:val="single" w:sz="4" w:space="0" w:color="auto"/>
          <w:bottom w:val="single" w:sz="4" w:space="0" w:color="auto"/>
          <w:right w:val="single" w:sz="4" w:space="0" w:color="auto"/>
          <w:insideH w:val="single" w:sz="8" w:space="0" w:color="auto"/>
        </w:tblBorders>
        <w:tblLook w:val="04A0" w:firstRow="1" w:lastRow="0" w:firstColumn="1" w:lastColumn="0" w:noHBand="0" w:noVBand="1"/>
      </w:tblPr>
      <w:tblGrid>
        <w:gridCol w:w="900"/>
        <w:gridCol w:w="2610"/>
        <w:gridCol w:w="5580"/>
      </w:tblGrid>
      <w:tr w:rsidR="004944D0" w:rsidRPr="00BD02D0" w:rsidTr="008C6A2F">
        <w:trPr>
          <w:trHeight w:val="315"/>
        </w:trPr>
        <w:tc>
          <w:tcPr>
            <w:tcW w:w="900" w:type="dxa"/>
            <w:shd w:val="clear" w:color="000000" w:fill="D9D9D9"/>
            <w:noWrap/>
            <w:vAlign w:val="bottom"/>
            <w:hideMark/>
          </w:tcPr>
          <w:p w:rsidR="004944D0" w:rsidRPr="008C6A2F" w:rsidRDefault="004944D0" w:rsidP="00504E17">
            <w:pPr>
              <w:rPr>
                <w:rFonts w:ascii="Arial" w:hAnsi="Arial" w:cs="Arial"/>
                <w:b/>
                <w:color w:val="000000"/>
                <w:sz w:val="20"/>
                <w:szCs w:val="20"/>
              </w:rPr>
            </w:pPr>
            <w:r w:rsidRPr="008C6A2F">
              <w:rPr>
                <w:rFonts w:ascii="Arial" w:hAnsi="Arial" w:cs="Arial"/>
                <w:b/>
                <w:color w:val="000000"/>
                <w:sz w:val="20"/>
                <w:szCs w:val="20"/>
              </w:rPr>
              <w:t>Code</w:t>
            </w:r>
          </w:p>
        </w:tc>
        <w:tc>
          <w:tcPr>
            <w:tcW w:w="2610" w:type="dxa"/>
            <w:shd w:val="clear" w:color="000000" w:fill="D9D9D9"/>
            <w:noWrap/>
            <w:vAlign w:val="bottom"/>
            <w:hideMark/>
          </w:tcPr>
          <w:p w:rsidR="004944D0" w:rsidRPr="008C6A2F" w:rsidRDefault="004944D0" w:rsidP="00504E17">
            <w:pPr>
              <w:rPr>
                <w:rFonts w:ascii="Arial" w:hAnsi="Arial" w:cs="Arial"/>
                <w:b/>
                <w:color w:val="000000"/>
                <w:sz w:val="20"/>
                <w:szCs w:val="20"/>
              </w:rPr>
            </w:pPr>
            <w:r w:rsidRPr="008C6A2F">
              <w:rPr>
                <w:rFonts w:ascii="Arial" w:hAnsi="Arial" w:cs="Arial"/>
                <w:b/>
                <w:color w:val="000000"/>
                <w:sz w:val="20"/>
                <w:szCs w:val="20"/>
              </w:rPr>
              <w:t>Description</w:t>
            </w:r>
          </w:p>
        </w:tc>
        <w:tc>
          <w:tcPr>
            <w:tcW w:w="5580" w:type="dxa"/>
            <w:shd w:val="clear" w:color="000000" w:fill="D9D9D9"/>
            <w:noWrap/>
            <w:vAlign w:val="bottom"/>
            <w:hideMark/>
          </w:tcPr>
          <w:p w:rsidR="004944D0" w:rsidRPr="008C6A2F" w:rsidRDefault="004944D0" w:rsidP="00504E17">
            <w:pPr>
              <w:rPr>
                <w:rFonts w:ascii="Arial" w:hAnsi="Arial" w:cs="Arial"/>
                <w:b/>
                <w:color w:val="000000"/>
                <w:sz w:val="20"/>
                <w:szCs w:val="20"/>
              </w:rPr>
            </w:pPr>
            <w:r w:rsidRPr="008C6A2F">
              <w:rPr>
                <w:rFonts w:ascii="Arial" w:hAnsi="Arial" w:cs="Arial"/>
                <w:b/>
                <w:color w:val="000000"/>
                <w:sz w:val="20"/>
                <w:szCs w:val="20"/>
              </w:rPr>
              <w:t>Comment</w:t>
            </w:r>
          </w:p>
        </w:tc>
      </w:tr>
      <w:tr w:rsidR="004944D0" w:rsidRPr="00BD02D0" w:rsidTr="008C6A2F">
        <w:trPr>
          <w:trHeight w:val="600"/>
        </w:trPr>
        <w:tc>
          <w:tcPr>
            <w:tcW w:w="900" w:type="dxa"/>
            <w:shd w:val="clear" w:color="auto" w:fill="auto"/>
            <w:noWrap/>
            <w:vAlign w:val="center"/>
            <w:hideMark/>
          </w:tcPr>
          <w:p w:rsidR="004944D0" w:rsidRPr="008C6A2F" w:rsidRDefault="004944D0" w:rsidP="00504E17">
            <w:pPr>
              <w:rPr>
                <w:rFonts w:ascii="Arial" w:hAnsi="Arial" w:cs="Arial"/>
                <w:sz w:val="20"/>
                <w:szCs w:val="20"/>
              </w:rPr>
            </w:pPr>
            <w:r w:rsidRPr="008C6A2F">
              <w:rPr>
                <w:rFonts w:ascii="Arial" w:hAnsi="Arial" w:cs="Arial"/>
                <w:sz w:val="20"/>
                <w:szCs w:val="20"/>
              </w:rPr>
              <w:t>ROB</w:t>
            </w:r>
          </w:p>
        </w:tc>
        <w:tc>
          <w:tcPr>
            <w:tcW w:w="2610" w:type="dxa"/>
            <w:shd w:val="clear" w:color="auto" w:fill="auto"/>
            <w:noWrap/>
            <w:vAlign w:val="center"/>
            <w:hideMark/>
          </w:tcPr>
          <w:p w:rsidR="004944D0" w:rsidRPr="008C6A2F" w:rsidRDefault="004944D0" w:rsidP="00504E17">
            <w:pPr>
              <w:rPr>
                <w:rFonts w:ascii="Arial" w:hAnsi="Arial" w:cs="Arial"/>
                <w:sz w:val="20"/>
                <w:szCs w:val="20"/>
              </w:rPr>
            </w:pPr>
            <w:r w:rsidRPr="008C6A2F">
              <w:rPr>
                <w:rFonts w:ascii="Arial" w:hAnsi="Arial" w:cs="Arial"/>
                <w:sz w:val="20"/>
                <w:szCs w:val="20"/>
              </w:rPr>
              <w:t>Replace on Burnout</w:t>
            </w:r>
          </w:p>
        </w:tc>
        <w:tc>
          <w:tcPr>
            <w:tcW w:w="5580" w:type="dxa"/>
            <w:shd w:val="clear" w:color="auto" w:fill="auto"/>
            <w:vAlign w:val="center"/>
            <w:hideMark/>
          </w:tcPr>
          <w:p w:rsidR="004944D0" w:rsidRPr="008C6A2F" w:rsidRDefault="004944D0" w:rsidP="00504E17">
            <w:pPr>
              <w:rPr>
                <w:rFonts w:ascii="Arial" w:hAnsi="Arial" w:cs="Arial"/>
                <w:i/>
                <w:iCs/>
                <w:sz w:val="20"/>
                <w:szCs w:val="20"/>
              </w:rPr>
            </w:pPr>
            <w:r w:rsidRPr="008C6A2F">
              <w:rPr>
                <w:rFonts w:ascii="Arial" w:hAnsi="Arial" w:cs="Arial"/>
                <w:i/>
                <w:iCs/>
                <w:sz w:val="20"/>
                <w:szCs w:val="20"/>
              </w:rPr>
              <w:t>measure applied when existing equipment fails or maintenance requires replacement</w:t>
            </w:r>
          </w:p>
        </w:tc>
      </w:tr>
    </w:tbl>
    <w:p w:rsidR="004944D0" w:rsidRDefault="004944D0" w:rsidP="0052346E">
      <w:pPr>
        <w:rPr>
          <w:rFonts w:ascii="Arial" w:hAnsi="Arial" w:cs="Arial"/>
          <w:sz w:val="20"/>
          <w:szCs w:val="20"/>
        </w:rPr>
      </w:pPr>
    </w:p>
    <w:p w:rsidR="000A5B22" w:rsidRPr="00AB3433" w:rsidRDefault="000A5B22" w:rsidP="0052346E">
      <w:pPr>
        <w:rPr>
          <w:rFonts w:ascii="Arial" w:hAnsi="Arial" w:cs="Arial"/>
          <w:sz w:val="20"/>
          <w:szCs w:val="20"/>
        </w:rPr>
      </w:pPr>
    </w:p>
    <w:p w:rsidR="0052346E" w:rsidRPr="00AB3433" w:rsidRDefault="0052346E" w:rsidP="0052346E">
      <w:pPr>
        <w:rPr>
          <w:rFonts w:ascii="Arial" w:hAnsi="Arial" w:cs="Arial"/>
          <w:sz w:val="20"/>
          <w:szCs w:val="20"/>
        </w:rPr>
      </w:pPr>
      <w:r w:rsidRPr="00AB3433">
        <w:rPr>
          <w:rFonts w:ascii="Arial" w:hAnsi="Arial" w:cs="Arial"/>
          <w:sz w:val="20"/>
          <w:szCs w:val="20"/>
        </w:rPr>
        <w:t>The existing refrigerated display case is considered to have reached the end of its useful life because the simple payback period for a retrofit version of the measure would exceed that generally acceptable for this market</w:t>
      </w:r>
      <w:r w:rsidR="008679C2" w:rsidRPr="00AB3433">
        <w:rPr>
          <w:rFonts w:ascii="Arial" w:hAnsi="Arial" w:cs="Arial"/>
          <w:sz w:val="20"/>
          <w:szCs w:val="20"/>
        </w:rPr>
        <w:t xml:space="preserve"> segment</w:t>
      </w:r>
      <w:r w:rsidRPr="00AB3433">
        <w:rPr>
          <w:rFonts w:ascii="Arial" w:hAnsi="Arial" w:cs="Arial"/>
          <w:sz w:val="20"/>
          <w:szCs w:val="20"/>
        </w:rPr>
        <w:t xml:space="preserve">.  </w:t>
      </w:r>
    </w:p>
    <w:p w:rsidR="00B624B3" w:rsidRDefault="00B624B3" w:rsidP="00B624B3">
      <w:pPr>
        <w:pStyle w:val="Heading2"/>
        <w:ind w:left="576" w:hanging="576"/>
      </w:pPr>
      <w:bookmarkStart w:id="30" w:name="_Toc387912000"/>
      <w:bookmarkStart w:id="31" w:name="_Toc389487648"/>
      <w:r>
        <w:t>1.4 Product Base Case and Measure Case Data</w:t>
      </w:r>
      <w:bookmarkEnd w:id="30"/>
      <w:bookmarkEnd w:id="31"/>
    </w:p>
    <w:p w:rsidR="00B624B3" w:rsidRDefault="00B624B3" w:rsidP="00B624B3">
      <w:pPr>
        <w:pStyle w:val="Heading3"/>
        <w:ind w:left="720" w:hanging="720"/>
      </w:pPr>
      <w:bookmarkStart w:id="32" w:name="_Toc387912001"/>
      <w:bookmarkStart w:id="33" w:name="_Toc389487649"/>
      <w:r>
        <w:t xml:space="preserve">1.4.1 </w:t>
      </w:r>
      <w:r w:rsidR="007806DB">
        <w:t xml:space="preserve">DEER </w:t>
      </w:r>
      <w:r>
        <w:t>Base Case and Measure Case Information</w:t>
      </w:r>
      <w:bookmarkEnd w:id="32"/>
      <w:bookmarkEnd w:id="33"/>
      <w:r>
        <w:t xml:space="preserve"> </w:t>
      </w:r>
    </w:p>
    <w:p w:rsidR="000A5B22" w:rsidRPr="000A5B22" w:rsidRDefault="000A5B22" w:rsidP="000A5B22"/>
    <w:p w:rsidR="007806DB" w:rsidRPr="00AB3433" w:rsidRDefault="007806DB" w:rsidP="007806DB">
      <w:pPr>
        <w:rPr>
          <w:rFonts w:ascii="Arial" w:hAnsi="Arial" w:cs="Arial"/>
          <w:sz w:val="20"/>
          <w:szCs w:val="20"/>
        </w:rPr>
      </w:pPr>
      <w:r w:rsidRPr="00AB3433">
        <w:rPr>
          <w:rFonts w:ascii="Arial" w:hAnsi="Arial" w:cs="Arial"/>
          <w:sz w:val="20"/>
          <w:szCs w:val="20"/>
        </w:rPr>
        <w:t xml:space="preserve">The 2011 DEER v4.01 data include the Net to Gross applicable to this measure. </w:t>
      </w:r>
    </w:p>
    <w:p w:rsidR="007806DB" w:rsidRPr="00AB3433" w:rsidRDefault="007806DB" w:rsidP="007806DB">
      <w:pPr>
        <w:rPr>
          <w:rFonts w:ascii="Arial" w:hAnsi="Arial" w:cs="Arial"/>
          <w:sz w:val="20"/>
          <w:szCs w:val="20"/>
        </w:rPr>
      </w:pPr>
    </w:p>
    <w:p w:rsidR="007806DB" w:rsidRPr="00AB3433" w:rsidRDefault="007806DB" w:rsidP="007806DB">
      <w:pPr>
        <w:rPr>
          <w:rFonts w:ascii="Arial" w:hAnsi="Arial" w:cs="Arial"/>
          <w:sz w:val="20"/>
          <w:szCs w:val="20"/>
        </w:rPr>
      </w:pPr>
      <w:r w:rsidRPr="00AB3433">
        <w:rPr>
          <w:rFonts w:ascii="Arial" w:hAnsi="Arial" w:cs="Arial"/>
          <w:sz w:val="20"/>
          <w:szCs w:val="20"/>
        </w:rPr>
        <w:t xml:space="preserve">The 2008 DEER v2.05 data include the equipment useful life (EUL) applicable to this measure. </w:t>
      </w:r>
    </w:p>
    <w:p w:rsidR="007806DB" w:rsidRPr="00AB3433" w:rsidRDefault="007806DB" w:rsidP="007806DB">
      <w:pPr>
        <w:rPr>
          <w:rFonts w:ascii="Arial" w:hAnsi="Arial" w:cs="Arial"/>
          <w:sz w:val="20"/>
          <w:szCs w:val="20"/>
        </w:rPr>
      </w:pPr>
    </w:p>
    <w:p w:rsidR="007806DB" w:rsidRPr="00AB3433" w:rsidRDefault="007806DB" w:rsidP="007806DB">
      <w:pPr>
        <w:rPr>
          <w:rFonts w:ascii="Arial" w:hAnsi="Arial" w:cs="Arial"/>
          <w:sz w:val="20"/>
          <w:szCs w:val="20"/>
        </w:rPr>
      </w:pPr>
      <w:r w:rsidRPr="00AB3433">
        <w:rPr>
          <w:rFonts w:ascii="Arial" w:hAnsi="Arial" w:cs="Arial"/>
          <w:sz w:val="20"/>
          <w:szCs w:val="20"/>
        </w:rPr>
        <w:t xml:space="preserve">The DEER </w:t>
      </w:r>
      <w:r w:rsidR="00CA7BFB">
        <w:rPr>
          <w:rFonts w:ascii="Arial" w:hAnsi="Arial" w:cs="Arial"/>
          <w:sz w:val="20"/>
          <w:szCs w:val="20"/>
        </w:rPr>
        <w:t xml:space="preserve">2014 </w:t>
      </w:r>
      <w:r w:rsidRPr="00AB3433">
        <w:rPr>
          <w:rFonts w:ascii="Arial" w:hAnsi="Arial" w:cs="Arial"/>
          <w:sz w:val="20"/>
          <w:szCs w:val="20"/>
        </w:rPr>
        <w:t>data does not contain the demand, electric, gas energy savings, equipment unit costs, or equipment incre</w:t>
      </w:r>
      <w:r w:rsidR="00A64804">
        <w:rPr>
          <w:rFonts w:ascii="Arial" w:hAnsi="Arial" w:cs="Arial"/>
          <w:sz w:val="20"/>
          <w:szCs w:val="20"/>
        </w:rPr>
        <w:t>mental costs for this measure.</w:t>
      </w:r>
    </w:p>
    <w:p w:rsidR="005B67ED" w:rsidRPr="007806DB" w:rsidRDefault="005B67ED" w:rsidP="007806DB"/>
    <w:p w:rsidR="00B624B3" w:rsidRPr="00AB3433" w:rsidRDefault="00B624B3" w:rsidP="00B624B3">
      <w:pPr>
        <w:pStyle w:val="Caption"/>
        <w:keepNext/>
        <w:jc w:val="center"/>
        <w:rPr>
          <w:rFonts w:ascii="Arial" w:hAnsi="Arial" w:cs="Arial"/>
        </w:rPr>
      </w:pPr>
      <w:bookmarkStart w:id="34" w:name="_Toc387912235"/>
      <w:bookmarkStart w:id="35" w:name="_Toc390184321"/>
      <w:r w:rsidRPr="00AB3433">
        <w:rPr>
          <w:rFonts w:ascii="Arial" w:hAnsi="Arial" w:cs="Arial"/>
        </w:rPr>
        <w:t xml:space="preserve">Table </w:t>
      </w:r>
      <w:r w:rsidR="00D2400A" w:rsidRPr="00AB3433">
        <w:rPr>
          <w:rFonts w:ascii="Arial" w:hAnsi="Arial" w:cs="Arial"/>
        </w:rPr>
        <w:fldChar w:fldCharType="begin"/>
      </w:r>
      <w:r w:rsidRPr="00AB3433">
        <w:rPr>
          <w:rFonts w:ascii="Arial" w:hAnsi="Arial" w:cs="Arial"/>
        </w:rPr>
        <w:instrText xml:space="preserve"> SEQ Table \* ARABIC \s 1 </w:instrText>
      </w:r>
      <w:r w:rsidR="00D2400A" w:rsidRPr="00AB3433">
        <w:rPr>
          <w:rFonts w:ascii="Arial" w:hAnsi="Arial" w:cs="Arial"/>
        </w:rPr>
        <w:fldChar w:fldCharType="separate"/>
      </w:r>
      <w:r w:rsidR="004944D0">
        <w:rPr>
          <w:rFonts w:ascii="Arial" w:hAnsi="Arial" w:cs="Arial"/>
          <w:noProof/>
        </w:rPr>
        <w:t>2</w:t>
      </w:r>
      <w:r w:rsidR="00D2400A" w:rsidRPr="00AB3433">
        <w:rPr>
          <w:rFonts w:ascii="Arial" w:hAnsi="Arial" w:cs="Arial"/>
        </w:rPr>
        <w:fldChar w:fldCharType="end"/>
      </w:r>
      <w:r w:rsidRPr="00AB3433">
        <w:rPr>
          <w:rFonts w:ascii="Arial" w:hAnsi="Arial" w:cs="Arial"/>
        </w:rPr>
        <w:t xml:space="preserve"> </w:t>
      </w:r>
      <w:r w:rsidR="004944D0">
        <w:rPr>
          <w:rFonts w:ascii="Arial" w:hAnsi="Arial" w:cs="Arial"/>
        </w:rPr>
        <w:t xml:space="preserve">DEER </w:t>
      </w:r>
      <w:r w:rsidRPr="00AB3433">
        <w:rPr>
          <w:rFonts w:ascii="Arial" w:hAnsi="Arial" w:cs="Arial"/>
        </w:rPr>
        <w:t>Net-to-Gross Ratios</w:t>
      </w:r>
      <w:bookmarkEnd w:id="34"/>
      <w:bookmarkEnd w:id="35"/>
    </w:p>
    <w:tbl>
      <w:tblPr>
        <w:tblW w:w="4098" w:type="pct"/>
        <w:tblInd w:w="720" w:type="dxa"/>
        <w:tblBorders>
          <w:insideH w:val="single" w:sz="18" w:space="0" w:color="FFFFFF"/>
          <w:insideV w:val="single" w:sz="18" w:space="0" w:color="FFFFFF"/>
        </w:tblBorders>
        <w:tblLook w:val="01E0" w:firstRow="1" w:lastRow="1" w:firstColumn="1" w:lastColumn="1" w:noHBand="0" w:noVBand="0"/>
      </w:tblPr>
      <w:tblGrid>
        <w:gridCol w:w="3357"/>
        <w:gridCol w:w="1217"/>
        <w:gridCol w:w="2057"/>
        <w:gridCol w:w="1217"/>
      </w:tblGrid>
      <w:tr w:rsidR="00B624B3" w:rsidRPr="007806DB" w:rsidTr="0001647C">
        <w:tc>
          <w:tcPr>
            <w:tcW w:w="2273" w:type="pct"/>
            <w:shd w:val="pct20" w:color="000000" w:fill="FFFFFF"/>
          </w:tcPr>
          <w:p w:rsidR="00B624B3" w:rsidRPr="007806DB" w:rsidRDefault="00B624B3" w:rsidP="0001647C">
            <w:pPr>
              <w:jc w:val="center"/>
              <w:rPr>
                <w:rFonts w:ascii="Arial" w:hAnsi="Arial" w:cs="Arial"/>
                <w:b/>
                <w:bCs/>
                <w:sz w:val="20"/>
                <w:szCs w:val="20"/>
              </w:rPr>
            </w:pPr>
          </w:p>
        </w:tc>
        <w:tc>
          <w:tcPr>
            <w:tcW w:w="909" w:type="pct"/>
            <w:shd w:val="pct20" w:color="000000" w:fill="FFFFFF"/>
          </w:tcPr>
          <w:p w:rsidR="00B624B3" w:rsidRPr="007806DB" w:rsidRDefault="00B624B3" w:rsidP="0001647C">
            <w:pPr>
              <w:jc w:val="center"/>
              <w:rPr>
                <w:rFonts w:ascii="Arial" w:hAnsi="Arial" w:cs="Arial"/>
                <w:b/>
                <w:bCs/>
                <w:sz w:val="20"/>
                <w:szCs w:val="20"/>
              </w:rPr>
            </w:pPr>
          </w:p>
        </w:tc>
        <w:tc>
          <w:tcPr>
            <w:tcW w:w="1818" w:type="pct"/>
            <w:gridSpan w:val="2"/>
            <w:shd w:val="pct20" w:color="000000" w:fill="FFFFFF"/>
          </w:tcPr>
          <w:p w:rsidR="00B624B3" w:rsidRPr="007806DB" w:rsidRDefault="00B624B3" w:rsidP="0001647C">
            <w:pPr>
              <w:jc w:val="center"/>
              <w:rPr>
                <w:rFonts w:ascii="Arial" w:hAnsi="Arial" w:cs="Arial"/>
                <w:b/>
                <w:bCs/>
                <w:sz w:val="20"/>
                <w:szCs w:val="20"/>
              </w:rPr>
            </w:pPr>
            <w:r w:rsidRPr="007806DB">
              <w:rPr>
                <w:rFonts w:ascii="Arial" w:hAnsi="Arial" w:cs="Arial"/>
                <w:b/>
                <w:bCs/>
                <w:sz w:val="20"/>
                <w:szCs w:val="20"/>
              </w:rPr>
              <w:t>DEER Spreadsheet</w:t>
            </w:r>
          </w:p>
        </w:tc>
      </w:tr>
      <w:tr w:rsidR="00B624B3" w:rsidRPr="007806DB" w:rsidTr="0001647C">
        <w:tc>
          <w:tcPr>
            <w:tcW w:w="2273" w:type="pct"/>
            <w:shd w:val="pct5" w:color="000000" w:fill="FFFFFF"/>
          </w:tcPr>
          <w:p w:rsidR="00B624B3" w:rsidRPr="007806DB" w:rsidRDefault="00B624B3" w:rsidP="0001647C">
            <w:pPr>
              <w:jc w:val="center"/>
              <w:rPr>
                <w:rFonts w:ascii="Arial" w:hAnsi="Arial" w:cs="Arial"/>
                <w:sz w:val="20"/>
                <w:szCs w:val="20"/>
              </w:rPr>
            </w:pPr>
            <w:r w:rsidRPr="007806DB">
              <w:rPr>
                <w:rFonts w:ascii="Arial" w:hAnsi="Arial" w:cs="Arial"/>
                <w:sz w:val="20"/>
                <w:szCs w:val="20"/>
              </w:rPr>
              <w:t>Program Approach</w:t>
            </w:r>
          </w:p>
        </w:tc>
        <w:tc>
          <w:tcPr>
            <w:tcW w:w="909" w:type="pct"/>
            <w:shd w:val="pct5" w:color="000000" w:fill="FFFFFF"/>
          </w:tcPr>
          <w:p w:rsidR="00B624B3" w:rsidRPr="007806DB" w:rsidRDefault="00B624B3" w:rsidP="0001647C">
            <w:pPr>
              <w:jc w:val="center"/>
              <w:rPr>
                <w:rFonts w:ascii="Arial" w:hAnsi="Arial" w:cs="Arial"/>
                <w:sz w:val="20"/>
                <w:szCs w:val="20"/>
              </w:rPr>
            </w:pPr>
            <w:r w:rsidRPr="007806DB">
              <w:rPr>
                <w:rFonts w:ascii="Arial" w:hAnsi="Arial" w:cs="Arial"/>
                <w:sz w:val="20"/>
                <w:szCs w:val="20"/>
              </w:rPr>
              <w:t>NTG</w:t>
            </w:r>
          </w:p>
        </w:tc>
        <w:tc>
          <w:tcPr>
            <w:tcW w:w="909" w:type="pct"/>
            <w:shd w:val="pct5" w:color="000000" w:fill="FFFFFF"/>
          </w:tcPr>
          <w:p w:rsidR="00B624B3" w:rsidRPr="007806DB" w:rsidRDefault="00B624B3" w:rsidP="0001647C">
            <w:pPr>
              <w:jc w:val="center"/>
              <w:rPr>
                <w:rFonts w:ascii="Arial" w:hAnsi="Arial" w:cs="Arial"/>
                <w:sz w:val="20"/>
                <w:szCs w:val="20"/>
              </w:rPr>
            </w:pPr>
            <w:r w:rsidRPr="007806DB">
              <w:rPr>
                <w:rFonts w:ascii="Arial" w:hAnsi="Arial" w:cs="Arial"/>
                <w:sz w:val="20"/>
                <w:szCs w:val="20"/>
              </w:rPr>
              <w:t>File name</w:t>
            </w:r>
          </w:p>
        </w:tc>
        <w:tc>
          <w:tcPr>
            <w:tcW w:w="909" w:type="pct"/>
            <w:shd w:val="pct5" w:color="000000" w:fill="FFFFFF"/>
          </w:tcPr>
          <w:p w:rsidR="00B624B3" w:rsidRPr="007806DB" w:rsidRDefault="00B624B3" w:rsidP="0001647C">
            <w:pPr>
              <w:jc w:val="center"/>
              <w:rPr>
                <w:rFonts w:ascii="Arial" w:hAnsi="Arial" w:cs="Arial"/>
                <w:sz w:val="20"/>
                <w:szCs w:val="20"/>
              </w:rPr>
            </w:pPr>
            <w:r w:rsidRPr="007806DB">
              <w:rPr>
                <w:rFonts w:ascii="Arial" w:hAnsi="Arial" w:cs="Arial"/>
                <w:sz w:val="20"/>
                <w:szCs w:val="20"/>
              </w:rPr>
              <w:t>Cell Number</w:t>
            </w:r>
          </w:p>
        </w:tc>
      </w:tr>
      <w:tr w:rsidR="00B624B3" w:rsidRPr="007806DB" w:rsidTr="0001647C">
        <w:tc>
          <w:tcPr>
            <w:tcW w:w="2273" w:type="pct"/>
            <w:shd w:val="pct20" w:color="000000" w:fill="FFFFFF"/>
          </w:tcPr>
          <w:p w:rsidR="00B624B3" w:rsidRPr="007806DB" w:rsidRDefault="00B624B3" w:rsidP="008C6A2F">
            <w:pPr>
              <w:jc w:val="center"/>
              <w:rPr>
                <w:rFonts w:ascii="Arial" w:hAnsi="Arial" w:cs="Arial"/>
                <w:sz w:val="20"/>
                <w:szCs w:val="20"/>
              </w:rPr>
            </w:pPr>
            <w:r w:rsidRPr="007806DB">
              <w:rPr>
                <w:rFonts w:ascii="Arial" w:hAnsi="Arial" w:cs="Arial"/>
                <w:sz w:val="20"/>
                <w:szCs w:val="20"/>
              </w:rPr>
              <w:t>EnergySmart Grocer</w:t>
            </w:r>
          </w:p>
        </w:tc>
        <w:tc>
          <w:tcPr>
            <w:tcW w:w="909" w:type="pct"/>
            <w:shd w:val="pct20" w:color="000000" w:fill="FFFFFF"/>
          </w:tcPr>
          <w:p w:rsidR="00B624B3" w:rsidRPr="007806DB" w:rsidRDefault="00B624B3" w:rsidP="0001647C">
            <w:pPr>
              <w:jc w:val="center"/>
              <w:rPr>
                <w:rFonts w:ascii="Arial" w:hAnsi="Arial" w:cs="Arial"/>
                <w:sz w:val="20"/>
                <w:szCs w:val="20"/>
              </w:rPr>
            </w:pPr>
            <w:r w:rsidRPr="007806DB">
              <w:rPr>
                <w:rFonts w:ascii="Arial" w:hAnsi="Arial" w:cs="Arial"/>
                <w:sz w:val="20"/>
                <w:szCs w:val="20"/>
              </w:rPr>
              <w:t>0.</w:t>
            </w:r>
            <w:r w:rsidR="00297B0C">
              <w:rPr>
                <w:rFonts w:ascii="Arial" w:hAnsi="Arial" w:cs="Arial"/>
                <w:sz w:val="20"/>
                <w:szCs w:val="20"/>
              </w:rPr>
              <w:t>6</w:t>
            </w:r>
            <w:r w:rsidRPr="007806DB">
              <w:rPr>
                <w:rFonts w:ascii="Arial" w:hAnsi="Arial" w:cs="Arial"/>
                <w:sz w:val="20"/>
                <w:szCs w:val="20"/>
              </w:rPr>
              <w:t>0</w:t>
            </w:r>
          </w:p>
        </w:tc>
        <w:tc>
          <w:tcPr>
            <w:tcW w:w="909" w:type="pct"/>
            <w:shd w:val="pct20" w:color="000000" w:fill="FFFFFF"/>
          </w:tcPr>
          <w:p w:rsidR="00B624B3" w:rsidRPr="007806DB" w:rsidRDefault="00F5316D" w:rsidP="0001647C">
            <w:pPr>
              <w:jc w:val="center"/>
              <w:rPr>
                <w:rFonts w:ascii="Arial" w:hAnsi="Arial" w:cs="Arial"/>
                <w:sz w:val="20"/>
                <w:szCs w:val="20"/>
              </w:rPr>
            </w:pPr>
            <w:r w:rsidRPr="007806DB">
              <w:rPr>
                <w:rFonts w:ascii="Arial" w:hAnsi="Arial" w:cs="Arial"/>
                <w:sz w:val="16"/>
                <w:szCs w:val="16"/>
              </w:rPr>
              <w:t>DEER2011_NTGR_2012-05-16</w:t>
            </w:r>
          </w:p>
        </w:tc>
        <w:tc>
          <w:tcPr>
            <w:tcW w:w="909" w:type="pct"/>
            <w:shd w:val="pct20" w:color="000000" w:fill="FFFFFF"/>
          </w:tcPr>
          <w:p w:rsidR="00B624B3" w:rsidRPr="007806DB" w:rsidRDefault="00F5316D" w:rsidP="0001647C">
            <w:pPr>
              <w:jc w:val="center"/>
              <w:rPr>
                <w:rFonts w:ascii="Arial" w:hAnsi="Arial" w:cs="Arial"/>
                <w:sz w:val="20"/>
                <w:szCs w:val="20"/>
              </w:rPr>
            </w:pPr>
            <w:r w:rsidRPr="007806DB">
              <w:rPr>
                <w:rFonts w:ascii="Arial" w:hAnsi="Arial" w:cs="Arial"/>
                <w:sz w:val="20"/>
                <w:szCs w:val="20"/>
              </w:rPr>
              <w:t>T</w:t>
            </w:r>
            <w:r w:rsidR="00297B0C">
              <w:rPr>
                <w:rFonts w:ascii="Arial" w:hAnsi="Arial" w:cs="Arial"/>
                <w:sz w:val="20"/>
                <w:szCs w:val="20"/>
              </w:rPr>
              <w:t>5</w:t>
            </w:r>
            <w:r w:rsidRPr="007806DB">
              <w:rPr>
                <w:rFonts w:ascii="Arial" w:hAnsi="Arial" w:cs="Arial"/>
                <w:sz w:val="20"/>
                <w:szCs w:val="20"/>
              </w:rPr>
              <w:t>6</w:t>
            </w:r>
          </w:p>
        </w:tc>
      </w:tr>
    </w:tbl>
    <w:p w:rsidR="00B624B3" w:rsidRPr="008679C2" w:rsidRDefault="00B624B3" w:rsidP="00B624B3">
      <w:pPr>
        <w:rPr>
          <w:rFonts w:ascii="Arial" w:hAnsi="Arial" w:cs="Arial"/>
          <w:sz w:val="20"/>
          <w:szCs w:val="20"/>
          <w:highlight w:val="yellow"/>
        </w:rPr>
      </w:pPr>
    </w:p>
    <w:p w:rsidR="00B624B3" w:rsidRPr="008679C2" w:rsidRDefault="00B624B3" w:rsidP="00B624B3">
      <w:pPr>
        <w:rPr>
          <w:b/>
          <w:highlight w:val="yellow"/>
        </w:rPr>
      </w:pPr>
    </w:p>
    <w:p w:rsidR="00B624B3" w:rsidRPr="00AB3433" w:rsidRDefault="00B624B3" w:rsidP="00B624B3">
      <w:pPr>
        <w:rPr>
          <w:rFonts w:ascii="Arial" w:hAnsi="Arial" w:cs="Arial"/>
          <w:i/>
          <w:sz w:val="20"/>
          <w:szCs w:val="20"/>
        </w:rPr>
      </w:pPr>
      <w:r w:rsidRPr="00AB3433">
        <w:rPr>
          <w:rFonts w:ascii="Arial" w:hAnsi="Arial" w:cs="Arial"/>
          <w:b/>
          <w:sz w:val="20"/>
          <w:szCs w:val="20"/>
        </w:rPr>
        <w:t>Effective Useful Life / Remaining Useful Life:</w:t>
      </w:r>
    </w:p>
    <w:p w:rsidR="00B624B3" w:rsidRPr="00AB3433" w:rsidRDefault="00B624B3" w:rsidP="00B624B3">
      <w:pPr>
        <w:rPr>
          <w:rFonts w:ascii="Arial" w:hAnsi="Arial" w:cs="Arial"/>
          <w:i/>
          <w:sz w:val="20"/>
          <w:szCs w:val="20"/>
        </w:rPr>
      </w:pPr>
    </w:p>
    <w:p w:rsidR="00B624B3" w:rsidRPr="00AB3433" w:rsidRDefault="00B624B3" w:rsidP="00E50FAA">
      <w:pPr>
        <w:rPr>
          <w:rFonts w:ascii="Arial" w:hAnsi="Arial" w:cs="Arial"/>
          <w:sz w:val="20"/>
          <w:szCs w:val="20"/>
        </w:rPr>
      </w:pPr>
      <w:r w:rsidRPr="00AB3433">
        <w:rPr>
          <w:rFonts w:ascii="Arial" w:hAnsi="Arial" w:cs="Arial"/>
          <w:sz w:val="20"/>
          <w:szCs w:val="20"/>
        </w:rPr>
        <w:t xml:space="preserve">The Effective Useful Life </w:t>
      </w:r>
      <w:r w:rsidR="00BA76B4" w:rsidRPr="00AB3433">
        <w:rPr>
          <w:rFonts w:ascii="Arial" w:hAnsi="Arial" w:cs="Arial"/>
          <w:sz w:val="20"/>
          <w:szCs w:val="20"/>
        </w:rPr>
        <w:t>was estimated based on the EUL applied to similar equipment in DEER 2005.</w:t>
      </w:r>
    </w:p>
    <w:p w:rsidR="00B624B3" w:rsidRPr="00804272" w:rsidRDefault="00B624B3" w:rsidP="00B624B3">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117"/>
        <w:gridCol w:w="1561"/>
        <w:gridCol w:w="1117"/>
      </w:tblGrid>
      <w:tr w:rsidR="00B624B3" w:rsidRPr="00804272" w:rsidTr="0001647C">
        <w:tc>
          <w:tcPr>
            <w:tcW w:w="0" w:type="auto"/>
            <w:shd w:val="clear" w:color="auto" w:fill="auto"/>
          </w:tcPr>
          <w:p w:rsidR="00B624B3" w:rsidRPr="00804272" w:rsidRDefault="00B624B3" w:rsidP="0001647C">
            <w:pPr>
              <w:rPr>
                <w:rFonts w:ascii="Arial" w:hAnsi="Arial" w:cs="Arial"/>
                <w:b/>
                <w:sz w:val="20"/>
                <w:szCs w:val="20"/>
              </w:rPr>
            </w:pPr>
            <w:r w:rsidRPr="00804272">
              <w:rPr>
                <w:rFonts w:ascii="Arial" w:hAnsi="Arial" w:cs="Arial"/>
                <w:b/>
                <w:sz w:val="20"/>
                <w:szCs w:val="20"/>
              </w:rPr>
              <w:t xml:space="preserve">Building type  </w:t>
            </w:r>
          </w:p>
        </w:tc>
        <w:tc>
          <w:tcPr>
            <w:tcW w:w="0" w:type="auto"/>
            <w:shd w:val="clear" w:color="auto" w:fill="auto"/>
          </w:tcPr>
          <w:p w:rsidR="00B624B3" w:rsidRPr="00804272" w:rsidRDefault="00B624B3" w:rsidP="0001647C">
            <w:pPr>
              <w:rPr>
                <w:rFonts w:ascii="Arial" w:hAnsi="Arial" w:cs="Arial"/>
                <w:b/>
                <w:sz w:val="20"/>
                <w:szCs w:val="20"/>
              </w:rPr>
            </w:pPr>
            <w:r w:rsidRPr="00804272">
              <w:rPr>
                <w:rFonts w:ascii="Arial" w:hAnsi="Arial" w:cs="Arial"/>
                <w:b/>
                <w:sz w:val="20"/>
                <w:szCs w:val="20"/>
              </w:rPr>
              <w:t xml:space="preserve">Bldg Vintage  </w:t>
            </w:r>
          </w:p>
        </w:tc>
        <w:tc>
          <w:tcPr>
            <w:tcW w:w="0" w:type="auto"/>
            <w:shd w:val="clear" w:color="auto" w:fill="auto"/>
          </w:tcPr>
          <w:p w:rsidR="00B624B3" w:rsidRPr="00804272" w:rsidRDefault="00B624B3" w:rsidP="0001647C">
            <w:pPr>
              <w:rPr>
                <w:rFonts w:ascii="Arial" w:hAnsi="Arial" w:cs="Arial"/>
                <w:b/>
                <w:sz w:val="20"/>
                <w:szCs w:val="20"/>
              </w:rPr>
            </w:pPr>
            <w:r w:rsidRPr="00804272">
              <w:rPr>
                <w:rFonts w:ascii="Arial" w:hAnsi="Arial" w:cs="Arial"/>
                <w:b/>
                <w:sz w:val="20"/>
                <w:szCs w:val="20"/>
              </w:rPr>
              <w:t xml:space="preserve">Climate Zone  </w:t>
            </w:r>
          </w:p>
        </w:tc>
        <w:tc>
          <w:tcPr>
            <w:tcW w:w="0" w:type="auto"/>
            <w:shd w:val="clear" w:color="auto" w:fill="auto"/>
          </w:tcPr>
          <w:p w:rsidR="00B624B3" w:rsidRPr="00804272" w:rsidRDefault="00B624B3" w:rsidP="0001647C">
            <w:pPr>
              <w:rPr>
                <w:rFonts w:ascii="Arial" w:hAnsi="Arial" w:cs="Arial"/>
                <w:b/>
                <w:sz w:val="20"/>
                <w:szCs w:val="20"/>
              </w:rPr>
            </w:pPr>
            <w:r w:rsidRPr="00804272">
              <w:rPr>
                <w:rFonts w:ascii="Arial" w:hAnsi="Arial" w:cs="Arial"/>
                <w:b/>
                <w:sz w:val="20"/>
                <w:szCs w:val="20"/>
              </w:rPr>
              <w:t>EUL (yrs)</w:t>
            </w:r>
          </w:p>
        </w:tc>
        <w:tc>
          <w:tcPr>
            <w:tcW w:w="0" w:type="auto"/>
          </w:tcPr>
          <w:p w:rsidR="00B624B3" w:rsidRPr="00804272" w:rsidRDefault="00B624B3" w:rsidP="0001647C">
            <w:pPr>
              <w:rPr>
                <w:rFonts w:ascii="Arial" w:hAnsi="Arial" w:cs="Arial"/>
                <w:b/>
                <w:sz w:val="20"/>
                <w:szCs w:val="20"/>
              </w:rPr>
            </w:pPr>
            <w:r w:rsidRPr="00804272">
              <w:rPr>
                <w:rFonts w:ascii="Arial" w:hAnsi="Arial" w:cs="Arial"/>
                <w:b/>
                <w:sz w:val="20"/>
                <w:szCs w:val="20"/>
              </w:rPr>
              <w:t>RUL (yrs)</w:t>
            </w:r>
          </w:p>
        </w:tc>
        <w:tc>
          <w:tcPr>
            <w:tcW w:w="0" w:type="auto"/>
            <w:shd w:val="clear" w:color="auto" w:fill="auto"/>
          </w:tcPr>
          <w:p w:rsidR="00B624B3" w:rsidRPr="00804272" w:rsidRDefault="00B624B3" w:rsidP="0001647C">
            <w:pPr>
              <w:rPr>
                <w:rFonts w:ascii="Arial" w:hAnsi="Arial" w:cs="Arial"/>
                <w:b/>
                <w:sz w:val="20"/>
                <w:szCs w:val="20"/>
              </w:rPr>
            </w:pPr>
            <w:r w:rsidRPr="00804272">
              <w:rPr>
                <w:rFonts w:ascii="Arial" w:hAnsi="Arial" w:cs="Arial"/>
                <w:b/>
                <w:sz w:val="20"/>
                <w:szCs w:val="20"/>
              </w:rPr>
              <w:t>DEER Version</w:t>
            </w:r>
          </w:p>
        </w:tc>
        <w:tc>
          <w:tcPr>
            <w:tcW w:w="0" w:type="auto"/>
            <w:shd w:val="clear" w:color="auto" w:fill="auto"/>
          </w:tcPr>
          <w:p w:rsidR="00B624B3" w:rsidRPr="00804272" w:rsidRDefault="007806DB" w:rsidP="0001647C">
            <w:pPr>
              <w:rPr>
                <w:rFonts w:ascii="Arial" w:hAnsi="Arial" w:cs="Arial"/>
                <w:b/>
                <w:sz w:val="20"/>
                <w:szCs w:val="20"/>
              </w:rPr>
            </w:pPr>
            <w:r>
              <w:rPr>
                <w:rFonts w:ascii="Arial" w:hAnsi="Arial" w:cs="Arial"/>
                <w:b/>
                <w:sz w:val="20"/>
                <w:szCs w:val="20"/>
              </w:rPr>
              <w:t>Impact ID</w:t>
            </w:r>
          </w:p>
        </w:tc>
      </w:tr>
      <w:tr w:rsidR="00B624B3" w:rsidRPr="00804272" w:rsidTr="0001647C">
        <w:tc>
          <w:tcPr>
            <w:tcW w:w="0" w:type="auto"/>
            <w:shd w:val="clear" w:color="auto" w:fill="auto"/>
          </w:tcPr>
          <w:p w:rsidR="00B624B3" w:rsidRPr="00804272" w:rsidRDefault="00B624B3" w:rsidP="0001647C">
            <w:pPr>
              <w:rPr>
                <w:rFonts w:ascii="Arial" w:hAnsi="Arial" w:cs="Arial"/>
                <w:b/>
                <w:sz w:val="20"/>
                <w:szCs w:val="20"/>
              </w:rPr>
            </w:pPr>
            <w:r w:rsidRPr="00804272">
              <w:rPr>
                <w:rFonts w:ascii="Arial" w:hAnsi="Arial" w:cs="Arial"/>
                <w:b/>
                <w:sz w:val="20"/>
                <w:szCs w:val="20"/>
              </w:rPr>
              <w:t>GRO</w:t>
            </w:r>
          </w:p>
        </w:tc>
        <w:tc>
          <w:tcPr>
            <w:tcW w:w="0" w:type="auto"/>
            <w:shd w:val="clear" w:color="auto" w:fill="auto"/>
          </w:tcPr>
          <w:p w:rsidR="00B624B3" w:rsidRPr="00804272" w:rsidRDefault="00B624B3" w:rsidP="0001647C">
            <w:pPr>
              <w:rPr>
                <w:rFonts w:ascii="Arial" w:hAnsi="Arial" w:cs="Arial"/>
                <w:b/>
                <w:sz w:val="20"/>
                <w:szCs w:val="20"/>
              </w:rPr>
            </w:pPr>
            <w:r w:rsidRPr="00804272">
              <w:rPr>
                <w:rFonts w:ascii="Arial" w:hAnsi="Arial" w:cs="Arial"/>
                <w:b/>
                <w:sz w:val="20"/>
                <w:szCs w:val="20"/>
              </w:rPr>
              <w:t>ALL</w:t>
            </w:r>
          </w:p>
        </w:tc>
        <w:tc>
          <w:tcPr>
            <w:tcW w:w="0" w:type="auto"/>
            <w:shd w:val="clear" w:color="auto" w:fill="auto"/>
          </w:tcPr>
          <w:p w:rsidR="00B624B3" w:rsidRPr="00804272" w:rsidRDefault="00B624B3" w:rsidP="0001647C">
            <w:pPr>
              <w:rPr>
                <w:rFonts w:ascii="Arial" w:hAnsi="Arial" w:cs="Arial"/>
                <w:b/>
                <w:sz w:val="20"/>
                <w:szCs w:val="20"/>
              </w:rPr>
            </w:pPr>
            <w:r w:rsidRPr="00804272">
              <w:rPr>
                <w:rFonts w:ascii="Arial" w:hAnsi="Arial" w:cs="Arial"/>
                <w:b/>
                <w:sz w:val="20"/>
                <w:szCs w:val="20"/>
              </w:rPr>
              <w:t>ALL</w:t>
            </w:r>
          </w:p>
        </w:tc>
        <w:tc>
          <w:tcPr>
            <w:tcW w:w="0" w:type="auto"/>
            <w:shd w:val="clear" w:color="auto" w:fill="auto"/>
          </w:tcPr>
          <w:p w:rsidR="00B624B3" w:rsidRPr="00804272" w:rsidRDefault="00FB7D36" w:rsidP="007806DB">
            <w:pPr>
              <w:rPr>
                <w:rFonts w:ascii="Arial" w:hAnsi="Arial" w:cs="Arial"/>
                <w:b/>
                <w:sz w:val="20"/>
                <w:szCs w:val="20"/>
              </w:rPr>
            </w:pPr>
            <w:r w:rsidRPr="00804272">
              <w:rPr>
                <w:rFonts w:ascii="Arial" w:hAnsi="Arial" w:cs="Arial"/>
                <w:b/>
                <w:sz w:val="20"/>
                <w:szCs w:val="20"/>
              </w:rPr>
              <w:t>1</w:t>
            </w:r>
            <w:r w:rsidR="007806DB">
              <w:rPr>
                <w:rFonts w:ascii="Arial" w:hAnsi="Arial" w:cs="Arial"/>
                <w:b/>
                <w:sz w:val="20"/>
                <w:szCs w:val="20"/>
              </w:rPr>
              <w:t>2</w:t>
            </w:r>
          </w:p>
        </w:tc>
        <w:tc>
          <w:tcPr>
            <w:tcW w:w="0" w:type="auto"/>
          </w:tcPr>
          <w:p w:rsidR="00B624B3" w:rsidRPr="00804272" w:rsidRDefault="00B624B3" w:rsidP="0001647C">
            <w:pPr>
              <w:rPr>
                <w:rFonts w:ascii="Arial" w:hAnsi="Arial" w:cs="Arial"/>
                <w:b/>
                <w:sz w:val="20"/>
                <w:szCs w:val="20"/>
              </w:rPr>
            </w:pPr>
            <w:r w:rsidRPr="00804272">
              <w:rPr>
                <w:rFonts w:ascii="Arial" w:hAnsi="Arial" w:cs="Arial"/>
                <w:b/>
                <w:sz w:val="20"/>
                <w:szCs w:val="20"/>
              </w:rPr>
              <w:t>N/A</w:t>
            </w:r>
          </w:p>
        </w:tc>
        <w:tc>
          <w:tcPr>
            <w:tcW w:w="0" w:type="auto"/>
            <w:shd w:val="clear" w:color="auto" w:fill="auto"/>
          </w:tcPr>
          <w:p w:rsidR="00B624B3" w:rsidRPr="00AB3433" w:rsidRDefault="00FB7D36" w:rsidP="0001647C">
            <w:pPr>
              <w:rPr>
                <w:rFonts w:ascii="Arial" w:hAnsi="Arial" w:cs="Arial"/>
                <w:b/>
                <w:sz w:val="20"/>
                <w:szCs w:val="20"/>
              </w:rPr>
            </w:pPr>
            <w:r w:rsidRPr="00AB3433">
              <w:rPr>
                <w:rFonts w:ascii="Arial" w:hAnsi="Arial" w:cs="Arial"/>
                <w:b/>
                <w:sz w:val="20"/>
                <w:szCs w:val="20"/>
              </w:rPr>
              <w:t>2005 v2.01</w:t>
            </w:r>
          </w:p>
        </w:tc>
        <w:tc>
          <w:tcPr>
            <w:tcW w:w="0" w:type="auto"/>
            <w:shd w:val="clear" w:color="auto" w:fill="auto"/>
          </w:tcPr>
          <w:p w:rsidR="00B624B3" w:rsidRPr="00804272" w:rsidRDefault="00B624B3" w:rsidP="00FB7D36">
            <w:pPr>
              <w:rPr>
                <w:rFonts w:ascii="Arial" w:hAnsi="Arial" w:cs="Arial"/>
                <w:b/>
                <w:sz w:val="20"/>
                <w:szCs w:val="20"/>
              </w:rPr>
            </w:pPr>
            <w:r w:rsidRPr="00804272">
              <w:rPr>
                <w:rFonts w:ascii="Arial" w:hAnsi="Arial" w:cs="Arial"/>
                <w:b/>
                <w:sz w:val="20"/>
                <w:szCs w:val="20"/>
              </w:rPr>
              <w:t>D03-2</w:t>
            </w:r>
            <w:r w:rsidR="00804272" w:rsidRPr="00804272">
              <w:rPr>
                <w:rFonts w:ascii="Arial" w:hAnsi="Arial" w:cs="Arial"/>
                <w:b/>
                <w:sz w:val="20"/>
                <w:szCs w:val="20"/>
              </w:rPr>
              <w:t>07</w:t>
            </w:r>
          </w:p>
        </w:tc>
      </w:tr>
    </w:tbl>
    <w:p w:rsidR="00C165D9" w:rsidRDefault="00C165D9">
      <w:pPr>
        <w:rPr>
          <w:rFonts w:ascii="Arial" w:hAnsi="Arial" w:cs="Arial"/>
          <w:b/>
          <w:bCs/>
          <w:sz w:val="26"/>
          <w:szCs w:val="26"/>
        </w:rPr>
      </w:pPr>
      <w:bookmarkStart w:id="36" w:name="_Toc387912002"/>
      <w:bookmarkStart w:id="37" w:name="_Toc389487650"/>
      <w:r>
        <w:br w:type="page"/>
      </w:r>
    </w:p>
    <w:p w:rsidR="00B624B3" w:rsidRPr="00B341E7" w:rsidRDefault="00B624B3" w:rsidP="00B624B3">
      <w:pPr>
        <w:pStyle w:val="Heading3"/>
        <w:ind w:left="720" w:hanging="720"/>
      </w:pPr>
      <w:r w:rsidRPr="00B341E7">
        <w:lastRenderedPageBreak/>
        <w:t>1.4.2 Codes &amp; Standards Requirements Base Case and Measure Information</w:t>
      </w:r>
      <w:bookmarkEnd w:id="36"/>
      <w:bookmarkEnd w:id="37"/>
    </w:p>
    <w:p w:rsidR="00B624B3" w:rsidRDefault="00B624B3" w:rsidP="00B624B3">
      <w:pPr>
        <w:rPr>
          <w:strike/>
          <w:highlight w:val="cyan"/>
        </w:rPr>
      </w:pPr>
    </w:p>
    <w:p w:rsidR="00B624B3" w:rsidRPr="00AB3433" w:rsidRDefault="00B624B3" w:rsidP="00B624B3">
      <w:pPr>
        <w:rPr>
          <w:rFonts w:ascii="Arial" w:hAnsi="Arial" w:cs="Arial"/>
          <w:sz w:val="20"/>
          <w:szCs w:val="20"/>
        </w:rPr>
      </w:pPr>
      <w:r w:rsidRPr="00AB3433">
        <w:rPr>
          <w:rFonts w:ascii="Arial" w:hAnsi="Arial" w:cs="Arial"/>
          <w:sz w:val="20"/>
          <w:szCs w:val="20"/>
        </w:rPr>
        <w:t>The measure in this work paper is not governed by either state or federal codes and standards.</w:t>
      </w:r>
    </w:p>
    <w:p w:rsidR="00B624B3" w:rsidRPr="00E8746D" w:rsidRDefault="00B624B3" w:rsidP="00B624B3">
      <w:pPr>
        <w:rPr>
          <w:rFonts w:ascii="Arial" w:hAnsi="Arial" w:cs="Arial"/>
          <w:sz w:val="20"/>
          <w:szCs w:val="20"/>
        </w:rPr>
      </w:pPr>
    </w:p>
    <w:p w:rsidR="009A51FA" w:rsidRDefault="00B624B3" w:rsidP="00B624B3">
      <w:pPr>
        <w:rPr>
          <w:rFonts w:ascii="Arial" w:hAnsi="Arial" w:cs="Arial"/>
        </w:rPr>
      </w:pPr>
      <w:r w:rsidRPr="00E8746D">
        <w:rPr>
          <w:rFonts w:ascii="Arial" w:hAnsi="Arial" w:cs="Arial"/>
          <w:b/>
          <w:i/>
        </w:rPr>
        <w:t>Title 20:</w:t>
      </w:r>
      <w:r w:rsidRPr="00E8746D">
        <w:rPr>
          <w:rFonts w:ascii="Arial" w:hAnsi="Arial" w:cs="Arial"/>
        </w:rPr>
        <w:t xml:space="preserve"> </w:t>
      </w:r>
    </w:p>
    <w:p w:rsidR="00B624B3" w:rsidRPr="00AB3433" w:rsidRDefault="00B624B3" w:rsidP="00B624B3">
      <w:pPr>
        <w:rPr>
          <w:rFonts w:ascii="Arial" w:hAnsi="Arial" w:cs="Arial"/>
          <w:sz w:val="20"/>
          <w:szCs w:val="20"/>
        </w:rPr>
      </w:pPr>
      <w:r w:rsidRPr="00AB3433">
        <w:rPr>
          <w:rFonts w:ascii="Arial" w:hAnsi="Arial" w:cs="Arial"/>
          <w:sz w:val="20"/>
          <w:szCs w:val="20"/>
        </w:rPr>
        <w:t>This measure does not fall under Title 20 of the California Energy Reg</w:t>
      </w:r>
      <w:r w:rsidR="00B42525" w:rsidRPr="00AB3433">
        <w:rPr>
          <w:rFonts w:ascii="Arial" w:hAnsi="Arial" w:cs="Arial"/>
          <w:sz w:val="20"/>
          <w:szCs w:val="20"/>
        </w:rPr>
        <w:t xml:space="preserve">ulations. Title 20, Section 1605.3 </w:t>
      </w:r>
      <w:r w:rsidRPr="00AB3433">
        <w:rPr>
          <w:rFonts w:ascii="Arial" w:hAnsi="Arial" w:cs="Arial"/>
          <w:sz w:val="20"/>
          <w:szCs w:val="20"/>
        </w:rPr>
        <w:t xml:space="preserve">covers new appliances sold or offered for sale in California, </w:t>
      </w:r>
      <w:r w:rsidR="00EA08AF" w:rsidRPr="00AB3433">
        <w:rPr>
          <w:rFonts w:ascii="Arial" w:hAnsi="Arial" w:cs="Arial"/>
          <w:sz w:val="20"/>
          <w:szCs w:val="20"/>
        </w:rPr>
        <w:t xml:space="preserve">but does not apply to </w:t>
      </w:r>
      <w:r w:rsidR="00B42525" w:rsidRPr="00AB3433">
        <w:rPr>
          <w:rFonts w:ascii="Arial" w:hAnsi="Arial" w:cs="Arial"/>
          <w:sz w:val="20"/>
          <w:szCs w:val="20"/>
        </w:rPr>
        <w:t>medium temperature vertical open refrigerated display cases</w:t>
      </w:r>
      <w:r w:rsidR="00EA08AF" w:rsidRPr="00AB3433">
        <w:rPr>
          <w:rFonts w:ascii="Arial" w:hAnsi="Arial" w:cs="Arial"/>
          <w:sz w:val="20"/>
          <w:szCs w:val="20"/>
        </w:rPr>
        <w:t xml:space="preserve">. </w:t>
      </w:r>
    </w:p>
    <w:p w:rsidR="00B624B3" w:rsidRPr="00E8746D" w:rsidRDefault="00B624B3" w:rsidP="00B624B3">
      <w:pPr>
        <w:rPr>
          <w:rFonts w:ascii="Arial" w:hAnsi="Arial" w:cs="Arial"/>
          <w:i/>
          <w:sz w:val="20"/>
          <w:szCs w:val="20"/>
        </w:rPr>
      </w:pPr>
    </w:p>
    <w:p w:rsidR="002C4490" w:rsidRDefault="00B624B3" w:rsidP="00B624B3">
      <w:r w:rsidRPr="00E8746D">
        <w:rPr>
          <w:rFonts w:ascii="Arial" w:hAnsi="Arial" w:cs="Arial"/>
          <w:b/>
          <w:i/>
        </w:rPr>
        <w:t>Title 24:</w:t>
      </w:r>
      <w:r w:rsidRPr="00E8746D">
        <w:t xml:space="preserve"> </w:t>
      </w:r>
    </w:p>
    <w:p w:rsidR="00B624B3" w:rsidRPr="00AB3433" w:rsidRDefault="00AB32C4" w:rsidP="00B624B3">
      <w:pPr>
        <w:rPr>
          <w:rFonts w:ascii="Arial" w:hAnsi="Arial" w:cs="Arial"/>
          <w:sz w:val="20"/>
          <w:szCs w:val="20"/>
        </w:rPr>
      </w:pPr>
      <w:r w:rsidRPr="00AB3433">
        <w:rPr>
          <w:rFonts w:ascii="Arial" w:hAnsi="Arial" w:cs="Arial"/>
          <w:sz w:val="20"/>
          <w:szCs w:val="20"/>
        </w:rPr>
        <w:t xml:space="preserve">This measure does not fall under Title 24 of the California Energy Regulations. Section 126 of the current standard </w:t>
      </w:r>
      <w:r w:rsidR="00743D75" w:rsidRPr="00AB3433">
        <w:rPr>
          <w:rFonts w:ascii="Arial" w:hAnsi="Arial" w:cs="Arial"/>
          <w:sz w:val="20"/>
          <w:szCs w:val="20"/>
        </w:rPr>
        <w:t xml:space="preserve">(2008) </w:t>
      </w:r>
      <w:r w:rsidRPr="00AB3433">
        <w:rPr>
          <w:rFonts w:ascii="Arial" w:hAnsi="Arial" w:cs="Arial"/>
          <w:sz w:val="20"/>
          <w:szCs w:val="20"/>
        </w:rPr>
        <w:t>applies to refrigeration systems in refrigerated warehouses but does not apply to display equipment found in retail food establishments. T</w:t>
      </w:r>
      <w:r w:rsidR="00743D75" w:rsidRPr="00AB3433">
        <w:rPr>
          <w:rFonts w:ascii="Arial" w:hAnsi="Arial" w:cs="Arial"/>
          <w:sz w:val="20"/>
          <w:szCs w:val="20"/>
        </w:rPr>
        <w:t>he proposed 2013 revisions to the standard includes a provision in section 126 for the control of refrigerated display case lighting but otherwise does not ad</w:t>
      </w:r>
      <w:r w:rsidR="00B42525" w:rsidRPr="00AB3433">
        <w:rPr>
          <w:rFonts w:ascii="Arial" w:hAnsi="Arial" w:cs="Arial"/>
          <w:sz w:val="20"/>
          <w:szCs w:val="20"/>
        </w:rPr>
        <w:t>dress this</w:t>
      </w:r>
      <w:r w:rsidR="00743D75" w:rsidRPr="00AB3433">
        <w:rPr>
          <w:rFonts w:ascii="Arial" w:hAnsi="Arial" w:cs="Arial"/>
          <w:sz w:val="20"/>
          <w:szCs w:val="20"/>
        </w:rPr>
        <w:t xml:space="preserve"> equipment class.</w:t>
      </w:r>
    </w:p>
    <w:p w:rsidR="00AB32C4" w:rsidRPr="00E8746D" w:rsidRDefault="00AB32C4" w:rsidP="00B624B3">
      <w:pPr>
        <w:rPr>
          <w:i/>
        </w:rPr>
      </w:pPr>
    </w:p>
    <w:p w:rsidR="00D04646" w:rsidRDefault="00B624B3" w:rsidP="00B624B3">
      <w:r w:rsidRPr="00E8746D">
        <w:rPr>
          <w:rFonts w:ascii="Arial" w:hAnsi="Arial" w:cs="Arial"/>
          <w:b/>
          <w:i/>
        </w:rPr>
        <w:t>Federal Standards:</w:t>
      </w:r>
      <w:r w:rsidRPr="00E8746D">
        <w:t xml:space="preserve"> </w:t>
      </w:r>
    </w:p>
    <w:p w:rsidR="00B624B3" w:rsidRPr="00AB3433" w:rsidRDefault="00BC5CCA" w:rsidP="00B624B3">
      <w:pPr>
        <w:rPr>
          <w:rFonts w:ascii="Arial" w:hAnsi="Arial" w:cs="Arial"/>
          <w:sz w:val="20"/>
          <w:szCs w:val="20"/>
        </w:rPr>
      </w:pPr>
      <w:r w:rsidRPr="00AB3433">
        <w:rPr>
          <w:rFonts w:ascii="Arial" w:hAnsi="Arial" w:cs="Arial"/>
          <w:sz w:val="20"/>
          <w:szCs w:val="20"/>
        </w:rPr>
        <w:t>Both the base case and measure equipment described in this workpaper must comply with 10CFR</w:t>
      </w:r>
      <w:r w:rsidR="00FD3E7F" w:rsidRPr="00AB3433">
        <w:rPr>
          <w:rFonts w:ascii="Arial" w:hAnsi="Arial" w:cs="Arial"/>
          <w:sz w:val="20"/>
          <w:szCs w:val="20"/>
        </w:rPr>
        <w:t xml:space="preserve"> § 431.66</w:t>
      </w:r>
      <w:r w:rsidRPr="00AB3433">
        <w:rPr>
          <w:rFonts w:ascii="Arial" w:hAnsi="Arial" w:cs="Arial"/>
          <w:sz w:val="20"/>
          <w:szCs w:val="20"/>
        </w:rPr>
        <w:t xml:space="preserve"> (2012). The standard establishes a maximum </w:t>
      </w:r>
      <w:r w:rsidR="00FD3E7F" w:rsidRPr="00AB3433">
        <w:rPr>
          <w:rFonts w:ascii="Arial" w:hAnsi="Arial" w:cs="Arial"/>
          <w:sz w:val="20"/>
          <w:szCs w:val="20"/>
        </w:rPr>
        <w:t>daily energy consumption for the equipment class of 0.82 × TDA (ft</w:t>
      </w:r>
      <w:r w:rsidR="00FD3E7F" w:rsidRPr="00AB3433">
        <w:rPr>
          <w:rFonts w:ascii="Arial" w:hAnsi="Arial" w:cs="Arial"/>
          <w:sz w:val="20"/>
          <w:szCs w:val="20"/>
          <w:vertAlign w:val="superscript"/>
        </w:rPr>
        <w:t>2</w:t>
      </w:r>
      <w:r w:rsidR="00FD3E7F" w:rsidRPr="00AB3433">
        <w:rPr>
          <w:rFonts w:ascii="Arial" w:hAnsi="Arial" w:cs="Arial"/>
          <w:sz w:val="20"/>
          <w:szCs w:val="20"/>
        </w:rPr>
        <w:t xml:space="preserve">) + 4.07 kWh/day when tested in compliance with ARI Standard 1200-2006. The standard does not prescribe </w:t>
      </w:r>
      <w:r w:rsidR="00AB32C4" w:rsidRPr="00AB3433">
        <w:rPr>
          <w:rFonts w:ascii="Arial" w:hAnsi="Arial" w:cs="Arial"/>
          <w:sz w:val="20"/>
          <w:szCs w:val="20"/>
        </w:rPr>
        <w:t xml:space="preserve">requirements for specific case components </w:t>
      </w:r>
      <w:r w:rsidR="00FD3E7F" w:rsidRPr="00AB3433">
        <w:rPr>
          <w:rFonts w:ascii="Arial" w:hAnsi="Arial" w:cs="Arial"/>
          <w:sz w:val="20"/>
          <w:szCs w:val="20"/>
        </w:rPr>
        <w:t xml:space="preserve">(evaporator motors, case lighting, </w:t>
      </w:r>
      <w:r w:rsidR="00AB32C4" w:rsidRPr="00AB3433">
        <w:rPr>
          <w:rFonts w:ascii="Arial" w:hAnsi="Arial" w:cs="Arial"/>
          <w:sz w:val="20"/>
          <w:szCs w:val="20"/>
        </w:rPr>
        <w:t>insulation, evaporator coil, air curtain</w:t>
      </w:r>
      <w:r w:rsidR="00FD3E7F" w:rsidRPr="00AB3433">
        <w:rPr>
          <w:rFonts w:ascii="Arial" w:hAnsi="Arial" w:cs="Arial"/>
          <w:sz w:val="20"/>
          <w:szCs w:val="20"/>
        </w:rPr>
        <w:t>)</w:t>
      </w:r>
      <w:r w:rsidR="00AB32C4" w:rsidRPr="00AB3433">
        <w:rPr>
          <w:rFonts w:ascii="Arial" w:hAnsi="Arial" w:cs="Arial"/>
          <w:sz w:val="20"/>
          <w:szCs w:val="20"/>
        </w:rPr>
        <w:t>.</w:t>
      </w:r>
      <w:r w:rsidR="00FD3E7F" w:rsidRPr="00AB3433">
        <w:rPr>
          <w:rFonts w:ascii="Arial" w:hAnsi="Arial" w:cs="Arial"/>
          <w:sz w:val="20"/>
          <w:szCs w:val="20"/>
        </w:rPr>
        <w:t xml:space="preserve"> </w:t>
      </w:r>
    </w:p>
    <w:p w:rsidR="00B624B3" w:rsidRDefault="00B624B3" w:rsidP="00B624B3">
      <w:pPr>
        <w:rPr>
          <w:rFonts w:ascii="Arial" w:hAnsi="Arial" w:cs="Arial"/>
          <w:i/>
          <w:strike/>
          <w:sz w:val="20"/>
          <w:szCs w:val="20"/>
          <w:highlight w:val="cyan"/>
        </w:rPr>
      </w:pPr>
    </w:p>
    <w:p w:rsidR="00565CE6" w:rsidRDefault="00565CE6" w:rsidP="008C6A2F">
      <w:pPr>
        <w:pStyle w:val="Heading3"/>
      </w:pPr>
      <w:bookmarkStart w:id="38" w:name="_Toc326065309"/>
      <w:bookmarkStart w:id="39" w:name="_Toc387912003"/>
      <w:bookmarkStart w:id="40" w:name="_Toc389487651"/>
      <w:r w:rsidRPr="00565CE6">
        <w:t>1.4.3 EM&amp;V, Market Potential, and Other Studies – Base Case and Measure Case Information</w:t>
      </w:r>
      <w:bookmarkEnd w:id="38"/>
      <w:bookmarkEnd w:id="39"/>
      <w:bookmarkEnd w:id="40"/>
    </w:p>
    <w:p w:rsidR="00565CE6" w:rsidRPr="00AB3433" w:rsidRDefault="00565CE6" w:rsidP="00B624B3">
      <w:pPr>
        <w:rPr>
          <w:rFonts w:ascii="Arial" w:hAnsi="Arial" w:cs="Arial"/>
          <w:i/>
          <w:strike/>
          <w:sz w:val="20"/>
          <w:szCs w:val="20"/>
          <w:highlight w:val="cyan"/>
        </w:rPr>
      </w:pPr>
      <w:r w:rsidRPr="00AB3433">
        <w:rPr>
          <w:rFonts w:ascii="Arial" w:hAnsi="Arial" w:cs="Arial"/>
          <w:sz w:val="20"/>
          <w:szCs w:val="20"/>
        </w:rPr>
        <w:t xml:space="preserve">The base case </w:t>
      </w:r>
      <w:r w:rsidR="00222E83" w:rsidRPr="00AB3433">
        <w:rPr>
          <w:rFonts w:ascii="Arial" w:hAnsi="Arial" w:cs="Arial"/>
          <w:sz w:val="20"/>
          <w:szCs w:val="20"/>
        </w:rPr>
        <w:t>equipment and installation cost information were taken from the US Department of Energy’s cost-effectiveness analysis used to develop the current federal standards for refrigerated display cases. The DOE report estimated that a 12’ code compliant medium temperature open vertical refrigerated display case would cost a retailer $6,611 for the equipment and $1,960 for installation.</w:t>
      </w:r>
      <w:r w:rsidR="005D4437" w:rsidRPr="00AB3433">
        <w:rPr>
          <w:rStyle w:val="EndnoteReference"/>
          <w:rFonts w:ascii="Arial" w:hAnsi="Arial" w:cs="Arial"/>
          <w:sz w:val="20"/>
          <w:szCs w:val="20"/>
        </w:rPr>
        <w:endnoteReference w:id="1"/>
      </w:r>
      <w:r w:rsidR="00222E83" w:rsidRPr="00AB3433">
        <w:rPr>
          <w:rFonts w:ascii="Arial" w:hAnsi="Arial" w:cs="Arial"/>
          <w:sz w:val="20"/>
          <w:szCs w:val="20"/>
        </w:rPr>
        <w:t xml:space="preserve"> </w:t>
      </w:r>
    </w:p>
    <w:p w:rsidR="00BD05AA" w:rsidRDefault="00B624B3" w:rsidP="00BD05AA">
      <w:pPr>
        <w:pStyle w:val="Heading3"/>
        <w:ind w:left="720" w:hanging="720"/>
      </w:pPr>
      <w:bookmarkStart w:id="41" w:name="_Toc387912004"/>
      <w:bookmarkStart w:id="42" w:name="_Toc389487652"/>
      <w:r>
        <w:t>1.4.4 Assumptions and Calculations from other sources—Base and Measure Cases</w:t>
      </w:r>
      <w:bookmarkEnd w:id="41"/>
      <w:bookmarkEnd w:id="42"/>
    </w:p>
    <w:p w:rsidR="00B624B3" w:rsidRPr="00AB3433" w:rsidRDefault="00B624B3" w:rsidP="00B624B3">
      <w:pPr>
        <w:rPr>
          <w:rFonts w:ascii="Arial" w:hAnsi="Arial" w:cs="Arial"/>
          <w:sz w:val="20"/>
          <w:szCs w:val="20"/>
        </w:rPr>
      </w:pPr>
      <w:r w:rsidRPr="00AB3433">
        <w:rPr>
          <w:rFonts w:ascii="Arial" w:hAnsi="Arial" w:cs="Arial"/>
          <w:sz w:val="20"/>
          <w:szCs w:val="20"/>
        </w:rPr>
        <w:t>The</w:t>
      </w:r>
      <w:r w:rsidR="00565CE6" w:rsidRPr="00AB3433">
        <w:rPr>
          <w:rFonts w:ascii="Arial" w:hAnsi="Arial" w:cs="Arial"/>
          <w:sz w:val="20"/>
          <w:szCs w:val="20"/>
        </w:rPr>
        <w:t xml:space="preserve"> values for the average annual and peak EER of the refrigeration system were sourced from the 2010 ASHRAE Handbook for Refrigeration. Figure 24 in Section 15.14 displays the typical range of EER in a retail food store. For medium temp systems it ranges from 8</w:t>
      </w:r>
      <w:r w:rsidR="00222E83" w:rsidRPr="00AB3433">
        <w:rPr>
          <w:rFonts w:ascii="Arial" w:hAnsi="Arial" w:cs="Arial"/>
          <w:sz w:val="20"/>
          <w:szCs w:val="20"/>
        </w:rPr>
        <w:t xml:space="preserve"> </w:t>
      </w:r>
      <w:r w:rsidR="00BD05AA" w:rsidRPr="00AB3433">
        <w:rPr>
          <w:rFonts w:ascii="Arial" w:hAnsi="Arial" w:cs="Arial"/>
          <w:sz w:val="20"/>
          <w:szCs w:val="20"/>
        </w:rPr>
        <w:t>Btu/W-h for meat cases to 11 Btu/W-h for produce cases. A conservative value of 10 Btu/W-h was used as the average annual EER. The EER during the peak demand period is reduced to 9 Btu/W-h as a result of hotter ambient conditions.</w:t>
      </w:r>
    </w:p>
    <w:p w:rsidR="00BD05AA" w:rsidRPr="00AB3433" w:rsidRDefault="00BD05AA" w:rsidP="00B624B3">
      <w:pPr>
        <w:rPr>
          <w:rFonts w:ascii="Arial" w:hAnsi="Arial" w:cs="Arial"/>
          <w:sz w:val="20"/>
          <w:szCs w:val="20"/>
        </w:rPr>
      </w:pPr>
    </w:p>
    <w:p w:rsidR="00BD05AA" w:rsidRPr="00AB3433" w:rsidRDefault="00BD05AA" w:rsidP="00B624B3">
      <w:pPr>
        <w:rPr>
          <w:rFonts w:ascii="Arial" w:hAnsi="Arial" w:cs="Arial"/>
          <w:sz w:val="20"/>
          <w:szCs w:val="20"/>
        </w:rPr>
      </w:pPr>
      <w:r w:rsidRPr="00AB3433">
        <w:rPr>
          <w:rFonts w:ascii="Arial" w:hAnsi="Arial" w:cs="Arial"/>
          <w:sz w:val="20"/>
          <w:szCs w:val="20"/>
        </w:rPr>
        <w:t>Both the average annual EER and peak EER are improved in the efficient case a result of increased suction temperature. According to “Industrial Refrigeration Best Practices Guide” prepared by Cascade Energy Engineering with support from Northwest Energy Efficiency Alliance</w:t>
      </w:r>
      <w:r w:rsidR="00222E83" w:rsidRPr="00AB3433">
        <w:rPr>
          <w:rFonts w:ascii="Arial" w:hAnsi="Arial" w:cs="Arial"/>
          <w:sz w:val="20"/>
          <w:szCs w:val="20"/>
        </w:rPr>
        <w:t xml:space="preserve"> (NEEA)</w:t>
      </w:r>
      <w:r w:rsidRPr="00AB3433">
        <w:rPr>
          <w:rFonts w:ascii="Arial" w:hAnsi="Arial" w:cs="Arial"/>
          <w:sz w:val="20"/>
          <w:szCs w:val="20"/>
        </w:rPr>
        <w:t>, each degree in suction temperature increase results in between a 1% and 2% gain in refrigeration system efficiency. A value of 1.5%/</w:t>
      </w:r>
      <w:r w:rsidRPr="00AB3433">
        <w:rPr>
          <w:rFonts w:ascii="Arial" w:hAnsi="Arial" w:cs="Arial"/>
          <w:sz w:val="20"/>
          <w:szCs w:val="20"/>
          <w:vertAlign w:val="superscript"/>
        </w:rPr>
        <w:t>o</w:t>
      </w:r>
      <w:r w:rsidRPr="00AB3433">
        <w:rPr>
          <w:rFonts w:ascii="Arial" w:hAnsi="Arial" w:cs="Arial"/>
          <w:sz w:val="20"/>
          <w:szCs w:val="20"/>
        </w:rPr>
        <w:t>F was used in the calculations.</w:t>
      </w:r>
    </w:p>
    <w:p w:rsidR="00565CE6" w:rsidRPr="00AB3433" w:rsidRDefault="00565CE6" w:rsidP="00B624B3">
      <w:pPr>
        <w:rPr>
          <w:rFonts w:ascii="Arial" w:hAnsi="Arial" w:cs="Arial"/>
          <w:sz w:val="20"/>
          <w:szCs w:val="20"/>
        </w:rPr>
      </w:pPr>
    </w:p>
    <w:p w:rsidR="00BD05AA" w:rsidRPr="00AB3433" w:rsidRDefault="00565CE6" w:rsidP="00B624B3">
      <w:pPr>
        <w:rPr>
          <w:rFonts w:ascii="Arial" w:hAnsi="Arial" w:cs="Arial"/>
          <w:sz w:val="20"/>
          <w:szCs w:val="20"/>
        </w:rPr>
      </w:pPr>
      <w:r w:rsidRPr="00AB3433">
        <w:rPr>
          <w:rFonts w:ascii="Arial" w:hAnsi="Arial" w:cs="Arial"/>
          <w:sz w:val="20"/>
          <w:szCs w:val="20"/>
        </w:rPr>
        <w:t>The value of Full Load Hours (FLH) are derived from hourly reports from parametric DOE2.2r modeled peak refrigeration load, and the total annual suction load.  The FLH value shown represents the average across the many different refrigeration system types and climate zones that apply to this measure.  See file “Explanation of FLH for PG&amp;E &amp; CPUC.doc” in Appendix C for details.</w:t>
      </w:r>
    </w:p>
    <w:p w:rsidR="00BD05AA" w:rsidRPr="00AB3433" w:rsidRDefault="00BD05AA" w:rsidP="00B624B3">
      <w:pPr>
        <w:rPr>
          <w:rFonts w:ascii="Arial" w:hAnsi="Arial" w:cs="Arial"/>
          <w:sz w:val="20"/>
          <w:szCs w:val="20"/>
        </w:rPr>
      </w:pPr>
    </w:p>
    <w:p w:rsidR="00222E83" w:rsidRPr="00AB3433" w:rsidRDefault="00BD05AA" w:rsidP="00B624B3">
      <w:pPr>
        <w:rPr>
          <w:rFonts w:ascii="Arial" w:hAnsi="Arial" w:cs="Arial"/>
          <w:sz w:val="20"/>
          <w:szCs w:val="20"/>
        </w:rPr>
      </w:pPr>
      <w:r w:rsidRPr="00AB3433">
        <w:rPr>
          <w:rFonts w:ascii="Arial" w:hAnsi="Arial" w:cs="Arial"/>
          <w:sz w:val="20"/>
          <w:szCs w:val="20"/>
        </w:rPr>
        <w:lastRenderedPageBreak/>
        <w:t xml:space="preserve">The design cooling load for the efficient and base case </w:t>
      </w:r>
      <w:r w:rsidR="00222E83" w:rsidRPr="00AB3433">
        <w:rPr>
          <w:rFonts w:ascii="Arial" w:hAnsi="Arial" w:cs="Arial"/>
          <w:sz w:val="20"/>
          <w:szCs w:val="20"/>
        </w:rPr>
        <w:t>equipment were developed using manufacturer case specifications. See Appendices A and B for complete details.</w:t>
      </w:r>
    </w:p>
    <w:p w:rsidR="003521B7" w:rsidRPr="00AB3433" w:rsidRDefault="003521B7" w:rsidP="00B624B3">
      <w:pPr>
        <w:rPr>
          <w:rFonts w:ascii="Arial" w:hAnsi="Arial" w:cs="Arial"/>
          <w:sz w:val="20"/>
          <w:szCs w:val="20"/>
        </w:rPr>
      </w:pPr>
    </w:p>
    <w:p w:rsidR="00565CE6" w:rsidRPr="00AB3433" w:rsidRDefault="00222E83" w:rsidP="00B624B3">
      <w:pPr>
        <w:rPr>
          <w:rFonts w:ascii="Arial" w:hAnsi="Arial" w:cs="Arial"/>
          <w:sz w:val="20"/>
          <w:szCs w:val="20"/>
        </w:rPr>
      </w:pPr>
      <w:r w:rsidRPr="00AB3433">
        <w:rPr>
          <w:rFonts w:ascii="Arial" w:hAnsi="Arial" w:cs="Arial"/>
          <w:sz w:val="20"/>
          <w:szCs w:val="20"/>
        </w:rPr>
        <w:t xml:space="preserve">The measure equipment cost was developed based on conversations with several refrigeration equipment vendors. </w:t>
      </w:r>
      <w:r w:rsidR="003521B7" w:rsidRPr="00AB3433">
        <w:rPr>
          <w:rFonts w:ascii="Arial" w:hAnsi="Arial" w:cs="Arial"/>
          <w:sz w:val="20"/>
          <w:szCs w:val="20"/>
        </w:rPr>
        <w:t>Based on these conversations, the</w:t>
      </w:r>
      <w:r w:rsidRPr="00AB3433">
        <w:rPr>
          <w:rFonts w:ascii="Arial" w:hAnsi="Arial" w:cs="Arial"/>
          <w:sz w:val="20"/>
          <w:szCs w:val="20"/>
        </w:rPr>
        <w:t xml:space="preserve"> average </w:t>
      </w:r>
      <w:r w:rsidR="003521B7" w:rsidRPr="00AB3433">
        <w:rPr>
          <w:rFonts w:ascii="Arial" w:hAnsi="Arial" w:cs="Arial"/>
          <w:sz w:val="20"/>
          <w:szCs w:val="20"/>
        </w:rPr>
        <w:t>cost for a 12’ medium temperature open vertical refrigerated display case with a high efficiency coil was $7,114.40.</w:t>
      </w:r>
    </w:p>
    <w:p w:rsidR="00B624B3" w:rsidRPr="00836F9B" w:rsidRDefault="00B624B3" w:rsidP="00B624B3">
      <w:pPr>
        <w:pStyle w:val="Heading3"/>
        <w:ind w:left="720" w:hanging="720"/>
      </w:pPr>
      <w:bookmarkStart w:id="43" w:name="_Toc387912005"/>
      <w:bookmarkStart w:id="44" w:name="_Toc389487653"/>
      <w:r w:rsidRPr="00836F9B">
        <w:t>1.4.5</w:t>
      </w:r>
      <w:r>
        <w:t xml:space="preserve"> </w:t>
      </w:r>
      <w:r w:rsidRPr="00836F9B">
        <w:t>Time-of-Use Adjustment Factor</w:t>
      </w:r>
      <w:bookmarkEnd w:id="43"/>
      <w:bookmarkEnd w:id="44"/>
    </w:p>
    <w:p w:rsidR="00B624B3" w:rsidRPr="00AB3433" w:rsidRDefault="00B624B3" w:rsidP="00D22EA4">
      <w:pPr>
        <w:rPr>
          <w:rFonts w:ascii="Arial" w:hAnsi="Arial" w:cs="Arial"/>
          <w:sz w:val="20"/>
          <w:szCs w:val="20"/>
        </w:rPr>
      </w:pPr>
      <w:r w:rsidRPr="00AB3433">
        <w:rPr>
          <w:rFonts w:ascii="Arial" w:hAnsi="Arial" w:cs="Arial"/>
          <w:sz w:val="20"/>
          <w:szCs w:val="20"/>
        </w:rPr>
        <w:t>We are required by CPUC decision 06-06-063 dated June 29, 2006 to apply time-of-use (TOU) adjustment factors on residential A/C and commercial A/C (packaged and split-system direct-expansion cooling) measures only.   Since this is not an A/C measure, t</w:t>
      </w:r>
      <w:r w:rsidR="00AB32C4" w:rsidRPr="00AB3433">
        <w:rPr>
          <w:rFonts w:ascii="Arial" w:hAnsi="Arial" w:cs="Arial"/>
          <w:sz w:val="20"/>
          <w:szCs w:val="20"/>
        </w:rPr>
        <w:t>he TOU adjustment factor is 0.</w:t>
      </w:r>
    </w:p>
    <w:p w:rsidR="00B624B3" w:rsidRDefault="00B624B3" w:rsidP="00B624B3"/>
    <w:p w:rsidR="00297B0C" w:rsidRDefault="0022240A" w:rsidP="002C1EB6">
      <w:pPr>
        <w:rPr>
          <w:rFonts w:ascii="Arial" w:hAnsi="Arial" w:cs="Arial"/>
          <w:b/>
          <w:i/>
          <w:sz w:val="28"/>
          <w:szCs w:val="28"/>
        </w:rPr>
      </w:pPr>
      <w:bookmarkStart w:id="45" w:name="_Toc304800209"/>
      <w:r w:rsidRPr="00EC4357">
        <w:rPr>
          <w:rFonts w:ascii="Arial" w:hAnsi="Arial" w:cs="Arial"/>
          <w:b/>
          <w:i/>
          <w:sz w:val="28"/>
          <w:szCs w:val="28"/>
        </w:rPr>
        <w:t>1.5 Summary of Inputs for Savings Calculations</w:t>
      </w:r>
      <w:bookmarkEnd w:id="45"/>
    </w:p>
    <w:p w:rsidR="0022240A" w:rsidRPr="008C6A2F" w:rsidRDefault="0022240A" w:rsidP="0022240A">
      <w:pPr>
        <w:rPr>
          <w:rFonts w:ascii="Arial" w:hAnsi="Arial" w:cs="Arial"/>
          <w:sz w:val="20"/>
          <w:szCs w:val="20"/>
        </w:rPr>
      </w:pPr>
      <w:r w:rsidRPr="00EC4357">
        <w:rPr>
          <w:rFonts w:ascii="Arial" w:hAnsi="Arial" w:cs="Arial"/>
          <w:b/>
          <w:i/>
          <w:sz w:val="28"/>
          <w:szCs w:val="28"/>
        </w:rPr>
        <w:t xml:space="preserve"> </w:t>
      </w:r>
      <w:r w:rsidR="00923FD4">
        <w:rPr>
          <w:rFonts w:ascii="Arial" w:hAnsi="Arial" w:cs="Arial"/>
          <w:sz w:val="20"/>
          <w:szCs w:val="20"/>
        </w:rPr>
        <w:t>The following table provides</w:t>
      </w:r>
      <w:r w:rsidR="00297B0C">
        <w:rPr>
          <w:rFonts w:ascii="Arial" w:hAnsi="Arial" w:cs="Arial"/>
          <w:sz w:val="20"/>
          <w:szCs w:val="20"/>
        </w:rPr>
        <w:t xml:space="preserve"> references to sections that document the inputs for calculation:</w:t>
      </w:r>
    </w:p>
    <w:p w:rsidR="00297B0C" w:rsidRPr="008C6A2F" w:rsidRDefault="00297B0C" w:rsidP="0022240A">
      <w:pPr>
        <w:rPr>
          <w:rFonts w:ascii="Arial" w:hAnsi="Arial" w:cs="Arial"/>
          <w:color w:val="FF0000"/>
          <w:sz w:val="28"/>
          <w:szCs w:val="28"/>
        </w:rPr>
      </w:pPr>
    </w:p>
    <w:tbl>
      <w:tblPr>
        <w:tblW w:w="9124" w:type="dxa"/>
        <w:tblInd w:w="103" w:type="dxa"/>
        <w:tblLook w:val="04A0" w:firstRow="1" w:lastRow="0" w:firstColumn="1" w:lastColumn="0" w:noHBand="0" w:noVBand="1"/>
      </w:tblPr>
      <w:tblGrid>
        <w:gridCol w:w="3668"/>
        <w:gridCol w:w="2728"/>
        <w:gridCol w:w="2728"/>
      </w:tblGrid>
      <w:tr w:rsidR="007C0C51" w:rsidTr="007C0C51">
        <w:trPr>
          <w:trHeight w:val="255"/>
        </w:trPr>
        <w:tc>
          <w:tcPr>
            <w:tcW w:w="3668" w:type="dxa"/>
            <w:tcBorders>
              <w:top w:val="single" w:sz="4" w:space="0" w:color="000000"/>
              <w:left w:val="single" w:sz="4" w:space="0" w:color="000000"/>
              <w:bottom w:val="single" w:sz="4" w:space="0" w:color="000000"/>
              <w:right w:val="nil"/>
            </w:tcBorders>
            <w:shd w:val="clear" w:color="000000" w:fill="000000"/>
            <w:noWrap/>
            <w:vAlign w:val="bottom"/>
            <w:hideMark/>
          </w:tcPr>
          <w:p w:rsidR="007C0C51" w:rsidRDefault="007C0C51">
            <w:pPr>
              <w:rPr>
                <w:rFonts w:ascii="Arial" w:hAnsi="Arial" w:cs="Arial"/>
                <w:b/>
                <w:bCs/>
                <w:color w:val="FFFFFF"/>
                <w:sz w:val="20"/>
                <w:szCs w:val="20"/>
              </w:rPr>
            </w:pPr>
            <w:bookmarkStart w:id="46" w:name="_Toc304800210"/>
            <w:r>
              <w:rPr>
                <w:rFonts w:ascii="Arial" w:hAnsi="Arial" w:cs="Arial"/>
                <w:b/>
                <w:bCs/>
                <w:color w:val="FFFFFF"/>
                <w:sz w:val="20"/>
                <w:szCs w:val="20"/>
              </w:rPr>
              <w:t>Calculation Variable</w:t>
            </w:r>
          </w:p>
        </w:tc>
        <w:tc>
          <w:tcPr>
            <w:tcW w:w="2728" w:type="dxa"/>
            <w:tcBorders>
              <w:top w:val="single" w:sz="4" w:space="0" w:color="000000"/>
              <w:left w:val="nil"/>
              <w:bottom w:val="single" w:sz="4" w:space="0" w:color="000000"/>
              <w:right w:val="nil"/>
            </w:tcBorders>
            <w:shd w:val="clear" w:color="000000" w:fill="000000"/>
            <w:noWrap/>
            <w:vAlign w:val="bottom"/>
            <w:hideMark/>
          </w:tcPr>
          <w:p w:rsidR="007C0C51" w:rsidRDefault="007C0C51">
            <w:pPr>
              <w:rPr>
                <w:rFonts w:ascii="Arial" w:hAnsi="Arial" w:cs="Arial"/>
                <w:b/>
                <w:bCs/>
                <w:color w:val="FFFFFF"/>
                <w:sz w:val="20"/>
                <w:szCs w:val="20"/>
              </w:rPr>
            </w:pPr>
            <w:r>
              <w:rPr>
                <w:rFonts w:ascii="Arial" w:hAnsi="Arial" w:cs="Arial"/>
                <w:b/>
                <w:bCs/>
                <w:color w:val="FFFFFF"/>
                <w:sz w:val="20"/>
                <w:szCs w:val="20"/>
              </w:rPr>
              <w:t>Input Value</w:t>
            </w:r>
          </w:p>
        </w:tc>
        <w:tc>
          <w:tcPr>
            <w:tcW w:w="2728" w:type="dxa"/>
            <w:tcBorders>
              <w:top w:val="single" w:sz="4" w:space="0" w:color="000000"/>
              <w:left w:val="nil"/>
              <w:bottom w:val="single" w:sz="4" w:space="0" w:color="000000"/>
              <w:right w:val="single" w:sz="4" w:space="0" w:color="000000"/>
            </w:tcBorders>
            <w:shd w:val="clear" w:color="000000" w:fill="000000"/>
            <w:noWrap/>
            <w:vAlign w:val="bottom"/>
            <w:hideMark/>
          </w:tcPr>
          <w:p w:rsidR="007C0C51" w:rsidRDefault="007C0C51">
            <w:pPr>
              <w:rPr>
                <w:rFonts w:ascii="Arial" w:hAnsi="Arial" w:cs="Arial"/>
                <w:b/>
                <w:bCs/>
                <w:color w:val="FFFFFF"/>
                <w:sz w:val="20"/>
                <w:szCs w:val="20"/>
              </w:rPr>
            </w:pPr>
            <w:r>
              <w:rPr>
                <w:rFonts w:ascii="Arial" w:hAnsi="Arial" w:cs="Arial"/>
                <w:b/>
                <w:bCs/>
                <w:color w:val="FFFFFF"/>
                <w:sz w:val="20"/>
                <w:szCs w:val="20"/>
              </w:rPr>
              <w:t>Source</w:t>
            </w:r>
          </w:p>
        </w:tc>
      </w:tr>
      <w:tr w:rsidR="007C0C51" w:rsidTr="007C0C51">
        <w:trPr>
          <w:trHeight w:val="255"/>
        </w:trPr>
        <w:tc>
          <w:tcPr>
            <w:tcW w:w="3668" w:type="dxa"/>
            <w:tcBorders>
              <w:top w:val="single" w:sz="4" w:space="0" w:color="000000"/>
              <w:left w:val="single" w:sz="4" w:space="0" w:color="000000"/>
              <w:bottom w:val="single" w:sz="4" w:space="0" w:color="000000"/>
              <w:right w:val="nil"/>
            </w:tcBorders>
            <w:shd w:val="clear" w:color="D9D9D9" w:fill="D9D9D9"/>
            <w:noWrap/>
            <w:vAlign w:val="bottom"/>
            <w:hideMark/>
          </w:tcPr>
          <w:p w:rsidR="007C0C51" w:rsidRDefault="007C0C51">
            <w:pPr>
              <w:rPr>
                <w:rFonts w:ascii="Arial" w:hAnsi="Arial" w:cs="Arial"/>
                <w:color w:val="000000"/>
                <w:sz w:val="20"/>
                <w:szCs w:val="20"/>
              </w:rPr>
            </w:pPr>
            <w:r>
              <w:rPr>
                <w:rFonts w:ascii="Arial" w:hAnsi="Arial" w:cs="Arial"/>
                <w:color w:val="000000"/>
                <w:sz w:val="20"/>
                <w:szCs w:val="20"/>
              </w:rPr>
              <w:t>Base Case Load (Btu/hr/ft)</w:t>
            </w:r>
          </w:p>
        </w:tc>
        <w:tc>
          <w:tcPr>
            <w:tcW w:w="2728" w:type="dxa"/>
            <w:tcBorders>
              <w:top w:val="single" w:sz="4" w:space="0" w:color="000000"/>
              <w:left w:val="nil"/>
              <w:bottom w:val="single" w:sz="4" w:space="0" w:color="000000"/>
              <w:right w:val="nil"/>
            </w:tcBorders>
            <w:shd w:val="clear" w:color="D9D9D9" w:fill="D9D9D9"/>
            <w:noWrap/>
            <w:vAlign w:val="bottom"/>
            <w:hideMark/>
          </w:tcPr>
          <w:p w:rsidR="007C0C51" w:rsidRDefault="007C0C51" w:rsidP="007C0C51">
            <w:pPr>
              <w:jc w:val="center"/>
              <w:rPr>
                <w:rFonts w:ascii="Arial" w:hAnsi="Arial" w:cs="Arial"/>
                <w:color w:val="000000"/>
                <w:sz w:val="20"/>
                <w:szCs w:val="20"/>
              </w:rPr>
            </w:pPr>
            <w:r>
              <w:rPr>
                <w:rFonts w:ascii="Arial" w:hAnsi="Arial" w:cs="Arial"/>
                <w:color w:val="000000"/>
                <w:sz w:val="20"/>
                <w:szCs w:val="20"/>
              </w:rPr>
              <w:t>1,439</w:t>
            </w:r>
          </w:p>
        </w:tc>
        <w:tc>
          <w:tcPr>
            <w:tcW w:w="2728" w:type="dxa"/>
            <w:tcBorders>
              <w:top w:val="single" w:sz="4" w:space="0" w:color="000000"/>
              <w:left w:val="nil"/>
              <w:bottom w:val="single" w:sz="4" w:space="0" w:color="000000"/>
              <w:right w:val="single" w:sz="4" w:space="0" w:color="000000"/>
            </w:tcBorders>
            <w:shd w:val="clear" w:color="D9D9D9" w:fill="D9D9D9"/>
            <w:noWrap/>
            <w:vAlign w:val="bottom"/>
            <w:hideMark/>
          </w:tcPr>
          <w:p w:rsidR="007C0C51" w:rsidRDefault="007C0C51" w:rsidP="00222E83">
            <w:pPr>
              <w:rPr>
                <w:rFonts w:ascii="Arial" w:hAnsi="Arial" w:cs="Arial"/>
                <w:color w:val="000000"/>
                <w:sz w:val="20"/>
                <w:szCs w:val="20"/>
              </w:rPr>
            </w:pPr>
            <w:r>
              <w:rPr>
                <w:rFonts w:ascii="Arial" w:hAnsi="Arial" w:cs="Arial"/>
                <w:color w:val="000000"/>
                <w:sz w:val="20"/>
                <w:szCs w:val="20"/>
              </w:rPr>
              <w:t>Manufacturer Specifications</w:t>
            </w:r>
          </w:p>
        </w:tc>
      </w:tr>
      <w:tr w:rsidR="007C0C51" w:rsidTr="007C0C51">
        <w:trPr>
          <w:trHeight w:val="255"/>
        </w:trPr>
        <w:tc>
          <w:tcPr>
            <w:tcW w:w="3668" w:type="dxa"/>
            <w:tcBorders>
              <w:top w:val="single" w:sz="4" w:space="0" w:color="000000"/>
              <w:left w:val="single" w:sz="4" w:space="0" w:color="000000"/>
              <w:bottom w:val="single" w:sz="4" w:space="0" w:color="000000"/>
              <w:right w:val="nil"/>
            </w:tcBorders>
            <w:shd w:val="clear" w:color="auto" w:fill="auto"/>
            <w:noWrap/>
            <w:vAlign w:val="bottom"/>
            <w:hideMark/>
          </w:tcPr>
          <w:p w:rsidR="007C0C51" w:rsidRDefault="007C0C51">
            <w:pPr>
              <w:rPr>
                <w:rFonts w:ascii="Arial" w:hAnsi="Arial" w:cs="Arial"/>
                <w:color w:val="000000"/>
                <w:sz w:val="20"/>
                <w:szCs w:val="20"/>
              </w:rPr>
            </w:pPr>
            <w:r>
              <w:rPr>
                <w:rFonts w:ascii="Arial" w:hAnsi="Arial" w:cs="Arial"/>
                <w:color w:val="000000"/>
                <w:sz w:val="20"/>
                <w:szCs w:val="20"/>
              </w:rPr>
              <w:t>Efficient Case Load (Btu/hr/ft)</w:t>
            </w:r>
          </w:p>
        </w:tc>
        <w:tc>
          <w:tcPr>
            <w:tcW w:w="2728" w:type="dxa"/>
            <w:tcBorders>
              <w:top w:val="single" w:sz="4" w:space="0" w:color="000000"/>
              <w:left w:val="nil"/>
              <w:bottom w:val="single" w:sz="4" w:space="0" w:color="000000"/>
              <w:right w:val="nil"/>
            </w:tcBorders>
            <w:shd w:val="clear" w:color="auto" w:fill="auto"/>
            <w:noWrap/>
            <w:vAlign w:val="bottom"/>
            <w:hideMark/>
          </w:tcPr>
          <w:p w:rsidR="007C0C51" w:rsidRDefault="007C0C51" w:rsidP="007C0C51">
            <w:pPr>
              <w:jc w:val="center"/>
              <w:rPr>
                <w:rFonts w:ascii="Arial" w:hAnsi="Arial" w:cs="Arial"/>
                <w:color w:val="000000"/>
                <w:sz w:val="20"/>
                <w:szCs w:val="20"/>
              </w:rPr>
            </w:pPr>
            <w:r>
              <w:rPr>
                <w:rFonts w:ascii="Arial" w:hAnsi="Arial" w:cs="Arial"/>
                <w:color w:val="000000"/>
                <w:sz w:val="20"/>
                <w:szCs w:val="20"/>
              </w:rPr>
              <w:t>1,240</w:t>
            </w:r>
          </w:p>
        </w:tc>
        <w:tc>
          <w:tcPr>
            <w:tcW w:w="2728" w:type="dxa"/>
            <w:tcBorders>
              <w:top w:val="single" w:sz="4" w:space="0" w:color="000000"/>
              <w:left w:val="nil"/>
              <w:bottom w:val="single" w:sz="4" w:space="0" w:color="000000"/>
              <w:right w:val="single" w:sz="4" w:space="0" w:color="000000"/>
            </w:tcBorders>
            <w:shd w:val="clear" w:color="auto" w:fill="auto"/>
            <w:noWrap/>
            <w:vAlign w:val="bottom"/>
            <w:hideMark/>
          </w:tcPr>
          <w:p w:rsidR="007C0C51" w:rsidRDefault="007C0C51" w:rsidP="00222E83">
            <w:pPr>
              <w:rPr>
                <w:rFonts w:ascii="Arial" w:hAnsi="Arial" w:cs="Arial"/>
                <w:color w:val="000000"/>
                <w:sz w:val="20"/>
                <w:szCs w:val="20"/>
              </w:rPr>
            </w:pPr>
            <w:r>
              <w:rPr>
                <w:rFonts w:ascii="Arial" w:hAnsi="Arial" w:cs="Arial"/>
                <w:color w:val="000000"/>
                <w:sz w:val="20"/>
                <w:szCs w:val="20"/>
              </w:rPr>
              <w:t>Manufacturer Specifications</w:t>
            </w:r>
          </w:p>
        </w:tc>
      </w:tr>
      <w:tr w:rsidR="007C0C51" w:rsidTr="007C0C51">
        <w:trPr>
          <w:trHeight w:val="255"/>
        </w:trPr>
        <w:tc>
          <w:tcPr>
            <w:tcW w:w="3668" w:type="dxa"/>
            <w:tcBorders>
              <w:top w:val="single" w:sz="4" w:space="0" w:color="000000"/>
              <w:left w:val="single" w:sz="4" w:space="0" w:color="000000"/>
              <w:bottom w:val="single" w:sz="4" w:space="0" w:color="000000"/>
              <w:right w:val="nil"/>
            </w:tcBorders>
            <w:shd w:val="clear" w:color="D9D9D9" w:fill="D9D9D9"/>
            <w:noWrap/>
            <w:vAlign w:val="bottom"/>
            <w:hideMark/>
          </w:tcPr>
          <w:p w:rsidR="007C0C51" w:rsidRDefault="007C0C51">
            <w:pPr>
              <w:rPr>
                <w:rFonts w:ascii="Arial" w:hAnsi="Arial" w:cs="Arial"/>
                <w:color w:val="000000"/>
                <w:sz w:val="20"/>
                <w:szCs w:val="20"/>
              </w:rPr>
            </w:pPr>
            <w:r>
              <w:rPr>
                <w:rFonts w:ascii="Arial" w:hAnsi="Arial" w:cs="Arial"/>
                <w:color w:val="000000"/>
                <w:sz w:val="20"/>
                <w:szCs w:val="20"/>
              </w:rPr>
              <w:t>Refrigeration System Full Load Hours</w:t>
            </w:r>
          </w:p>
        </w:tc>
        <w:tc>
          <w:tcPr>
            <w:tcW w:w="2728" w:type="dxa"/>
            <w:tcBorders>
              <w:top w:val="single" w:sz="4" w:space="0" w:color="000000"/>
              <w:left w:val="nil"/>
              <w:bottom w:val="single" w:sz="4" w:space="0" w:color="000000"/>
              <w:right w:val="nil"/>
            </w:tcBorders>
            <w:shd w:val="clear" w:color="D9D9D9" w:fill="D9D9D9"/>
            <w:noWrap/>
            <w:vAlign w:val="bottom"/>
            <w:hideMark/>
          </w:tcPr>
          <w:p w:rsidR="007C0C51" w:rsidRDefault="007C0C51" w:rsidP="007C0C51">
            <w:pPr>
              <w:jc w:val="center"/>
              <w:rPr>
                <w:rFonts w:ascii="Arial" w:hAnsi="Arial" w:cs="Arial"/>
                <w:color w:val="000000"/>
                <w:sz w:val="20"/>
                <w:szCs w:val="20"/>
              </w:rPr>
            </w:pPr>
            <w:r>
              <w:rPr>
                <w:rFonts w:ascii="Arial" w:hAnsi="Arial" w:cs="Arial"/>
                <w:color w:val="000000"/>
                <w:sz w:val="20"/>
                <w:szCs w:val="20"/>
              </w:rPr>
              <w:t>5,803</w:t>
            </w:r>
          </w:p>
        </w:tc>
        <w:tc>
          <w:tcPr>
            <w:tcW w:w="2728" w:type="dxa"/>
            <w:tcBorders>
              <w:top w:val="single" w:sz="4" w:space="0" w:color="000000"/>
              <w:left w:val="nil"/>
              <w:bottom w:val="single" w:sz="4" w:space="0" w:color="000000"/>
              <w:right w:val="single" w:sz="4" w:space="0" w:color="000000"/>
            </w:tcBorders>
            <w:shd w:val="clear" w:color="D9D9D9" w:fill="D9D9D9"/>
            <w:noWrap/>
            <w:vAlign w:val="bottom"/>
            <w:hideMark/>
          </w:tcPr>
          <w:p w:rsidR="007C0C51" w:rsidRDefault="007C0C51" w:rsidP="00222E83">
            <w:pPr>
              <w:rPr>
                <w:rFonts w:ascii="Arial" w:hAnsi="Arial" w:cs="Arial"/>
                <w:color w:val="000000"/>
                <w:sz w:val="20"/>
                <w:szCs w:val="20"/>
              </w:rPr>
            </w:pPr>
            <w:r>
              <w:rPr>
                <w:rFonts w:ascii="Arial" w:hAnsi="Arial" w:cs="Arial"/>
                <w:color w:val="000000"/>
                <w:sz w:val="20"/>
                <w:szCs w:val="20"/>
              </w:rPr>
              <w:t>DOE2.2R Modeling</w:t>
            </w:r>
          </w:p>
        </w:tc>
      </w:tr>
      <w:tr w:rsidR="007C0C51" w:rsidTr="007C0C51">
        <w:trPr>
          <w:trHeight w:val="255"/>
        </w:trPr>
        <w:tc>
          <w:tcPr>
            <w:tcW w:w="3668" w:type="dxa"/>
            <w:tcBorders>
              <w:top w:val="single" w:sz="4" w:space="0" w:color="000000"/>
              <w:left w:val="single" w:sz="4" w:space="0" w:color="000000"/>
              <w:bottom w:val="single" w:sz="4" w:space="0" w:color="000000"/>
              <w:right w:val="nil"/>
            </w:tcBorders>
            <w:shd w:val="clear" w:color="auto" w:fill="auto"/>
            <w:noWrap/>
            <w:vAlign w:val="bottom"/>
            <w:hideMark/>
          </w:tcPr>
          <w:p w:rsidR="007C0C51" w:rsidRDefault="007C0C51">
            <w:pPr>
              <w:rPr>
                <w:rFonts w:ascii="Arial" w:hAnsi="Arial" w:cs="Arial"/>
                <w:color w:val="000000"/>
                <w:sz w:val="20"/>
                <w:szCs w:val="20"/>
              </w:rPr>
            </w:pPr>
            <w:r>
              <w:rPr>
                <w:rFonts w:ascii="Arial" w:hAnsi="Arial" w:cs="Arial"/>
                <w:color w:val="000000"/>
                <w:sz w:val="20"/>
                <w:szCs w:val="20"/>
              </w:rPr>
              <w:t>Annual Average Base EER (Btuh/W)</w:t>
            </w:r>
          </w:p>
        </w:tc>
        <w:tc>
          <w:tcPr>
            <w:tcW w:w="2728" w:type="dxa"/>
            <w:tcBorders>
              <w:top w:val="single" w:sz="4" w:space="0" w:color="000000"/>
              <w:left w:val="nil"/>
              <w:bottom w:val="single" w:sz="4" w:space="0" w:color="000000"/>
              <w:right w:val="nil"/>
            </w:tcBorders>
            <w:shd w:val="clear" w:color="auto" w:fill="auto"/>
            <w:noWrap/>
            <w:vAlign w:val="bottom"/>
            <w:hideMark/>
          </w:tcPr>
          <w:p w:rsidR="007C0C51" w:rsidRDefault="007C0C51" w:rsidP="007C0C51">
            <w:pPr>
              <w:jc w:val="center"/>
              <w:rPr>
                <w:rFonts w:ascii="Arial" w:hAnsi="Arial" w:cs="Arial"/>
                <w:color w:val="000000"/>
                <w:sz w:val="20"/>
                <w:szCs w:val="20"/>
              </w:rPr>
            </w:pPr>
            <w:r>
              <w:rPr>
                <w:rFonts w:ascii="Arial" w:hAnsi="Arial" w:cs="Arial"/>
                <w:color w:val="000000"/>
                <w:sz w:val="20"/>
                <w:szCs w:val="20"/>
              </w:rPr>
              <w:t>10</w:t>
            </w:r>
          </w:p>
        </w:tc>
        <w:tc>
          <w:tcPr>
            <w:tcW w:w="2728" w:type="dxa"/>
            <w:tcBorders>
              <w:top w:val="single" w:sz="4" w:space="0" w:color="000000"/>
              <w:left w:val="nil"/>
              <w:bottom w:val="single" w:sz="4" w:space="0" w:color="000000"/>
              <w:right w:val="single" w:sz="4" w:space="0" w:color="000000"/>
            </w:tcBorders>
            <w:shd w:val="clear" w:color="auto" w:fill="auto"/>
            <w:noWrap/>
            <w:vAlign w:val="bottom"/>
            <w:hideMark/>
          </w:tcPr>
          <w:p w:rsidR="007C0C51" w:rsidRDefault="007C0C51" w:rsidP="00222E83">
            <w:pPr>
              <w:rPr>
                <w:rFonts w:ascii="Arial" w:hAnsi="Arial" w:cs="Arial"/>
                <w:color w:val="000000"/>
                <w:sz w:val="20"/>
                <w:szCs w:val="20"/>
              </w:rPr>
            </w:pPr>
            <w:r>
              <w:rPr>
                <w:rFonts w:ascii="Arial" w:hAnsi="Arial" w:cs="Arial"/>
                <w:color w:val="000000"/>
                <w:sz w:val="20"/>
                <w:szCs w:val="20"/>
              </w:rPr>
              <w:t>2010 ASHRAE Ref. Handbook</w:t>
            </w:r>
          </w:p>
        </w:tc>
      </w:tr>
      <w:tr w:rsidR="007C0C51" w:rsidTr="007C0C51">
        <w:trPr>
          <w:trHeight w:val="255"/>
        </w:trPr>
        <w:tc>
          <w:tcPr>
            <w:tcW w:w="3668" w:type="dxa"/>
            <w:tcBorders>
              <w:top w:val="single" w:sz="4" w:space="0" w:color="000000"/>
              <w:left w:val="single" w:sz="4" w:space="0" w:color="000000"/>
              <w:bottom w:val="single" w:sz="4" w:space="0" w:color="000000"/>
              <w:right w:val="nil"/>
            </w:tcBorders>
            <w:shd w:val="clear" w:color="D9D9D9" w:fill="D9D9D9"/>
            <w:noWrap/>
            <w:vAlign w:val="bottom"/>
            <w:hideMark/>
          </w:tcPr>
          <w:p w:rsidR="007C0C51" w:rsidRDefault="007C0C51">
            <w:pPr>
              <w:rPr>
                <w:rFonts w:ascii="Arial" w:hAnsi="Arial" w:cs="Arial"/>
                <w:color w:val="000000"/>
                <w:sz w:val="20"/>
                <w:szCs w:val="20"/>
              </w:rPr>
            </w:pPr>
            <w:r>
              <w:rPr>
                <w:rFonts w:ascii="Arial" w:hAnsi="Arial" w:cs="Arial"/>
                <w:color w:val="000000"/>
                <w:sz w:val="20"/>
                <w:szCs w:val="20"/>
              </w:rPr>
              <w:t>Annual Average Efficient EER (Btuh/W)</w:t>
            </w:r>
          </w:p>
        </w:tc>
        <w:tc>
          <w:tcPr>
            <w:tcW w:w="2728" w:type="dxa"/>
            <w:tcBorders>
              <w:top w:val="single" w:sz="4" w:space="0" w:color="000000"/>
              <w:left w:val="nil"/>
              <w:bottom w:val="single" w:sz="4" w:space="0" w:color="000000"/>
              <w:right w:val="nil"/>
            </w:tcBorders>
            <w:shd w:val="clear" w:color="D9D9D9" w:fill="D9D9D9"/>
            <w:noWrap/>
            <w:vAlign w:val="bottom"/>
            <w:hideMark/>
          </w:tcPr>
          <w:p w:rsidR="007C0C51" w:rsidRDefault="007C0C51" w:rsidP="007C0C51">
            <w:pPr>
              <w:jc w:val="center"/>
              <w:rPr>
                <w:rFonts w:ascii="Arial" w:hAnsi="Arial" w:cs="Arial"/>
                <w:color w:val="000000"/>
                <w:sz w:val="20"/>
                <w:szCs w:val="20"/>
              </w:rPr>
            </w:pPr>
            <w:r>
              <w:rPr>
                <w:rFonts w:ascii="Arial" w:hAnsi="Arial" w:cs="Arial"/>
                <w:color w:val="000000"/>
                <w:sz w:val="20"/>
                <w:szCs w:val="20"/>
              </w:rPr>
              <w:t>10.45</w:t>
            </w:r>
          </w:p>
        </w:tc>
        <w:tc>
          <w:tcPr>
            <w:tcW w:w="2728" w:type="dxa"/>
            <w:tcBorders>
              <w:top w:val="single" w:sz="4" w:space="0" w:color="000000"/>
              <w:left w:val="nil"/>
              <w:bottom w:val="single" w:sz="4" w:space="0" w:color="000000"/>
              <w:right w:val="single" w:sz="4" w:space="0" w:color="000000"/>
            </w:tcBorders>
            <w:shd w:val="clear" w:color="D9D9D9" w:fill="D9D9D9"/>
            <w:noWrap/>
            <w:vAlign w:val="bottom"/>
            <w:hideMark/>
          </w:tcPr>
          <w:p w:rsidR="007C0C51" w:rsidRDefault="007C0C51" w:rsidP="00222E83">
            <w:pPr>
              <w:rPr>
                <w:rFonts w:ascii="Arial" w:hAnsi="Arial" w:cs="Arial"/>
                <w:color w:val="000000"/>
                <w:sz w:val="20"/>
                <w:szCs w:val="20"/>
              </w:rPr>
            </w:pPr>
            <w:r>
              <w:rPr>
                <w:rFonts w:ascii="Arial" w:hAnsi="Arial" w:cs="Arial"/>
                <w:color w:val="000000"/>
                <w:sz w:val="20"/>
                <w:szCs w:val="20"/>
              </w:rPr>
              <w:t>2010 ASHRAE Ref. Handbook + NEEA Report</w:t>
            </w:r>
          </w:p>
        </w:tc>
      </w:tr>
      <w:tr w:rsidR="007C0C51" w:rsidTr="007C0C51">
        <w:trPr>
          <w:trHeight w:val="255"/>
        </w:trPr>
        <w:tc>
          <w:tcPr>
            <w:tcW w:w="3668" w:type="dxa"/>
            <w:tcBorders>
              <w:top w:val="single" w:sz="4" w:space="0" w:color="000000"/>
              <w:left w:val="single" w:sz="4" w:space="0" w:color="000000"/>
              <w:bottom w:val="single" w:sz="4" w:space="0" w:color="000000"/>
              <w:right w:val="nil"/>
            </w:tcBorders>
            <w:shd w:val="clear" w:color="auto" w:fill="auto"/>
            <w:noWrap/>
            <w:vAlign w:val="bottom"/>
            <w:hideMark/>
          </w:tcPr>
          <w:p w:rsidR="007C0C51" w:rsidRDefault="007C0C51">
            <w:pPr>
              <w:rPr>
                <w:rFonts w:ascii="Arial" w:hAnsi="Arial" w:cs="Arial"/>
                <w:color w:val="000000"/>
                <w:sz w:val="20"/>
                <w:szCs w:val="20"/>
              </w:rPr>
            </w:pPr>
            <w:r>
              <w:rPr>
                <w:rFonts w:ascii="Arial" w:hAnsi="Arial" w:cs="Arial"/>
                <w:color w:val="000000"/>
                <w:sz w:val="20"/>
                <w:szCs w:val="20"/>
              </w:rPr>
              <w:t>Annual Average Base EER (Btuh/W)</w:t>
            </w:r>
          </w:p>
        </w:tc>
        <w:tc>
          <w:tcPr>
            <w:tcW w:w="2728" w:type="dxa"/>
            <w:tcBorders>
              <w:top w:val="single" w:sz="4" w:space="0" w:color="000000"/>
              <w:left w:val="nil"/>
              <w:bottom w:val="single" w:sz="4" w:space="0" w:color="000000"/>
              <w:right w:val="nil"/>
            </w:tcBorders>
            <w:shd w:val="clear" w:color="auto" w:fill="auto"/>
            <w:noWrap/>
            <w:vAlign w:val="bottom"/>
            <w:hideMark/>
          </w:tcPr>
          <w:p w:rsidR="007C0C51" w:rsidRDefault="007C0C51" w:rsidP="007C0C51">
            <w:pPr>
              <w:jc w:val="center"/>
              <w:rPr>
                <w:rFonts w:ascii="Arial" w:hAnsi="Arial" w:cs="Arial"/>
                <w:color w:val="000000"/>
                <w:sz w:val="20"/>
                <w:szCs w:val="20"/>
              </w:rPr>
            </w:pPr>
            <w:r>
              <w:rPr>
                <w:rFonts w:ascii="Arial" w:hAnsi="Arial" w:cs="Arial"/>
                <w:color w:val="000000"/>
                <w:sz w:val="20"/>
                <w:szCs w:val="20"/>
              </w:rPr>
              <w:t>9</w:t>
            </w:r>
          </w:p>
        </w:tc>
        <w:tc>
          <w:tcPr>
            <w:tcW w:w="2728" w:type="dxa"/>
            <w:tcBorders>
              <w:top w:val="single" w:sz="4" w:space="0" w:color="000000"/>
              <w:left w:val="nil"/>
              <w:bottom w:val="single" w:sz="4" w:space="0" w:color="000000"/>
              <w:right w:val="single" w:sz="4" w:space="0" w:color="000000"/>
            </w:tcBorders>
            <w:shd w:val="clear" w:color="auto" w:fill="auto"/>
            <w:noWrap/>
            <w:vAlign w:val="bottom"/>
            <w:hideMark/>
          </w:tcPr>
          <w:p w:rsidR="007C0C51" w:rsidRDefault="007C0C51">
            <w:pPr>
              <w:rPr>
                <w:rFonts w:ascii="Arial" w:hAnsi="Arial" w:cs="Arial"/>
                <w:color w:val="000000"/>
                <w:sz w:val="20"/>
                <w:szCs w:val="20"/>
              </w:rPr>
            </w:pPr>
            <w:r>
              <w:rPr>
                <w:rFonts w:ascii="Arial" w:hAnsi="Arial" w:cs="Arial"/>
                <w:color w:val="000000"/>
                <w:sz w:val="20"/>
                <w:szCs w:val="20"/>
              </w:rPr>
              <w:t>2010 ASHRAE Ref. Handbook</w:t>
            </w:r>
          </w:p>
        </w:tc>
      </w:tr>
      <w:tr w:rsidR="007C0C51" w:rsidTr="007C0C51">
        <w:trPr>
          <w:trHeight w:val="255"/>
        </w:trPr>
        <w:tc>
          <w:tcPr>
            <w:tcW w:w="3668" w:type="dxa"/>
            <w:tcBorders>
              <w:top w:val="single" w:sz="4" w:space="0" w:color="000000"/>
              <w:left w:val="single" w:sz="4" w:space="0" w:color="000000"/>
              <w:bottom w:val="single" w:sz="4" w:space="0" w:color="000000"/>
              <w:right w:val="nil"/>
            </w:tcBorders>
            <w:shd w:val="clear" w:color="D9D9D9" w:fill="D9D9D9"/>
            <w:noWrap/>
            <w:vAlign w:val="bottom"/>
            <w:hideMark/>
          </w:tcPr>
          <w:p w:rsidR="007C0C51" w:rsidRDefault="007C0C51">
            <w:pPr>
              <w:rPr>
                <w:rFonts w:ascii="Arial" w:hAnsi="Arial" w:cs="Arial"/>
                <w:color w:val="000000"/>
                <w:sz w:val="20"/>
                <w:szCs w:val="20"/>
              </w:rPr>
            </w:pPr>
            <w:r>
              <w:rPr>
                <w:rFonts w:ascii="Arial" w:hAnsi="Arial" w:cs="Arial"/>
                <w:color w:val="000000"/>
                <w:sz w:val="20"/>
                <w:szCs w:val="20"/>
              </w:rPr>
              <w:t>Annual Average Efficient EER (Btuh/W)</w:t>
            </w:r>
          </w:p>
        </w:tc>
        <w:tc>
          <w:tcPr>
            <w:tcW w:w="2728" w:type="dxa"/>
            <w:tcBorders>
              <w:top w:val="single" w:sz="4" w:space="0" w:color="000000"/>
              <w:left w:val="nil"/>
              <w:bottom w:val="single" w:sz="4" w:space="0" w:color="000000"/>
              <w:right w:val="nil"/>
            </w:tcBorders>
            <w:shd w:val="clear" w:color="D9D9D9" w:fill="D9D9D9"/>
            <w:noWrap/>
            <w:vAlign w:val="bottom"/>
            <w:hideMark/>
          </w:tcPr>
          <w:p w:rsidR="007C0C51" w:rsidRDefault="007C0C51" w:rsidP="007C0C51">
            <w:pPr>
              <w:jc w:val="center"/>
              <w:rPr>
                <w:rFonts w:ascii="Arial" w:hAnsi="Arial" w:cs="Arial"/>
                <w:color w:val="000000"/>
                <w:sz w:val="20"/>
                <w:szCs w:val="20"/>
              </w:rPr>
            </w:pPr>
            <w:r>
              <w:rPr>
                <w:rFonts w:ascii="Arial" w:hAnsi="Arial" w:cs="Arial"/>
                <w:color w:val="000000"/>
                <w:sz w:val="20"/>
                <w:szCs w:val="20"/>
              </w:rPr>
              <w:t>9.41</w:t>
            </w:r>
          </w:p>
        </w:tc>
        <w:tc>
          <w:tcPr>
            <w:tcW w:w="2728" w:type="dxa"/>
            <w:tcBorders>
              <w:top w:val="single" w:sz="4" w:space="0" w:color="000000"/>
              <w:left w:val="nil"/>
              <w:bottom w:val="single" w:sz="4" w:space="0" w:color="000000"/>
              <w:right w:val="single" w:sz="4" w:space="0" w:color="000000"/>
            </w:tcBorders>
            <w:shd w:val="clear" w:color="D9D9D9" w:fill="D9D9D9"/>
            <w:noWrap/>
            <w:vAlign w:val="bottom"/>
            <w:hideMark/>
          </w:tcPr>
          <w:p w:rsidR="007C0C51" w:rsidRDefault="007C0C51">
            <w:pPr>
              <w:rPr>
                <w:rFonts w:ascii="Arial" w:hAnsi="Arial" w:cs="Arial"/>
                <w:color w:val="000000"/>
                <w:sz w:val="20"/>
                <w:szCs w:val="20"/>
              </w:rPr>
            </w:pPr>
            <w:r>
              <w:rPr>
                <w:rFonts w:ascii="Arial" w:hAnsi="Arial" w:cs="Arial"/>
                <w:color w:val="000000"/>
                <w:sz w:val="20"/>
                <w:szCs w:val="20"/>
              </w:rPr>
              <w:t>2010 ASHRAE Ref. Handbook + NEEA Report</w:t>
            </w:r>
          </w:p>
        </w:tc>
      </w:tr>
    </w:tbl>
    <w:p w:rsidR="00700E58" w:rsidRDefault="00700E58">
      <w:pPr>
        <w:rPr>
          <w:rFonts w:ascii="Arial" w:hAnsi="Arial" w:cs="Arial"/>
          <w:b/>
          <w:i/>
          <w:sz w:val="28"/>
          <w:szCs w:val="28"/>
        </w:rPr>
      </w:pPr>
      <w:r>
        <w:rPr>
          <w:rFonts w:ascii="Arial" w:hAnsi="Arial" w:cs="Arial"/>
          <w:b/>
          <w:i/>
          <w:sz w:val="28"/>
          <w:szCs w:val="28"/>
        </w:rPr>
        <w:br w:type="page"/>
      </w:r>
    </w:p>
    <w:p w:rsidR="0022240A" w:rsidRDefault="0022240A" w:rsidP="0022240A">
      <w:pPr>
        <w:rPr>
          <w:rFonts w:ascii="Arial" w:hAnsi="Arial" w:cs="Arial"/>
          <w:b/>
          <w:i/>
          <w:sz w:val="28"/>
          <w:szCs w:val="28"/>
        </w:rPr>
      </w:pPr>
    </w:p>
    <w:p w:rsidR="0022240A" w:rsidRDefault="0022240A" w:rsidP="008C6A2F">
      <w:pPr>
        <w:pStyle w:val="Heading1"/>
      </w:pPr>
      <w:bookmarkStart w:id="47" w:name="_Toc387912006"/>
      <w:bookmarkStart w:id="48" w:name="_Toc389487654"/>
      <w:r w:rsidRPr="00CF3FF0">
        <w:t>Section 2. Calculation Methods</w:t>
      </w:r>
      <w:bookmarkEnd w:id="46"/>
      <w:bookmarkEnd w:id="47"/>
      <w:bookmarkEnd w:id="48"/>
    </w:p>
    <w:p w:rsidR="0022240A" w:rsidRDefault="0022240A" w:rsidP="0022240A">
      <w:pPr>
        <w:rPr>
          <w:rFonts w:ascii="Arial" w:hAnsi="Arial" w:cs="Arial"/>
          <w:b/>
          <w:i/>
          <w:sz w:val="28"/>
          <w:szCs w:val="28"/>
        </w:rPr>
      </w:pPr>
    </w:p>
    <w:p w:rsidR="00297B0C" w:rsidRDefault="00297B0C" w:rsidP="008C6A2F">
      <w:pPr>
        <w:jc w:val="center"/>
        <w:rPr>
          <w:rFonts w:ascii="Arial" w:hAnsi="Arial" w:cs="Arial"/>
          <w:sz w:val="20"/>
          <w:szCs w:val="20"/>
        </w:rPr>
      </w:pPr>
      <w:bookmarkStart w:id="49" w:name="_Toc387912236"/>
      <w:bookmarkStart w:id="50" w:name="_Toc390184322"/>
      <w:r w:rsidRPr="00F64F40">
        <w:rPr>
          <w:rFonts w:ascii="Arial" w:hAnsi="Arial" w:cs="Arial"/>
          <w:sz w:val="20"/>
          <w:szCs w:val="20"/>
        </w:rPr>
        <w:t xml:space="preserve">Table </w:t>
      </w:r>
      <w:r w:rsidRPr="00F64F40">
        <w:rPr>
          <w:rFonts w:ascii="Arial" w:hAnsi="Arial" w:cs="Arial"/>
          <w:sz w:val="20"/>
          <w:szCs w:val="20"/>
        </w:rPr>
        <w:fldChar w:fldCharType="begin"/>
      </w:r>
      <w:r w:rsidRPr="00F64F40">
        <w:rPr>
          <w:rFonts w:ascii="Arial" w:hAnsi="Arial" w:cs="Arial"/>
          <w:sz w:val="20"/>
          <w:szCs w:val="20"/>
        </w:rPr>
        <w:instrText xml:space="preserve"> SEQ Table \* ARABIC \s 1 </w:instrText>
      </w:r>
      <w:r w:rsidRPr="00F64F40">
        <w:rPr>
          <w:rFonts w:ascii="Arial" w:hAnsi="Arial" w:cs="Arial"/>
          <w:sz w:val="20"/>
          <w:szCs w:val="20"/>
        </w:rPr>
        <w:fldChar w:fldCharType="separate"/>
      </w:r>
      <w:r w:rsidRPr="00F64F40">
        <w:rPr>
          <w:rFonts w:ascii="Arial" w:hAnsi="Arial" w:cs="Arial"/>
          <w:noProof/>
          <w:sz w:val="20"/>
          <w:szCs w:val="20"/>
        </w:rPr>
        <w:t>3</w:t>
      </w:r>
      <w:r w:rsidRPr="00F64F40">
        <w:rPr>
          <w:rFonts w:ascii="Arial" w:hAnsi="Arial" w:cs="Arial"/>
          <w:sz w:val="20"/>
          <w:szCs w:val="20"/>
        </w:rPr>
        <w:fldChar w:fldCharType="end"/>
      </w:r>
      <w:r w:rsidRPr="00F64F40">
        <w:rPr>
          <w:rFonts w:ascii="Arial" w:hAnsi="Arial" w:cs="Arial"/>
          <w:sz w:val="20"/>
          <w:szCs w:val="20"/>
        </w:rPr>
        <w:t xml:space="preserve"> Baseline by Measure Application Type</w:t>
      </w:r>
      <w:bookmarkEnd w:id="49"/>
      <w:bookmarkEnd w:id="50"/>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3662D0" w:rsidRPr="001E4C31" w:rsidTr="00D41579">
        <w:trPr>
          <w:trHeight w:val="927"/>
        </w:trPr>
        <w:tc>
          <w:tcPr>
            <w:tcW w:w="2808" w:type="dxa"/>
            <w:shd w:val="clear" w:color="auto" w:fill="262626"/>
            <w:vAlign w:val="bottom"/>
          </w:tcPr>
          <w:p w:rsidR="003662D0" w:rsidRPr="001E4C31" w:rsidRDefault="003662D0" w:rsidP="00D41579">
            <w:pPr>
              <w:pStyle w:val="Heading2"/>
              <w:keepLines/>
              <w:jc w:val="center"/>
              <w:rPr>
                <w:rStyle w:val="Strong"/>
                <w:b/>
                <w:bCs/>
                <w:i w:val="0"/>
                <w:color w:val="F2F2F2"/>
              </w:rPr>
            </w:pPr>
            <w:bookmarkStart w:id="51" w:name="_Toc324340490"/>
            <w:bookmarkStart w:id="52" w:name="_Toc383441995"/>
            <w:bookmarkStart w:id="53" w:name="_Toc389487655"/>
            <w:r>
              <w:rPr>
                <w:rStyle w:val="Strong"/>
                <w:i w:val="0"/>
                <w:color w:val="F2F2F2"/>
              </w:rPr>
              <w:t xml:space="preserve">Measure Application </w:t>
            </w:r>
            <w:r w:rsidRPr="001E4C31">
              <w:rPr>
                <w:rStyle w:val="Strong"/>
                <w:i w:val="0"/>
                <w:color w:val="F2F2F2"/>
              </w:rPr>
              <w:t>Type</w:t>
            </w:r>
            <w:bookmarkEnd w:id="51"/>
            <w:bookmarkEnd w:id="52"/>
            <w:bookmarkEnd w:id="53"/>
          </w:p>
        </w:tc>
        <w:tc>
          <w:tcPr>
            <w:tcW w:w="1710" w:type="dxa"/>
            <w:shd w:val="clear" w:color="auto" w:fill="262626"/>
            <w:vAlign w:val="bottom"/>
          </w:tcPr>
          <w:p w:rsidR="003662D0" w:rsidRPr="001E4C31" w:rsidRDefault="003662D0" w:rsidP="00D41579">
            <w:pPr>
              <w:pStyle w:val="Heading2"/>
              <w:keepLines/>
              <w:jc w:val="center"/>
              <w:rPr>
                <w:rStyle w:val="Strong"/>
                <w:b/>
                <w:bCs/>
                <w:i w:val="0"/>
                <w:color w:val="F2F2F2"/>
              </w:rPr>
            </w:pPr>
            <w:bookmarkStart w:id="54" w:name="_Toc324340491"/>
            <w:bookmarkStart w:id="55" w:name="_Toc383441996"/>
            <w:bookmarkStart w:id="56" w:name="_Toc389487656"/>
            <w:r w:rsidRPr="001E4C31">
              <w:rPr>
                <w:rStyle w:val="Strong"/>
                <w:i w:val="0"/>
                <w:color w:val="F2F2F2"/>
              </w:rPr>
              <w:t>Measure Life Basis</w:t>
            </w:r>
            <w:bookmarkEnd w:id="54"/>
            <w:bookmarkEnd w:id="55"/>
            <w:bookmarkEnd w:id="56"/>
          </w:p>
        </w:tc>
        <w:tc>
          <w:tcPr>
            <w:tcW w:w="2790" w:type="dxa"/>
            <w:shd w:val="clear" w:color="auto" w:fill="262626"/>
            <w:vAlign w:val="bottom"/>
          </w:tcPr>
          <w:p w:rsidR="003662D0" w:rsidRPr="001E4C31" w:rsidRDefault="003662D0" w:rsidP="00D41579">
            <w:pPr>
              <w:pStyle w:val="Heading2"/>
              <w:keepLines/>
              <w:jc w:val="center"/>
              <w:rPr>
                <w:rStyle w:val="Strong"/>
                <w:b/>
                <w:bCs/>
                <w:i w:val="0"/>
                <w:color w:val="F2F2F2"/>
              </w:rPr>
            </w:pPr>
            <w:bookmarkStart w:id="57" w:name="_Toc324340492"/>
            <w:bookmarkStart w:id="58" w:name="_Toc383441997"/>
            <w:bookmarkStart w:id="59" w:name="_Toc389487657"/>
            <w:r w:rsidRPr="001E4C31">
              <w:rPr>
                <w:rStyle w:val="Strong"/>
                <w:i w:val="0"/>
                <w:color w:val="F2F2F2"/>
              </w:rPr>
              <w:t>First Baseline Period: Energy Savings Baseline</w:t>
            </w:r>
            <w:bookmarkEnd w:id="57"/>
            <w:bookmarkEnd w:id="58"/>
            <w:bookmarkEnd w:id="59"/>
          </w:p>
        </w:tc>
        <w:tc>
          <w:tcPr>
            <w:tcW w:w="2268" w:type="dxa"/>
            <w:shd w:val="clear" w:color="auto" w:fill="262626"/>
            <w:vAlign w:val="bottom"/>
          </w:tcPr>
          <w:p w:rsidR="003662D0" w:rsidRPr="001E4C31" w:rsidRDefault="003662D0" w:rsidP="00D41579">
            <w:pPr>
              <w:pStyle w:val="Heading2"/>
              <w:keepLines/>
              <w:jc w:val="center"/>
              <w:rPr>
                <w:rStyle w:val="Strong"/>
                <w:b/>
                <w:bCs/>
                <w:i w:val="0"/>
                <w:color w:val="F2F2F2"/>
              </w:rPr>
            </w:pPr>
            <w:bookmarkStart w:id="60" w:name="_Toc324340493"/>
            <w:bookmarkStart w:id="61" w:name="_Toc383441998"/>
            <w:bookmarkStart w:id="62" w:name="_Toc389487658"/>
            <w:r w:rsidRPr="001E4C31">
              <w:rPr>
                <w:rStyle w:val="Strong"/>
                <w:i w:val="0"/>
                <w:color w:val="F2F2F2"/>
              </w:rPr>
              <w:t>Second Baseline Period: Energy Savings Baseline</w:t>
            </w:r>
            <w:bookmarkEnd w:id="60"/>
            <w:bookmarkEnd w:id="61"/>
            <w:bookmarkEnd w:id="62"/>
          </w:p>
        </w:tc>
      </w:tr>
      <w:tr w:rsidR="003662D0" w:rsidRPr="00C41E61" w:rsidTr="00D41579">
        <w:tc>
          <w:tcPr>
            <w:tcW w:w="2808" w:type="dxa"/>
            <w:shd w:val="pct20" w:color="000000" w:fill="FFFFFF"/>
            <w:vAlign w:val="bottom"/>
          </w:tcPr>
          <w:p w:rsidR="003662D0" w:rsidRPr="001E4C31" w:rsidRDefault="003662D0" w:rsidP="00D41579">
            <w:pPr>
              <w:spacing w:before="120" w:after="120"/>
              <w:jc w:val="center"/>
              <w:rPr>
                <w:rStyle w:val="Strong"/>
                <w:b w:val="0"/>
              </w:rPr>
            </w:pPr>
            <w:bookmarkStart w:id="63" w:name="_Toc324318353"/>
            <w:r w:rsidRPr="001E4C31">
              <w:rPr>
                <w:rStyle w:val="Strong"/>
                <w:i/>
              </w:rPr>
              <w:t>ROB</w:t>
            </w:r>
            <w:r w:rsidRPr="001E4C31">
              <w:rPr>
                <w:rStyle w:val="Strong"/>
              </w:rPr>
              <w:t xml:space="preserve"> (replace-on-burnout)</w:t>
            </w:r>
            <w:bookmarkEnd w:id="63"/>
          </w:p>
        </w:tc>
        <w:tc>
          <w:tcPr>
            <w:tcW w:w="1710" w:type="dxa"/>
            <w:shd w:val="pct20" w:color="000000" w:fill="FFFFFF"/>
            <w:vAlign w:val="bottom"/>
          </w:tcPr>
          <w:p w:rsidR="003662D0" w:rsidRPr="001E4C31" w:rsidRDefault="003662D0" w:rsidP="00D41579">
            <w:pPr>
              <w:spacing w:before="120" w:after="120"/>
              <w:jc w:val="center"/>
              <w:rPr>
                <w:rStyle w:val="Strong"/>
                <w:b w:val="0"/>
              </w:rPr>
            </w:pPr>
            <w:bookmarkStart w:id="64" w:name="_Toc324318354"/>
            <w:r w:rsidRPr="001E4C31">
              <w:rPr>
                <w:rStyle w:val="Strong"/>
              </w:rPr>
              <w:t>EUL</w:t>
            </w:r>
            <w:bookmarkEnd w:id="64"/>
          </w:p>
        </w:tc>
        <w:tc>
          <w:tcPr>
            <w:tcW w:w="2790" w:type="dxa"/>
            <w:shd w:val="pct20" w:color="000000" w:fill="FFFFFF"/>
            <w:vAlign w:val="bottom"/>
          </w:tcPr>
          <w:p w:rsidR="003662D0" w:rsidRPr="001E4C31" w:rsidRDefault="003662D0" w:rsidP="00D41579">
            <w:pPr>
              <w:spacing w:before="120" w:after="120"/>
              <w:jc w:val="center"/>
              <w:rPr>
                <w:sz w:val="20"/>
                <w:szCs w:val="20"/>
              </w:rPr>
            </w:pPr>
            <w:bookmarkStart w:id="65" w:name="_Toc324318355"/>
            <w:r w:rsidRPr="001E4C31">
              <w:rPr>
                <w:sz w:val="20"/>
                <w:szCs w:val="20"/>
              </w:rPr>
              <w:t>Code Baseline</w:t>
            </w:r>
            <w:bookmarkEnd w:id="65"/>
          </w:p>
        </w:tc>
        <w:tc>
          <w:tcPr>
            <w:tcW w:w="2268" w:type="dxa"/>
            <w:shd w:val="pct20" w:color="000000" w:fill="FFFFFF"/>
            <w:vAlign w:val="bottom"/>
          </w:tcPr>
          <w:p w:rsidR="003662D0" w:rsidRPr="001E4C31" w:rsidRDefault="003662D0" w:rsidP="00D41579">
            <w:pPr>
              <w:spacing w:before="120" w:after="120"/>
              <w:jc w:val="center"/>
              <w:rPr>
                <w:sz w:val="20"/>
                <w:szCs w:val="20"/>
              </w:rPr>
            </w:pPr>
            <w:bookmarkStart w:id="66" w:name="_Toc324318356"/>
            <w:r w:rsidRPr="001E4C31">
              <w:rPr>
                <w:sz w:val="20"/>
                <w:szCs w:val="20"/>
              </w:rPr>
              <w:t>N/A</w:t>
            </w:r>
            <w:bookmarkEnd w:id="66"/>
          </w:p>
        </w:tc>
      </w:tr>
    </w:tbl>
    <w:p w:rsidR="0022240A" w:rsidRDefault="0022240A" w:rsidP="0022240A">
      <w:pPr>
        <w:pStyle w:val="Heading2"/>
      </w:pPr>
      <w:bookmarkStart w:id="67" w:name="_Toc304800211"/>
      <w:bookmarkStart w:id="68" w:name="_Toc387912007"/>
      <w:bookmarkStart w:id="69" w:name="_Toc389487659"/>
      <w:r>
        <w:t>2.1 Electric Energy Savings Estimation Methodologies</w:t>
      </w:r>
      <w:bookmarkEnd w:id="67"/>
      <w:bookmarkEnd w:id="68"/>
      <w:bookmarkEnd w:id="69"/>
    </w:p>
    <w:p w:rsidR="0022240A" w:rsidRPr="00AB3433" w:rsidRDefault="0022240A" w:rsidP="0022240A">
      <w:pPr>
        <w:rPr>
          <w:rFonts w:ascii="Arial" w:hAnsi="Arial" w:cs="Arial"/>
          <w:sz w:val="20"/>
          <w:szCs w:val="20"/>
        </w:rPr>
      </w:pPr>
      <w:r w:rsidRPr="00AB3433">
        <w:rPr>
          <w:rFonts w:ascii="Arial" w:hAnsi="Arial" w:cs="Arial"/>
          <w:sz w:val="20"/>
          <w:szCs w:val="20"/>
        </w:rPr>
        <w:t xml:space="preserve">The electrical savings from this measure </w:t>
      </w:r>
      <w:r w:rsidR="00424F8F" w:rsidRPr="00AB3433">
        <w:rPr>
          <w:rFonts w:ascii="Arial" w:hAnsi="Arial" w:cs="Arial"/>
          <w:sz w:val="20"/>
          <w:szCs w:val="20"/>
        </w:rPr>
        <w:t xml:space="preserve">result </w:t>
      </w:r>
      <w:r w:rsidRPr="00AB3433">
        <w:rPr>
          <w:rFonts w:ascii="Arial" w:hAnsi="Arial" w:cs="Arial"/>
          <w:sz w:val="20"/>
          <w:szCs w:val="20"/>
        </w:rPr>
        <w:t xml:space="preserve">primarily from a reduction in </w:t>
      </w:r>
      <w:r w:rsidR="00E15681" w:rsidRPr="00AB3433">
        <w:rPr>
          <w:rFonts w:ascii="Arial" w:hAnsi="Arial" w:cs="Arial"/>
          <w:sz w:val="20"/>
          <w:szCs w:val="20"/>
        </w:rPr>
        <w:t xml:space="preserve">cooling load associated with a more efficient evaporator coil. The energy and demand values presented account only for the energy consumed by the refrigeration system compressor and condenser. The display case’s auxiliary loads (evaporator fans and lighting) are ignored as they are not impacted by the measure.  </w:t>
      </w:r>
    </w:p>
    <w:p w:rsidR="0022240A" w:rsidRDefault="0022240A" w:rsidP="0022240A">
      <w:pPr>
        <w:pStyle w:val="Caption"/>
        <w:jc w:val="center"/>
      </w:pPr>
    </w:p>
    <w:p w:rsidR="0022240A" w:rsidRPr="00AB3433" w:rsidRDefault="0022240A" w:rsidP="0022240A">
      <w:pPr>
        <w:pStyle w:val="Caption"/>
        <w:jc w:val="center"/>
        <w:rPr>
          <w:rFonts w:ascii="Arial" w:hAnsi="Arial" w:cs="Arial"/>
          <w:sz w:val="18"/>
          <w:szCs w:val="18"/>
        </w:rPr>
      </w:pPr>
      <w:bookmarkStart w:id="70" w:name="_Toc327353774"/>
      <w:bookmarkStart w:id="71" w:name="_Toc390184326"/>
      <w:r w:rsidRPr="00AB3433">
        <w:rPr>
          <w:rFonts w:ascii="Arial" w:hAnsi="Arial" w:cs="Arial"/>
          <w:sz w:val="18"/>
          <w:szCs w:val="18"/>
        </w:rPr>
        <w:t xml:space="preserve">Equation </w:t>
      </w:r>
      <w:r w:rsidR="00A707BC" w:rsidRPr="00AB3433">
        <w:rPr>
          <w:rFonts w:ascii="Arial" w:hAnsi="Arial" w:cs="Arial"/>
          <w:sz w:val="18"/>
          <w:szCs w:val="18"/>
        </w:rPr>
        <w:fldChar w:fldCharType="begin"/>
      </w:r>
      <w:r w:rsidR="00A707BC" w:rsidRPr="00AB3433">
        <w:rPr>
          <w:rFonts w:ascii="Arial" w:hAnsi="Arial" w:cs="Arial"/>
          <w:sz w:val="18"/>
          <w:szCs w:val="18"/>
        </w:rPr>
        <w:instrText xml:space="preserve"> SEQ Equation \* ARABIC </w:instrText>
      </w:r>
      <w:r w:rsidR="00A707BC" w:rsidRPr="00AB3433">
        <w:rPr>
          <w:rFonts w:ascii="Arial" w:hAnsi="Arial" w:cs="Arial"/>
          <w:sz w:val="18"/>
          <w:szCs w:val="18"/>
        </w:rPr>
        <w:fldChar w:fldCharType="separate"/>
      </w:r>
      <w:r w:rsidR="00737910" w:rsidRPr="00AB3433">
        <w:rPr>
          <w:rFonts w:ascii="Arial" w:hAnsi="Arial" w:cs="Arial"/>
          <w:noProof/>
          <w:sz w:val="18"/>
          <w:szCs w:val="18"/>
        </w:rPr>
        <w:t>1</w:t>
      </w:r>
      <w:r w:rsidR="00A707BC" w:rsidRPr="00AB3433">
        <w:rPr>
          <w:rFonts w:ascii="Arial" w:hAnsi="Arial" w:cs="Arial"/>
          <w:noProof/>
          <w:sz w:val="18"/>
          <w:szCs w:val="18"/>
        </w:rPr>
        <w:fldChar w:fldCharType="end"/>
      </w:r>
      <w:r w:rsidRPr="00AB3433">
        <w:rPr>
          <w:rFonts w:ascii="Arial" w:hAnsi="Arial" w:cs="Arial"/>
          <w:sz w:val="18"/>
          <w:szCs w:val="18"/>
        </w:rPr>
        <w:t>- Annual Electric Savings Equation</w:t>
      </w:r>
      <w:bookmarkEnd w:id="70"/>
      <w:bookmarkEnd w:id="71"/>
    </w:p>
    <w:p w:rsidR="0022240A" w:rsidRDefault="00002B4A" w:rsidP="0022240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9.5pt;width:190.75pt;height:29.2pt;z-index:251659264;mso-position-horizontal:center" filled="t">
            <v:imagedata r:id="rId23" o:title=""/>
          </v:shape>
          <o:OLEObject Type="Embed" ProgID="Equation.3" ShapeID="_x0000_s1029" DrawAspect="Content" ObjectID="_1463980772" r:id="rId24"/>
        </w:pict>
      </w:r>
    </w:p>
    <w:p w:rsidR="0022240A" w:rsidRDefault="0022240A" w:rsidP="0022240A">
      <w:pPr>
        <w:jc w:val="center"/>
      </w:pPr>
    </w:p>
    <w:p w:rsidR="0022240A" w:rsidRDefault="0022240A" w:rsidP="0022240A">
      <w:pPr>
        <w:jc w:val="center"/>
      </w:pPr>
    </w:p>
    <w:p w:rsidR="0022240A" w:rsidRPr="00AB3433" w:rsidRDefault="0022240A" w:rsidP="0022240A">
      <w:pPr>
        <w:rPr>
          <w:rFonts w:ascii="Arial" w:hAnsi="Arial" w:cs="Arial"/>
          <w:sz w:val="20"/>
          <w:szCs w:val="20"/>
        </w:rPr>
      </w:pPr>
      <w:r w:rsidRPr="00AB3433">
        <w:rPr>
          <w:rFonts w:ascii="Arial" w:hAnsi="Arial" w:cs="Arial"/>
          <w:sz w:val="20"/>
          <w:szCs w:val="20"/>
        </w:rPr>
        <w:t>where kWh</w:t>
      </w:r>
      <w:r w:rsidRPr="00AB3433">
        <w:rPr>
          <w:rFonts w:ascii="Arial" w:hAnsi="Arial" w:cs="Arial"/>
          <w:sz w:val="20"/>
          <w:szCs w:val="20"/>
          <w:vertAlign w:val="subscript"/>
        </w:rPr>
        <w:t>base</w:t>
      </w:r>
      <w:r w:rsidRPr="00AB3433">
        <w:rPr>
          <w:rFonts w:ascii="Arial" w:hAnsi="Arial" w:cs="Arial"/>
          <w:sz w:val="20"/>
          <w:szCs w:val="20"/>
        </w:rPr>
        <w:t xml:space="preserve"> is found using the equation:</w:t>
      </w:r>
    </w:p>
    <w:p w:rsidR="0022240A" w:rsidRDefault="0022240A" w:rsidP="0022240A"/>
    <w:p w:rsidR="0022240A" w:rsidRPr="00AB3433" w:rsidRDefault="0022240A" w:rsidP="0022240A">
      <w:pPr>
        <w:pStyle w:val="Caption"/>
        <w:jc w:val="center"/>
        <w:rPr>
          <w:rFonts w:ascii="Arial" w:hAnsi="Arial" w:cs="Arial"/>
          <w:sz w:val="18"/>
          <w:szCs w:val="18"/>
        </w:rPr>
      </w:pPr>
      <w:bookmarkStart w:id="72" w:name="_Toc327353775"/>
      <w:bookmarkStart w:id="73" w:name="_Toc390184327"/>
      <w:r w:rsidRPr="00AB3433">
        <w:rPr>
          <w:rFonts w:ascii="Arial" w:hAnsi="Arial" w:cs="Arial"/>
          <w:sz w:val="18"/>
          <w:szCs w:val="18"/>
        </w:rPr>
        <w:t xml:space="preserve">Equation </w:t>
      </w:r>
      <w:r w:rsidR="00A707BC" w:rsidRPr="00AB3433">
        <w:rPr>
          <w:rFonts w:ascii="Arial" w:hAnsi="Arial" w:cs="Arial"/>
          <w:sz w:val="18"/>
          <w:szCs w:val="18"/>
        </w:rPr>
        <w:fldChar w:fldCharType="begin"/>
      </w:r>
      <w:r w:rsidR="00A707BC" w:rsidRPr="00AB3433">
        <w:rPr>
          <w:rFonts w:ascii="Arial" w:hAnsi="Arial" w:cs="Arial"/>
          <w:sz w:val="18"/>
          <w:szCs w:val="18"/>
        </w:rPr>
        <w:instrText xml:space="preserve"> SEQ Equation \* ARABIC </w:instrText>
      </w:r>
      <w:r w:rsidR="00A707BC" w:rsidRPr="00AB3433">
        <w:rPr>
          <w:rFonts w:ascii="Arial" w:hAnsi="Arial" w:cs="Arial"/>
          <w:sz w:val="18"/>
          <w:szCs w:val="18"/>
        </w:rPr>
        <w:fldChar w:fldCharType="separate"/>
      </w:r>
      <w:r w:rsidR="00737910" w:rsidRPr="00AB3433">
        <w:rPr>
          <w:rFonts w:ascii="Arial" w:hAnsi="Arial" w:cs="Arial"/>
          <w:noProof/>
          <w:sz w:val="18"/>
          <w:szCs w:val="18"/>
        </w:rPr>
        <w:t>2</w:t>
      </w:r>
      <w:r w:rsidR="00A707BC" w:rsidRPr="00AB3433">
        <w:rPr>
          <w:rFonts w:ascii="Arial" w:hAnsi="Arial" w:cs="Arial"/>
          <w:noProof/>
          <w:sz w:val="18"/>
          <w:szCs w:val="18"/>
        </w:rPr>
        <w:fldChar w:fldCharType="end"/>
      </w:r>
      <w:r w:rsidR="00E15681" w:rsidRPr="00AB3433">
        <w:rPr>
          <w:rFonts w:ascii="Arial" w:hAnsi="Arial" w:cs="Arial"/>
          <w:sz w:val="18"/>
          <w:szCs w:val="18"/>
        </w:rPr>
        <w:t xml:space="preserve">- Base Case </w:t>
      </w:r>
      <w:r w:rsidRPr="00AB3433">
        <w:rPr>
          <w:rFonts w:ascii="Arial" w:hAnsi="Arial" w:cs="Arial"/>
          <w:sz w:val="18"/>
          <w:szCs w:val="18"/>
        </w:rPr>
        <w:t>Annual Electric Energy Used</w:t>
      </w:r>
      <w:bookmarkEnd w:id="72"/>
      <w:bookmarkEnd w:id="73"/>
    </w:p>
    <w:p w:rsidR="0022240A" w:rsidRDefault="00002B4A" w:rsidP="0022240A">
      <m:oMathPara>
        <m:oMath>
          <m:sSub>
            <m:sSubPr>
              <m:ctrlPr>
                <w:rPr>
                  <w:rFonts w:ascii="Cambria Math" w:hAnsi="Cambria Math"/>
                  <w:i/>
                </w:rPr>
              </m:ctrlPr>
            </m:sSubPr>
            <m:e>
              <m:r>
                <w:rPr>
                  <w:rFonts w:ascii="Cambria Math" w:hAnsi="Cambria Math"/>
                </w:rPr>
                <m:t>kWh</m:t>
              </m:r>
            </m:e>
            <m:sub>
              <m:r>
                <w:rPr>
                  <w:rFonts w:ascii="Cambria Math" w:hAnsi="Cambria Math"/>
                </w:rPr>
                <m:t>base</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Load</m:t>
                  </m:r>
                </m:e>
                <m:sub>
                  <m:r>
                    <w:rPr>
                      <w:rFonts w:ascii="Cambria Math" w:hAnsi="Cambria Math"/>
                    </w:rPr>
                    <m:t>base</m:t>
                  </m:r>
                </m:sub>
              </m:sSub>
              <m:r>
                <w:rPr>
                  <w:rFonts w:ascii="Cambria Math" w:hAnsi="Cambria Math"/>
                </w:rPr>
                <m:t>×FLH</m:t>
              </m:r>
            </m:num>
            <m:den>
              <m:sSub>
                <m:sSubPr>
                  <m:ctrlPr>
                    <w:rPr>
                      <w:rFonts w:ascii="Cambria Math" w:hAnsi="Cambria Math"/>
                      <w:i/>
                    </w:rPr>
                  </m:ctrlPr>
                </m:sSubPr>
                <m:e>
                  <m:r>
                    <w:rPr>
                      <w:rFonts w:ascii="Cambria Math" w:hAnsi="Cambria Math"/>
                    </w:rPr>
                    <m:t>EER</m:t>
                  </m:r>
                </m:e>
                <m:sub>
                  <m:r>
                    <w:rPr>
                      <w:rFonts w:ascii="Cambria Math" w:hAnsi="Cambria Math"/>
                    </w:rPr>
                    <m:t>base</m:t>
                  </m:r>
                </m:sub>
              </m:sSub>
              <m:r>
                <w:rPr>
                  <w:rFonts w:ascii="Cambria Math" w:hAnsi="Cambria Math"/>
                </w:rPr>
                <m:t>×1000 (</m:t>
              </m:r>
              <m:f>
                <m:fPr>
                  <m:ctrlPr>
                    <w:rPr>
                      <w:rFonts w:ascii="Cambria Math" w:hAnsi="Cambria Math"/>
                      <w:i/>
                    </w:rPr>
                  </m:ctrlPr>
                </m:fPr>
                <m:num>
                  <m:r>
                    <w:rPr>
                      <w:rFonts w:ascii="Cambria Math" w:hAnsi="Cambria Math"/>
                    </w:rPr>
                    <m:t>kW</m:t>
                  </m:r>
                </m:num>
                <m:den>
                  <m:r>
                    <w:rPr>
                      <w:rFonts w:ascii="Cambria Math" w:hAnsi="Cambria Math"/>
                    </w:rPr>
                    <m:t>W</m:t>
                  </m:r>
                </m:den>
              </m:f>
              <m:r>
                <w:rPr>
                  <w:rFonts w:ascii="Cambria Math" w:hAnsi="Cambria Math"/>
                </w:rPr>
                <m:t>)</m:t>
              </m:r>
            </m:den>
          </m:f>
        </m:oMath>
      </m:oMathPara>
    </w:p>
    <w:p w:rsidR="0022240A" w:rsidRDefault="0022240A" w:rsidP="0022240A"/>
    <w:p w:rsidR="0022240A" w:rsidRPr="00AB3433" w:rsidRDefault="007C0C51" w:rsidP="0022240A">
      <w:pPr>
        <w:rPr>
          <w:rFonts w:ascii="Arial" w:hAnsi="Arial" w:cs="Arial"/>
          <w:sz w:val="20"/>
          <w:szCs w:val="20"/>
        </w:rPr>
      </w:pPr>
      <w:r w:rsidRPr="00AB3433">
        <w:rPr>
          <w:rFonts w:ascii="Arial" w:hAnsi="Arial" w:cs="Arial"/>
          <w:sz w:val="20"/>
          <w:szCs w:val="20"/>
        </w:rPr>
        <w:t>Where:</w:t>
      </w:r>
    </w:p>
    <w:p w:rsidR="007C0C51" w:rsidRDefault="007C0C51" w:rsidP="007C0C51">
      <w:pPr>
        <w:ind w:left="3600" w:hanging="2880"/>
      </w:pPr>
      <w:r w:rsidRPr="00AB3433">
        <w:rPr>
          <w:rFonts w:ascii="Arial" w:hAnsi="Arial" w:cs="Arial"/>
          <w:sz w:val="20"/>
          <w:szCs w:val="20"/>
        </w:rPr>
        <w:t xml:space="preserve">kWh </w:t>
      </w:r>
      <w:r w:rsidRPr="00AB3433">
        <w:rPr>
          <w:rFonts w:ascii="Arial" w:hAnsi="Arial" w:cs="Arial"/>
          <w:sz w:val="20"/>
          <w:szCs w:val="20"/>
          <w:vertAlign w:val="subscript"/>
        </w:rPr>
        <w:t xml:space="preserve">base </w:t>
      </w:r>
      <w:r w:rsidRPr="00AB3433">
        <w:rPr>
          <w:rFonts w:ascii="Arial" w:hAnsi="Arial" w:cs="Arial"/>
          <w:sz w:val="20"/>
          <w:szCs w:val="20"/>
        </w:rPr>
        <w:t>=</w:t>
      </w:r>
      <w:r>
        <w:tab/>
      </w:r>
      <w:r w:rsidRPr="00AB3433">
        <w:rPr>
          <w:rFonts w:ascii="Arial" w:hAnsi="Arial" w:cs="Arial"/>
          <w:sz w:val="20"/>
          <w:szCs w:val="20"/>
        </w:rPr>
        <w:t>Base case annual electrical energy consumption of the energy efficient case refrigeration system compressors and condensers dedicated to removing the heat load associated with the base case scenario.  Units are kWh consumed annually / linear foot of display case.</w:t>
      </w:r>
    </w:p>
    <w:p w:rsidR="00783304" w:rsidRDefault="00783304" w:rsidP="007C0C51">
      <w:pPr>
        <w:ind w:left="3600" w:hanging="2880"/>
      </w:pPr>
    </w:p>
    <w:p w:rsidR="00783304" w:rsidRDefault="00783304" w:rsidP="007C0C51">
      <w:pPr>
        <w:ind w:left="3600" w:hanging="2880"/>
      </w:pPr>
      <w:r w:rsidRPr="00AB3433">
        <w:rPr>
          <w:rFonts w:ascii="Arial" w:hAnsi="Arial" w:cs="Arial"/>
          <w:sz w:val="20"/>
          <w:szCs w:val="20"/>
        </w:rPr>
        <w:t>Load</w:t>
      </w:r>
      <w:r w:rsidRPr="00AB3433">
        <w:rPr>
          <w:rFonts w:ascii="Arial" w:hAnsi="Arial" w:cs="Arial"/>
          <w:sz w:val="20"/>
          <w:szCs w:val="20"/>
          <w:vertAlign w:val="subscript"/>
        </w:rPr>
        <w:t xml:space="preserve">base </w:t>
      </w:r>
      <w:r w:rsidRPr="00AB3433">
        <w:rPr>
          <w:rFonts w:ascii="Arial" w:hAnsi="Arial" w:cs="Arial"/>
          <w:sz w:val="20"/>
          <w:szCs w:val="20"/>
        </w:rPr>
        <w:t>=</w:t>
      </w:r>
      <w:r>
        <w:tab/>
      </w:r>
      <w:r w:rsidRPr="00AB3433">
        <w:rPr>
          <w:rFonts w:ascii="Arial" w:hAnsi="Arial" w:cs="Arial"/>
          <w:sz w:val="20"/>
          <w:szCs w:val="20"/>
        </w:rPr>
        <w:t>Base case annual heat load that must be rejected by the refrigeration system. The load is created by the product within the refrigerated display case, heat infiltration from the sales space of the grocery store and auxiliary load.  Units are Btu/hr/ linear foot of case.</w:t>
      </w:r>
    </w:p>
    <w:p w:rsidR="006D2023" w:rsidRPr="00783304" w:rsidRDefault="006D2023" w:rsidP="007C0C51">
      <w:pPr>
        <w:ind w:left="3600" w:hanging="2880"/>
      </w:pPr>
    </w:p>
    <w:p w:rsidR="007C0C51" w:rsidRDefault="007C0C51" w:rsidP="006D2023">
      <w:pPr>
        <w:ind w:left="3600" w:hanging="2880"/>
        <w:jc w:val="both"/>
      </w:pPr>
      <w:r w:rsidRPr="00AB3433">
        <w:rPr>
          <w:rFonts w:ascii="Arial" w:hAnsi="Arial" w:cs="Arial"/>
          <w:sz w:val="20"/>
          <w:szCs w:val="20"/>
        </w:rPr>
        <w:t>FLH =</w:t>
      </w:r>
      <w:r>
        <w:tab/>
      </w:r>
      <w:r w:rsidRPr="00AB3433">
        <w:rPr>
          <w:rFonts w:ascii="Arial" w:hAnsi="Arial" w:cs="Arial"/>
          <w:sz w:val="20"/>
          <w:szCs w:val="20"/>
        </w:rPr>
        <w:t>Annual compressor system full-load hours</w:t>
      </w:r>
      <w:r w:rsidR="001D1995" w:rsidRPr="00AB3433">
        <w:rPr>
          <w:rFonts w:ascii="Arial" w:hAnsi="Arial" w:cs="Arial"/>
          <w:sz w:val="20"/>
          <w:szCs w:val="20"/>
        </w:rPr>
        <w:t>. Units are hours.</w:t>
      </w:r>
    </w:p>
    <w:p w:rsidR="007C0C51" w:rsidRDefault="007C0C51" w:rsidP="007C0C51">
      <w:pPr>
        <w:ind w:left="3600" w:hanging="2880"/>
      </w:pPr>
    </w:p>
    <w:p w:rsidR="007C0C51" w:rsidRDefault="007C0C51" w:rsidP="00737910">
      <w:pPr>
        <w:ind w:left="3600" w:hanging="2880"/>
      </w:pPr>
      <w:r w:rsidRPr="00AB3433">
        <w:rPr>
          <w:rFonts w:ascii="Arial" w:hAnsi="Arial" w:cs="Arial"/>
          <w:sz w:val="20"/>
          <w:szCs w:val="20"/>
        </w:rPr>
        <w:t>EER</w:t>
      </w:r>
      <w:r w:rsidR="00737910" w:rsidRPr="00AB3433">
        <w:rPr>
          <w:rFonts w:ascii="Arial" w:hAnsi="Arial" w:cs="Arial"/>
          <w:sz w:val="20"/>
          <w:szCs w:val="20"/>
          <w:vertAlign w:val="subscript"/>
        </w:rPr>
        <w:t>base</w:t>
      </w:r>
      <w:r w:rsidR="006D2023">
        <w:rPr>
          <w:rFonts w:ascii="Arial" w:hAnsi="Arial" w:cs="Arial"/>
          <w:sz w:val="20"/>
          <w:szCs w:val="20"/>
          <w:vertAlign w:val="subscript"/>
        </w:rPr>
        <w:t xml:space="preserve"> </w:t>
      </w:r>
      <w:r w:rsidRPr="00AB3433">
        <w:rPr>
          <w:rFonts w:ascii="Arial" w:hAnsi="Arial" w:cs="Arial"/>
          <w:sz w:val="20"/>
          <w:szCs w:val="20"/>
        </w:rPr>
        <w:t>=</w:t>
      </w:r>
      <w:r>
        <w:tab/>
      </w:r>
      <w:r w:rsidR="00737910" w:rsidRPr="00AB3433">
        <w:rPr>
          <w:rFonts w:ascii="Arial" w:hAnsi="Arial" w:cs="Arial"/>
          <w:sz w:val="20"/>
          <w:szCs w:val="20"/>
        </w:rPr>
        <w:t>Base</w:t>
      </w:r>
      <w:r w:rsidRPr="00AB3433">
        <w:rPr>
          <w:rFonts w:ascii="Arial" w:hAnsi="Arial" w:cs="Arial"/>
          <w:sz w:val="20"/>
          <w:szCs w:val="20"/>
        </w:rPr>
        <w:t xml:space="preserve"> case annual average energy efficiency ratio of the refrigeration system.  Units are in Btu/hr/Watt</w:t>
      </w:r>
      <w:r w:rsidR="00783304" w:rsidRPr="00AB3433">
        <w:rPr>
          <w:rFonts w:ascii="Arial" w:hAnsi="Arial" w:cs="Arial"/>
          <w:sz w:val="20"/>
          <w:szCs w:val="20"/>
        </w:rPr>
        <w:t>-hr</w:t>
      </w:r>
      <w:r w:rsidRPr="00AB3433">
        <w:rPr>
          <w:rFonts w:ascii="Arial" w:hAnsi="Arial" w:cs="Arial"/>
          <w:sz w:val="20"/>
          <w:szCs w:val="20"/>
        </w:rPr>
        <w:t>.</w:t>
      </w:r>
    </w:p>
    <w:p w:rsidR="007C0C51" w:rsidRDefault="007C0C51" w:rsidP="0022240A"/>
    <w:p w:rsidR="00424F8F" w:rsidRPr="00AB3433" w:rsidRDefault="0022240A" w:rsidP="0022240A">
      <w:pPr>
        <w:rPr>
          <w:rFonts w:ascii="Arial" w:hAnsi="Arial" w:cs="Arial"/>
          <w:sz w:val="20"/>
          <w:szCs w:val="20"/>
        </w:rPr>
      </w:pPr>
      <w:r w:rsidRPr="00AB3433">
        <w:rPr>
          <w:rFonts w:ascii="Arial" w:hAnsi="Arial" w:cs="Arial"/>
          <w:sz w:val="20"/>
          <w:szCs w:val="20"/>
        </w:rPr>
        <w:t>kWh</w:t>
      </w:r>
      <w:r w:rsidRPr="00AB3433">
        <w:rPr>
          <w:rFonts w:ascii="Arial" w:hAnsi="Arial" w:cs="Arial"/>
          <w:sz w:val="20"/>
          <w:szCs w:val="20"/>
          <w:vertAlign w:val="subscript"/>
        </w:rPr>
        <w:t>ee</w:t>
      </w:r>
      <w:r w:rsidRPr="00AB3433">
        <w:rPr>
          <w:rFonts w:ascii="Arial" w:hAnsi="Arial" w:cs="Arial"/>
          <w:sz w:val="20"/>
          <w:szCs w:val="20"/>
        </w:rPr>
        <w:t xml:space="preserve"> (the energy efficient annual electric energy used) is found using</w:t>
      </w:r>
      <w:r>
        <w:t xml:space="preserve"> </w:t>
      </w:r>
      <w:r w:rsidRPr="00AB3433">
        <w:rPr>
          <w:rFonts w:ascii="Arial" w:hAnsi="Arial" w:cs="Arial"/>
          <w:b/>
          <w:sz w:val="18"/>
          <w:szCs w:val="18"/>
        </w:rPr>
        <w:t>Equation 2</w:t>
      </w:r>
      <w:r>
        <w:t xml:space="preserve"> </w:t>
      </w:r>
      <w:r w:rsidRPr="00AB3433">
        <w:rPr>
          <w:rFonts w:ascii="Arial" w:hAnsi="Arial" w:cs="Arial"/>
          <w:sz w:val="20"/>
          <w:szCs w:val="20"/>
        </w:rPr>
        <w:t>above, but with energy efficient values.</w:t>
      </w:r>
      <w:r w:rsidR="00737910" w:rsidRPr="00AB3433">
        <w:rPr>
          <w:rFonts w:ascii="Arial" w:hAnsi="Arial" w:cs="Arial"/>
          <w:sz w:val="20"/>
          <w:szCs w:val="20"/>
        </w:rPr>
        <w:t xml:space="preserve"> </w:t>
      </w:r>
    </w:p>
    <w:p w:rsidR="00424F8F" w:rsidRDefault="00424F8F" w:rsidP="0022240A"/>
    <w:p w:rsidR="0022240A" w:rsidRPr="00AB3433" w:rsidRDefault="00737910" w:rsidP="0022240A">
      <w:pPr>
        <w:rPr>
          <w:rFonts w:ascii="Arial" w:hAnsi="Arial" w:cs="Arial"/>
          <w:sz w:val="20"/>
          <w:szCs w:val="20"/>
        </w:rPr>
      </w:pPr>
      <w:r w:rsidRPr="00AB3433">
        <w:rPr>
          <w:rFonts w:ascii="Arial" w:hAnsi="Arial" w:cs="Arial"/>
          <w:sz w:val="20"/>
          <w:szCs w:val="20"/>
        </w:rPr>
        <w:t>In addition to the reduced load associated with a more efficient evaporator coi</w:t>
      </w:r>
      <w:r w:rsidR="00424F8F" w:rsidRPr="00AB3433">
        <w:rPr>
          <w:rFonts w:ascii="Arial" w:hAnsi="Arial" w:cs="Arial"/>
          <w:sz w:val="20"/>
          <w:szCs w:val="20"/>
        </w:rPr>
        <w:t>l, the</w:t>
      </w:r>
      <w:r w:rsidR="00964E3B" w:rsidRPr="00AB3433">
        <w:rPr>
          <w:rFonts w:ascii="Arial" w:hAnsi="Arial" w:cs="Arial"/>
          <w:sz w:val="20"/>
          <w:szCs w:val="20"/>
        </w:rPr>
        <w:t xml:space="preserve"> suction temperature is on average 3 °F higher than the base case suction temperature.</w:t>
      </w:r>
      <w:r w:rsidR="00424F8F" w:rsidRPr="00AB3433">
        <w:rPr>
          <w:rStyle w:val="EndnoteReference"/>
          <w:rFonts w:ascii="Arial" w:hAnsi="Arial" w:cs="Arial"/>
          <w:sz w:val="20"/>
          <w:szCs w:val="20"/>
        </w:rPr>
        <w:endnoteReference w:id="2"/>
      </w:r>
      <w:r w:rsidR="00964E3B" w:rsidRPr="00AB3433">
        <w:rPr>
          <w:rFonts w:ascii="Arial" w:hAnsi="Arial" w:cs="Arial"/>
          <w:sz w:val="20"/>
          <w:szCs w:val="20"/>
        </w:rPr>
        <w:t xml:space="preserve"> The higher suction temperature increases the efficiency of the refrigeration system compressors. </w:t>
      </w:r>
      <w:r w:rsidRPr="00AB3433">
        <w:rPr>
          <w:rFonts w:ascii="Arial" w:hAnsi="Arial" w:cs="Arial"/>
          <w:sz w:val="20"/>
          <w:szCs w:val="20"/>
        </w:rPr>
        <w:t>The EER</w:t>
      </w:r>
      <w:r w:rsidRPr="00AB3433">
        <w:rPr>
          <w:rFonts w:ascii="Arial" w:hAnsi="Arial" w:cs="Arial"/>
          <w:sz w:val="20"/>
          <w:szCs w:val="20"/>
          <w:vertAlign w:val="subscript"/>
        </w:rPr>
        <w:t>efficient</w:t>
      </w:r>
      <w:r w:rsidRPr="00AB3433">
        <w:rPr>
          <w:rFonts w:ascii="Arial" w:hAnsi="Arial" w:cs="Arial"/>
          <w:sz w:val="20"/>
          <w:szCs w:val="20"/>
        </w:rPr>
        <w:t xml:space="preserve"> was found using the equation:</w:t>
      </w:r>
    </w:p>
    <w:p w:rsidR="0022240A" w:rsidRPr="00CF3FF0" w:rsidRDefault="0022240A" w:rsidP="0022240A">
      <w:pPr>
        <w:rPr>
          <w:rFonts w:ascii="Arial" w:hAnsi="Arial" w:cs="Arial"/>
          <w:b/>
          <w:color w:val="FF0000"/>
          <w:sz w:val="20"/>
          <w:szCs w:val="20"/>
        </w:rPr>
      </w:pPr>
    </w:p>
    <w:p w:rsidR="00964E3B" w:rsidRDefault="00002B4A" w:rsidP="00964E3B">
      <w:bookmarkStart w:id="74" w:name="_Toc327353699"/>
      <w:bookmarkStart w:id="75" w:name="_Toc304800212"/>
      <w:r>
        <w:rPr>
          <w:rFonts w:ascii="Arial" w:hAnsi="Arial" w:cs="Arial"/>
          <w:bCs/>
          <w:i/>
          <w:iCs/>
          <w:noProof/>
          <w:color w:val="FF0000"/>
          <w:sz w:val="20"/>
          <w:szCs w:val="20"/>
        </w:rPr>
        <w:pict>
          <v:shape id="_x0000_s1038" type="#_x0000_t75" style="position:absolute;margin-left:114pt;margin-top:18.7pt;width:199.3pt;height:28.2pt;z-index:251668480" filled="t">
            <v:imagedata r:id="rId25" o:title=""/>
          </v:shape>
          <o:OLEObject Type="Embed" ProgID="Equation.3" ShapeID="_x0000_s1038" DrawAspect="Content" ObjectID="_1463980773" r:id="rId26"/>
        </w:pict>
      </w:r>
      <w:r w:rsidR="00882B9D">
        <w:rPr>
          <w:rFonts w:ascii="Arial" w:hAnsi="Arial" w:cs="Arial"/>
          <w:b/>
          <w:bCs/>
          <w:i/>
          <w:iCs/>
          <w:noProof/>
          <w:sz w:val="28"/>
          <w:szCs w:val="28"/>
        </w:rPr>
        <mc:AlternateContent>
          <mc:Choice Requires="wps">
            <w:drawing>
              <wp:anchor distT="0" distB="0" distL="114300" distR="114300" simplePos="0" relativeHeight="251670528" behindDoc="0" locked="0" layoutInCell="1" allowOverlap="1" wp14:anchorId="66424429" wp14:editId="173DCB8A">
                <wp:simplePos x="0" y="0"/>
                <wp:positionH relativeFrom="column">
                  <wp:posOffset>1362075</wp:posOffset>
                </wp:positionH>
                <wp:positionV relativeFrom="paragraph">
                  <wp:posOffset>8255</wp:posOffset>
                </wp:positionV>
                <wp:extent cx="2908300" cy="223520"/>
                <wp:effectExtent l="0" t="0" r="6350"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8300" cy="223520"/>
                        </a:xfrm>
                        <a:prstGeom prst="rect">
                          <a:avLst/>
                        </a:prstGeom>
                        <a:solidFill>
                          <a:prstClr val="white"/>
                        </a:solidFill>
                        <a:ln>
                          <a:noFill/>
                        </a:ln>
                        <a:effectLst/>
                      </wps:spPr>
                      <wps:txbx>
                        <w:txbxContent>
                          <w:p w:rsidR="006D2023" w:rsidRPr="00AB3433" w:rsidRDefault="006D2023" w:rsidP="00493B0D">
                            <w:pPr>
                              <w:pStyle w:val="Caption"/>
                              <w:rPr>
                                <w:rFonts w:ascii="Arial" w:hAnsi="Arial" w:cs="Arial"/>
                                <w:b w:val="0"/>
                                <w:i/>
                                <w:iCs/>
                                <w:noProof/>
                                <w:color w:val="FF0000"/>
                                <w:sz w:val="18"/>
                                <w:szCs w:val="18"/>
                              </w:rPr>
                            </w:pPr>
                            <w:bookmarkStart w:id="76" w:name="_Toc387911607"/>
                            <w:bookmarkStart w:id="77" w:name="_Toc390184328"/>
                            <w:r w:rsidRPr="00AB3433">
                              <w:rPr>
                                <w:rFonts w:ascii="Arial" w:hAnsi="Arial" w:cs="Arial"/>
                                <w:sz w:val="18"/>
                                <w:szCs w:val="18"/>
                              </w:rPr>
                              <w:t xml:space="preserve">Equation </w:t>
                            </w:r>
                            <w:r w:rsidRPr="00AB3433">
                              <w:rPr>
                                <w:rFonts w:ascii="Arial" w:hAnsi="Arial" w:cs="Arial"/>
                                <w:sz w:val="18"/>
                                <w:szCs w:val="18"/>
                              </w:rPr>
                              <w:fldChar w:fldCharType="begin"/>
                            </w:r>
                            <w:r w:rsidRPr="00AB3433">
                              <w:rPr>
                                <w:rFonts w:ascii="Arial" w:hAnsi="Arial" w:cs="Arial"/>
                                <w:sz w:val="18"/>
                                <w:szCs w:val="18"/>
                              </w:rPr>
                              <w:instrText xml:space="preserve"> SEQ Equation \* ARABIC </w:instrText>
                            </w:r>
                            <w:r w:rsidRPr="00AB3433">
                              <w:rPr>
                                <w:rFonts w:ascii="Arial" w:hAnsi="Arial" w:cs="Arial"/>
                                <w:sz w:val="18"/>
                                <w:szCs w:val="18"/>
                              </w:rPr>
                              <w:fldChar w:fldCharType="separate"/>
                            </w:r>
                            <w:r w:rsidRPr="00AB3433">
                              <w:rPr>
                                <w:rFonts w:ascii="Arial" w:hAnsi="Arial" w:cs="Arial"/>
                                <w:noProof/>
                                <w:sz w:val="18"/>
                                <w:szCs w:val="18"/>
                              </w:rPr>
                              <w:t>3</w:t>
                            </w:r>
                            <w:r w:rsidRPr="00AB3433">
                              <w:rPr>
                                <w:rFonts w:ascii="Arial" w:hAnsi="Arial" w:cs="Arial"/>
                                <w:noProof/>
                                <w:sz w:val="18"/>
                                <w:szCs w:val="18"/>
                              </w:rPr>
                              <w:fldChar w:fldCharType="end"/>
                            </w:r>
                            <w:r w:rsidRPr="00AB3433">
                              <w:rPr>
                                <w:rFonts w:ascii="Arial" w:hAnsi="Arial" w:cs="Arial"/>
                                <w:sz w:val="18"/>
                                <w:szCs w:val="18"/>
                              </w:rPr>
                              <w:t xml:space="preserve"> – Average Annual EER for Efficient Case</w:t>
                            </w:r>
                            <w:bookmarkEnd w:id="76"/>
                            <w:bookmarkEnd w:id="77"/>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7.25pt;margin-top:.65pt;width:229pt;height:17.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" stroked="f">
                <v:path arrowok="t"/>
                <v:textbox inset="0,0,0,0">
                  <w:txbxContent>
                    <w:p w:rsidR="006D2023" w:rsidRPr="00AB3433" w:rsidRDefault="006D2023" w:rsidP="00493B0D">
                      <w:pPr>
                        <w:pStyle w:val="Caption"/>
                        <w:rPr>
                          <w:rFonts w:ascii="Arial" w:hAnsi="Arial" w:cs="Arial"/>
                          <w:b w:val="0"/>
                          <w:i/>
                          <w:iCs/>
                          <w:noProof/>
                          <w:color w:val="FF0000"/>
                          <w:sz w:val="18"/>
                          <w:szCs w:val="18"/>
                        </w:rPr>
                      </w:pPr>
                      <w:bookmarkStart w:id="77" w:name="_Toc387911607"/>
                      <w:bookmarkStart w:id="78" w:name="_Toc390184328"/>
                      <w:r w:rsidRPr="00AB3433">
                        <w:rPr>
                          <w:rFonts w:ascii="Arial" w:hAnsi="Arial" w:cs="Arial"/>
                          <w:sz w:val="18"/>
                          <w:szCs w:val="18"/>
                        </w:rPr>
                        <w:t xml:space="preserve">Equation </w:t>
                      </w:r>
                      <w:r w:rsidRPr="00AB3433">
                        <w:rPr>
                          <w:rFonts w:ascii="Arial" w:hAnsi="Arial" w:cs="Arial"/>
                          <w:sz w:val="18"/>
                          <w:szCs w:val="18"/>
                        </w:rPr>
                        <w:fldChar w:fldCharType="begin"/>
                      </w:r>
                      <w:r w:rsidRPr="00AB3433">
                        <w:rPr>
                          <w:rFonts w:ascii="Arial" w:hAnsi="Arial" w:cs="Arial"/>
                          <w:sz w:val="18"/>
                          <w:szCs w:val="18"/>
                        </w:rPr>
                        <w:instrText xml:space="preserve"> SEQ Equation \* ARABIC </w:instrText>
                      </w:r>
                      <w:r w:rsidRPr="00AB3433">
                        <w:rPr>
                          <w:rFonts w:ascii="Arial" w:hAnsi="Arial" w:cs="Arial"/>
                          <w:sz w:val="18"/>
                          <w:szCs w:val="18"/>
                        </w:rPr>
                        <w:fldChar w:fldCharType="separate"/>
                      </w:r>
                      <w:r w:rsidRPr="00AB3433">
                        <w:rPr>
                          <w:rFonts w:ascii="Arial" w:hAnsi="Arial" w:cs="Arial"/>
                          <w:noProof/>
                          <w:sz w:val="18"/>
                          <w:szCs w:val="18"/>
                        </w:rPr>
                        <w:t>3</w:t>
                      </w:r>
                      <w:r w:rsidRPr="00AB3433">
                        <w:rPr>
                          <w:rFonts w:ascii="Arial" w:hAnsi="Arial" w:cs="Arial"/>
                          <w:noProof/>
                          <w:sz w:val="18"/>
                          <w:szCs w:val="18"/>
                        </w:rPr>
                        <w:fldChar w:fldCharType="end"/>
                      </w:r>
                      <w:r w:rsidRPr="00AB3433">
                        <w:rPr>
                          <w:rFonts w:ascii="Arial" w:hAnsi="Arial" w:cs="Arial"/>
                          <w:sz w:val="18"/>
                          <w:szCs w:val="18"/>
                        </w:rPr>
                        <w:t xml:space="preserve"> – Average Annual EER for Efficient Case</w:t>
                      </w:r>
                      <w:bookmarkEnd w:id="77"/>
                      <w:bookmarkEnd w:id="78"/>
                    </w:p>
                  </w:txbxContent>
                </v:textbox>
              </v:shape>
            </w:pict>
          </mc:Fallback>
        </mc:AlternateContent>
      </w:r>
      <w:bookmarkEnd w:id="74"/>
    </w:p>
    <w:p w:rsidR="00964E3B" w:rsidRPr="00AB3433" w:rsidRDefault="00964E3B" w:rsidP="00964E3B">
      <w:pPr>
        <w:rPr>
          <w:rFonts w:ascii="Arial" w:hAnsi="Arial" w:cs="Arial"/>
          <w:sz w:val="20"/>
          <w:szCs w:val="20"/>
        </w:rPr>
      </w:pPr>
      <w:r w:rsidRPr="00AB3433">
        <w:rPr>
          <w:rFonts w:ascii="Arial" w:hAnsi="Arial" w:cs="Arial"/>
          <w:sz w:val="20"/>
          <w:szCs w:val="20"/>
        </w:rPr>
        <w:t>Where,</w:t>
      </w:r>
    </w:p>
    <w:p w:rsidR="00964E3B" w:rsidRDefault="00964E3B" w:rsidP="00964E3B">
      <w:pPr>
        <w:ind w:left="2160" w:hanging="2100"/>
      </w:pPr>
      <w:r w:rsidRPr="00AB3433">
        <w:rPr>
          <w:rFonts w:ascii="Arial" w:hAnsi="Arial" w:cs="Arial"/>
          <w:sz w:val="20"/>
          <w:szCs w:val="20"/>
        </w:rPr>
        <w:t>1.045 =</w:t>
      </w:r>
      <w:r>
        <w:tab/>
      </w:r>
      <w:r w:rsidRPr="00AB3433">
        <w:rPr>
          <w:rFonts w:ascii="Arial" w:hAnsi="Arial" w:cs="Arial"/>
          <w:sz w:val="20"/>
          <w:szCs w:val="20"/>
        </w:rPr>
        <w:t>The factor which accounts for improved compressor efficiency that results from maintaining a higher suction temperature. The factor assumes a 1.5% efficiency increase for each degree of the suction temperature is increased.</w:t>
      </w:r>
    </w:p>
    <w:p w:rsidR="0022240A" w:rsidRDefault="0022240A" w:rsidP="0022240A">
      <w:pPr>
        <w:pStyle w:val="Heading2"/>
        <w:keepNext w:val="0"/>
      </w:pPr>
      <w:bookmarkStart w:id="78" w:name="_Toc387912008"/>
      <w:bookmarkStart w:id="79" w:name="_Toc389487660"/>
      <w:r>
        <w:t>2.2. Demand Reduction Estimation Methodologies</w:t>
      </w:r>
      <w:bookmarkEnd w:id="75"/>
      <w:bookmarkEnd w:id="78"/>
      <w:bookmarkEnd w:id="79"/>
    </w:p>
    <w:p w:rsidR="0022240A" w:rsidRPr="00AB3433" w:rsidRDefault="0022240A" w:rsidP="0022240A">
      <w:pPr>
        <w:rPr>
          <w:rFonts w:ascii="Arial" w:hAnsi="Arial" w:cs="Arial"/>
          <w:sz w:val="20"/>
          <w:szCs w:val="20"/>
        </w:rPr>
      </w:pPr>
      <w:r w:rsidRPr="00AB3433">
        <w:rPr>
          <w:rFonts w:ascii="Arial" w:hAnsi="Arial" w:cs="Arial"/>
          <w:sz w:val="20"/>
          <w:szCs w:val="20"/>
        </w:rPr>
        <w:t>Peak demand electric energy reduction was found using the equation:</w:t>
      </w:r>
    </w:p>
    <w:p w:rsidR="00737910" w:rsidRDefault="00737910" w:rsidP="0022240A"/>
    <w:p w:rsidR="00737910" w:rsidRDefault="00882B9D" w:rsidP="0022240A">
      <w:r>
        <w:rPr>
          <w:noProof/>
        </w:rPr>
        <mc:AlternateContent>
          <mc:Choice Requires="wps">
            <w:drawing>
              <wp:anchor distT="0" distB="0" distL="114300" distR="114300" simplePos="0" relativeHeight="251667456" behindDoc="0" locked="0" layoutInCell="1" allowOverlap="1" wp14:anchorId="38B61D2A" wp14:editId="3D89984B">
                <wp:simplePos x="0" y="0"/>
                <wp:positionH relativeFrom="column">
                  <wp:posOffset>1653540</wp:posOffset>
                </wp:positionH>
                <wp:positionV relativeFrom="paragraph">
                  <wp:posOffset>40005</wp:posOffset>
                </wp:positionV>
                <wp:extent cx="2617470" cy="242570"/>
                <wp:effectExtent l="0" t="0" r="0" b="50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7470" cy="242570"/>
                        </a:xfrm>
                        <a:prstGeom prst="rect">
                          <a:avLst/>
                        </a:prstGeom>
                        <a:solidFill>
                          <a:prstClr val="white"/>
                        </a:solidFill>
                        <a:ln>
                          <a:noFill/>
                        </a:ln>
                        <a:effectLst/>
                      </wps:spPr>
                      <wps:txbx>
                        <w:txbxContent>
                          <w:p w:rsidR="006D2023" w:rsidRPr="00AB3433" w:rsidRDefault="006D2023" w:rsidP="00737910">
                            <w:pPr>
                              <w:pStyle w:val="Caption"/>
                              <w:rPr>
                                <w:rFonts w:ascii="Arial" w:hAnsi="Arial" w:cs="Arial"/>
                                <w:noProof/>
                                <w:sz w:val="18"/>
                                <w:szCs w:val="18"/>
                              </w:rPr>
                            </w:pPr>
                            <w:bookmarkStart w:id="80" w:name="_Toc387911608"/>
                            <w:bookmarkStart w:id="81" w:name="_Toc390184329"/>
                            <w:r w:rsidRPr="00AB3433">
                              <w:rPr>
                                <w:rFonts w:ascii="Arial" w:hAnsi="Arial" w:cs="Arial"/>
                                <w:sz w:val="18"/>
                                <w:szCs w:val="18"/>
                              </w:rPr>
                              <w:t xml:space="preserve">Equation </w:t>
                            </w:r>
                            <w:r w:rsidRPr="00AB3433">
                              <w:rPr>
                                <w:rFonts w:ascii="Arial" w:hAnsi="Arial" w:cs="Arial"/>
                                <w:sz w:val="18"/>
                                <w:szCs w:val="18"/>
                              </w:rPr>
                              <w:fldChar w:fldCharType="begin"/>
                            </w:r>
                            <w:r w:rsidRPr="00AB3433">
                              <w:rPr>
                                <w:rFonts w:ascii="Arial" w:hAnsi="Arial" w:cs="Arial"/>
                                <w:sz w:val="18"/>
                                <w:szCs w:val="18"/>
                              </w:rPr>
                              <w:instrText xml:space="preserve"> SEQ Equation \* ARABIC </w:instrText>
                            </w:r>
                            <w:r w:rsidRPr="00AB3433">
                              <w:rPr>
                                <w:rFonts w:ascii="Arial" w:hAnsi="Arial" w:cs="Arial"/>
                                <w:sz w:val="18"/>
                                <w:szCs w:val="18"/>
                              </w:rPr>
                              <w:fldChar w:fldCharType="separate"/>
                            </w:r>
                            <w:r w:rsidRPr="00AB3433">
                              <w:rPr>
                                <w:rFonts w:ascii="Arial" w:hAnsi="Arial" w:cs="Arial"/>
                                <w:noProof/>
                                <w:sz w:val="18"/>
                                <w:szCs w:val="18"/>
                              </w:rPr>
                              <w:t>4</w:t>
                            </w:r>
                            <w:r w:rsidRPr="00AB3433">
                              <w:rPr>
                                <w:rFonts w:ascii="Arial" w:hAnsi="Arial" w:cs="Arial"/>
                                <w:noProof/>
                                <w:sz w:val="18"/>
                                <w:szCs w:val="18"/>
                              </w:rPr>
                              <w:fldChar w:fldCharType="end"/>
                            </w:r>
                            <w:r w:rsidRPr="00AB3433">
                              <w:rPr>
                                <w:rFonts w:ascii="Arial" w:hAnsi="Arial" w:cs="Arial"/>
                                <w:sz w:val="18"/>
                                <w:szCs w:val="18"/>
                              </w:rPr>
                              <w:t xml:space="preserve"> - Peak Demand Reduction</w:t>
                            </w:r>
                            <w:bookmarkEnd w:id="80"/>
                            <w:bookmarkEnd w:id="81"/>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 o:spid="_x0000_s1027" type="#_x0000_t202" style="position:absolute;margin-left:130.2pt;margin-top:3.15pt;width:206.1pt;height:19.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" stroked="f">
                <v:path arrowok="t"/>
                <v:textbox inset="0,0,0,0">
                  <w:txbxContent>
                    <w:p w:rsidR="006D2023" w:rsidRPr="00AB3433" w:rsidRDefault="006D2023" w:rsidP="00737910">
                      <w:pPr>
                        <w:pStyle w:val="Caption"/>
                        <w:rPr>
                          <w:rFonts w:ascii="Arial" w:hAnsi="Arial" w:cs="Arial"/>
                          <w:noProof/>
                          <w:sz w:val="18"/>
                          <w:szCs w:val="18"/>
                        </w:rPr>
                      </w:pPr>
                      <w:bookmarkStart w:id="83" w:name="_Toc387911608"/>
                      <w:bookmarkStart w:id="84" w:name="_Toc390184329"/>
                      <w:r w:rsidRPr="00AB3433">
                        <w:rPr>
                          <w:rFonts w:ascii="Arial" w:hAnsi="Arial" w:cs="Arial"/>
                          <w:sz w:val="18"/>
                          <w:szCs w:val="18"/>
                        </w:rPr>
                        <w:t xml:space="preserve">Equation </w:t>
                      </w:r>
                      <w:r w:rsidRPr="00AB3433">
                        <w:rPr>
                          <w:rFonts w:ascii="Arial" w:hAnsi="Arial" w:cs="Arial"/>
                          <w:sz w:val="18"/>
                          <w:szCs w:val="18"/>
                        </w:rPr>
                        <w:fldChar w:fldCharType="begin"/>
                      </w:r>
                      <w:r w:rsidRPr="00AB3433">
                        <w:rPr>
                          <w:rFonts w:ascii="Arial" w:hAnsi="Arial" w:cs="Arial"/>
                          <w:sz w:val="18"/>
                          <w:szCs w:val="18"/>
                        </w:rPr>
                        <w:instrText xml:space="preserve"> SEQ Equation \* ARABIC </w:instrText>
                      </w:r>
                      <w:r w:rsidRPr="00AB3433">
                        <w:rPr>
                          <w:rFonts w:ascii="Arial" w:hAnsi="Arial" w:cs="Arial"/>
                          <w:sz w:val="18"/>
                          <w:szCs w:val="18"/>
                        </w:rPr>
                        <w:fldChar w:fldCharType="separate"/>
                      </w:r>
                      <w:r w:rsidRPr="00AB3433">
                        <w:rPr>
                          <w:rFonts w:ascii="Arial" w:hAnsi="Arial" w:cs="Arial"/>
                          <w:noProof/>
                          <w:sz w:val="18"/>
                          <w:szCs w:val="18"/>
                        </w:rPr>
                        <w:t>4</w:t>
                      </w:r>
                      <w:r w:rsidRPr="00AB3433">
                        <w:rPr>
                          <w:rFonts w:ascii="Arial" w:hAnsi="Arial" w:cs="Arial"/>
                          <w:noProof/>
                          <w:sz w:val="18"/>
                          <w:szCs w:val="18"/>
                        </w:rPr>
                        <w:fldChar w:fldCharType="end"/>
                      </w:r>
                      <w:r w:rsidRPr="00AB3433">
                        <w:rPr>
                          <w:rFonts w:ascii="Arial" w:hAnsi="Arial" w:cs="Arial"/>
                          <w:sz w:val="18"/>
                          <w:szCs w:val="18"/>
                        </w:rPr>
                        <w:t xml:space="preserve"> - Peak Demand Reduction</w:t>
                      </w:r>
                      <w:bookmarkEnd w:id="83"/>
                      <w:bookmarkEnd w:id="84"/>
                    </w:p>
                  </w:txbxContent>
                </v:textbox>
              </v:shape>
            </w:pict>
          </mc:Fallback>
        </mc:AlternateContent>
      </w:r>
    </w:p>
    <w:p w:rsidR="00737910" w:rsidRDefault="00002B4A" w:rsidP="0022240A">
      <w:r>
        <w:rPr>
          <w:noProof/>
        </w:rPr>
        <w:pict>
          <v:shape id="_x0000_s1037" type="#_x0000_t75" style="position:absolute;margin-left:125.5pt;margin-top:2.2pt;width:168.65pt;height:29.75pt;z-index:251665408" filled="t">
            <v:imagedata r:id="rId27" o:title=""/>
          </v:shape>
          <o:OLEObject Type="Embed" ProgID="Equation.3" ShapeID="_x0000_s1037" DrawAspect="Content" ObjectID="_1463980774" r:id="rId28"/>
        </w:pict>
      </w:r>
    </w:p>
    <w:p w:rsidR="00737910" w:rsidRDefault="00737910" w:rsidP="0022240A"/>
    <w:p w:rsidR="00737910" w:rsidRDefault="00737910" w:rsidP="0022240A"/>
    <w:p w:rsidR="00737910" w:rsidRPr="00AB3433" w:rsidRDefault="00737910" w:rsidP="00737910">
      <w:pPr>
        <w:rPr>
          <w:rFonts w:ascii="Arial" w:hAnsi="Arial" w:cs="Arial"/>
          <w:sz w:val="20"/>
          <w:szCs w:val="20"/>
        </w:rPr>
      </w:pPr>
      <w:r w:rsidRPr="00AB3433">
        <w:rPr>
          <w:rFonts w:ascii="Arial" w:hAnsi="Arial" w:cs="Arial"/>
          <w:sz w:val="20"/>
          <w:szCs w:val="20"/>
        </w:rPr>
        <w:t>where kW</w:t>
      </w:r>
      <w:r w:rsidRPr="00AB3433">
        <w:rPr>
          <w:rFonts w:ascii="Arial" w:hAnsi="Arial" w:cs="Arial"/>
          <w:sz w:val="20"/>
          <w:szCs w:val="20"/>
          <w:vertAlign w:val="subscript"/>
        </w:rPr>
        <w:t>base</w:t>
      </w:r>
      <w:r w:rsidRPr="00AB3433">
        <w:rPr>
          <w:rFonts w:ascii="Arial" w:hAnsi="Arial" w:cs="Arial"/>
          <w:sz w:val="20"/>
          <w:szCs w:val="20"/>
        </w:rPr>
        <w:t xml:space="preserve"> is found using the equation:</w:t>
      </w:r>
    </w:p>
    <w:p w:rsidR="0022240A" w:rsidRDefault="0022240A" w:rsidP="0022240A"/>
    <w:p w:rsidR="0022240A" w:rsidRPr="00AB3433" w:rsidRDefault="0022240A" w:rsidP="0022240A">
      <w:pPr>
        <w:pStyle w:val="Caption"/>
        <w:jc w:val="center"/>
        <w:rPr>
          <w:rFonts w:ascii="Arial" w:hAnsi="Arial" w:cs="Arial"/>
          <w:sz w:val="18"/>
          <w:szCs w:val="18"/>
        </w:rPr>
      </w:pPr>
      <w:bookmarkStart w:id="82" w:name="_Toc327353778"/>
      <w:bookmarkStart w:id="83" w:name="_Toc390184330"/>
      <w:r w:rsidRPr="00AB3433">
        <w:rPr>
          <w:rFonts w:ascii="Arial" w:hAnsi="Arial" w:cs="Arial"/>
          <w:sz w:val="18"/>
          <w:szCs w:val="18"/>
        </w:rPr>
        <w:t xml:space="preserve">Equation </w:t>
      </w:r>
      <w:r w:rsidR="00A707BC" w:rsidRPr="00AB3433">
        <w:rPr>
          <w:rFonts w:ascii="Arial" w:hAnsi="Arial" w:cs="Arial"/>
          <w:sz w:val="18"/>
          <w:szCs w:val="18"/>
        </w:rPr>
        <w:fldChar w:fldCharType="begin"/>
      </w:r>
      <w:r w:rsidR="00A707BC" w:rsidRPr="00AB3433">
        <w:rPr>
          <w:rFonts w:ascii="Arial" w:hAnsi="Arial" w:cs="Arial"/>
          <w:sz w:val="18"/>
          <w:szCs w:val="18"/>
        </w:rPr>
        <w:instrText xml:space="preserve"> SEQ Equation \* ARABIC </w:instrText>
      </w:r>
      <w:r w:rsidR="00A707BC" w:rsidRPr="00AB3433">
        <w:rPr>
          <w:rFonts w:ascii="Arial" w:hAnsi="Arial" w:cs="Arial"/>
          <w:sz w:val="18"/>
          <w:szCs w:val="18"/>
        </w:rPr>
        <w:fldChar w:fldCharType="separate"/>
      </w:r>
      <w:r w:rsidR="00737910" w:rsidRPr="00AB3433">
        <w:rPr>
          <w:rFonts w:ascii="Arial" w:hAnsi="Arial" w:cs="Arial"/>
          <w:noProof/>
          <w:sz w:val="18"/>
          <w:szCs w:val="18"/>
        </w:rPr>
        <w:t>5</w:t>
      </w:r>
      <w:r w:rsidR="00A707BC" w:rsidRPr="00AB3433">
        <w:rPr>
          <w:rFonts w:ascii="Arial" w:hAnsi="Arial" w:cs="Arial"/>
          <w:noProof/>
          <w:sz w:val="18"/>
          <w:szCs w:val="18"/>
        </w:rPr>
        <w:fldChar w:fldCharType="end"/>
      </w:r>
      <w:r w:rsidRPr="00AB3433">
        <w:rPr>
          <w:rFonts w:ascii="Arial" w:hAnsi="Arial" w:cs="Arial"/>
          <w:sz w:val="18"/>
          <w:szCs w:val="18"/>
        </w:rPr>
        <w:t xml:space="preserve">- </w:t>
      </w:r>
      <w:r w:rsidR="00737910" w:rsidRPr="00AB3433">
        <w:rPr>
          <w:rFonts w:ascii="Arial" w:hAnsi="Arial" w:cs="Arial"/>
          <w:sz w:val="18"/>
          <w:szCs w:val="18"/>
        </w:rPr>
        <w:t xml:space="preserve">Peak </w:t>
      </w:r>
      <w:r w:rsidRPr="00AB3433">
        <w:rPr>
          <w:rFonts w:ascii="Arial" w:hAnsi="Arial" w:cs="Arial"/>
          <w:sz w:val="18"/>
          <w:szCs w:val="18"/>
        </w:rPr>
        <w:t xml:space="preserve">Demand </w:t>
      </w:r>
      <w:r w:rsidR="00737910" w:rsidRPr="00AB3433">
        <w:rPr>
          <w:rFonts w:ascii="Arial" w:hAnsi="Arial" w:cs="Arial"/>
          <w:sz w:val="18"/>
          <w:szCs w:val="18"/>
        </w:rPr>
        <w:t>in Base Case</w:t>
      </w:r>
      <w:bookmarkEnd w:id="82"/>
      <w:bookmarkEnd w:id="83"/>
    </w:p>
    <w:p w:rsidR="0022240A" w:rsidRDefault="0022240A" w:rsidP="0022240A"/>
    <w:p w:rsidR="0022240A" w:rsidRDefault="00002B4A" w:rsidP="00783304">
      <m:oMathPara>
        <m:oMath>
          <m:sSub>
            <m:sSubPr>
              <m:ctrlPr>
                <w:rPr>
                  <w:rFonts w:ascii="Cambria Math" w:hAnsi="Cambria Math"/>
                  <w:i/>
                </w:rPr>
              </m:ctrlPr>
            </m:sSubPr>
            <m:e>
              <m:r>
                <w:rPr>
                  <w:rFonts w:ascii="Cambria Math" w:hAnsi="Cambria Math"/>
                </w:rPr>
                <m:t>kW</m:t>
              </m:r>
            </m:e>
            <m:sub>
              <m:r>
                <w:rPr>
                  <w:rFonts w:ascii="Cambria Math" w:hAnsi="Cambria Math"/>
                </w:rPr>
                <m:t>base</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Load</m:t>
                  </m:r>
                </m:e>
                <m:sub>
                  <m:r>
                    <w:rPr>
                      <w:rFonts w:ascii="Cambria Math" w:hAnsi="Cambria Math"/>
                    </w:rPr>
                    <m:t>base</m:t>
                  </m:r>
                </m:sub>
              </m:sSub>
            </m:num>
            <m:den>
              <m:sSub>
                <m:sSubPr>
                  <m:ctrlPr>
                    <w:rPr>
                      <w:rFonts w:ascii="Cambria Math" w:hAnsi="Cambria Math"/>
                      <w:i/>
                    </w:rPr>
                  </m:ctrlPr>
                </m:sSubPr>
                <m:e>
                  <m:r>
                    <w:rPr>
                      <w:rFonts w:ascii="Cambria Math" w:hAnsi="Cambria Math"/>
                    </w:rPr>
                    <m:t>EER</m:t>
                  </m:r>
                </m:e>
                <m:sub>
                  <m:r>
                    <w:rPr>
                      <w:rFonts w:ascii="Cambria Math" w:hAnsi="Cambria Math"/>
                    </w:rPr>
                    <m:t>peak,base</m:t>
                  </m:r>
                </m:sub>
              </m:sSub>
              <m:r>
                <w:rPr>
                  <w:rFonts w:ascii="Cambria Math" w:hAnsi="Cambria Math"/>
                </w:rPr>
                <m:t>×1000 (</m:t>
              </m:r>
              <m:f>
                <m:fPr>
                  <m:ctrlPr>
                    <w:rPr>
                      <w:rFonts w:ascii="Cambria Math" w:hAnsi="Cambria Math"/>
                      <w:i/>
                    </w:rPr>
                  </m:ctrlPr>
                </m:fPr>
                <m:num>
                  <m:r>
                    <w:rPr>
                      <w:rFonts w:ascii="Cambria Math" w:hAnsi="Cambria Math"/>
                    </w:rPr>
                    <m:t>kW</m:t>
                  </m:r>
                </m:num>
                <m:den>
                  <m:r>
                    <w:rPr>
                      <w:rFonts w:ascii="Cambria Math" w:hAnsi="Cambria Math"/>
                    </w:rPr>
                    <m:t>W</m:t>
                  </m:r>
                </m:den>
              </m:f>
              <m:r>
                <w:rPr>
                  <w:rFonts w:ascii="Cambria Math" w:hAnsi="Cambria Math"/>
                </w:rPr>
                <m:t>)</m:t>
              </m:r>
            </m:den>
          </m:f>
        </m:oMath>
      </m:oMathPara>
    </w:p>
    <w:p w:rsidR="0022240A" w:rsidRDefault="0022240A" w:rsidP="0022240A"/>
    <w:p w:rsidR="0022240A" w:rsidRPr="0055577D" w:rsidRDefault="00737910" w:rsidP="0022240A">
      <w:pPr>
        <w:rPr>
          <w:rFonts w:ascii="Arial" w:hAnsi="Arial" w:cs="Arial"/>
          <w:sz w:val="20"/>
          <w:szCs w:val="20"/>
        </w:rPr>
      </w:pPr>
      <w:r w:rsidRPr="0055577D">
        <w:rPr>
          <w:rFonts w:ascii="Arial" w:hAnsi="Arial" w:cs="Arial"/>
          <w:sz w:val="20"/>
          <w:szCs w:val="20"/>
        </w:rPr>
        <w:t>kW</w:t>
      </w:r>
      <w:r w:rsidRPr="0055577D">
        <w:rPr>
          <w:rFonts w:ascii="Arial" w:hAnsi="Arial" w:cs="Arial"/>
          <w:sz w:val="20"/>
          <w:szCs w:val="20"/>
          <w:vertAlign w:val="subscript"/>
        </w:rPr>
        <w:t>ee</w:t>
      </w:r>
      <w:r w:rsidRPr="0055577D">
        <w:rPr>
          <w:rFonts w:ascii="Arial" w:hAnsi="Arial" w:cs="Arial"/>
          <w:sz w:val="20"/>
          <w:szCs w:val="20"/>
        </w:rPr>
        <w:t xml:space="preserve"> (the energy efficient annual electric energy used) is found using</w:t>
      </w:r>
      <w:r>
        <w:t xml:space="preserve"> </w:t>
      </w:r>
      <w:r w:rsidRPr="0055577D">
        <w:rPr>
          <w:rFonts w:ascii="Arial" w:hAnsi="Arial" w:cs="Arial"/>
          <w:b/>
          <w:sz w:val="18"/>
          <w:szCs w:val="18"/>
        </w:rPr>
        <w:t>Equation 5</w:t>
      </w:r>
      <w:r>
        <w:t xml:space="preserve"> </w:t>
      </w:r>
      <w:r w:rsidRPr="0055577D">
        <w:rPr>
          <w:rFonts w:ascii="Arial" w:hAnsi="Arial" w:cs="Arial"/>
          <w:sz w:val="20"/>
          <w:szCs w:val="20"/>
        </w:rPr>
        <w:t xml:space="preserve">above, but with energy efficient values. </w:t>
      </w:r>
      <w:r w:rsidR="00CA54BD" w:rsidRPr="0055577D">
        <w:rPr>
          <w:rFonts w:ascii="Arial" w:hAnsi="Arial" w:cs="Arial"/>
          <w:sz w:val="20"/>
          <w:szCs w:val="20"/>
        </w:rPr>
        <w:t>EER</w:t>
      </w:r>
      <w:r w:rsidR="00783304" w:rsidRPr="0055577D">
        <w:rPr>
          <w:rFonts w:ascii="Arial" w:hAnsi="Arial" w:cs="Arial"/>
          <w:sz w:val="20"/>
          <w:szCs w:val="20"/>
          <w:vertAlign w:val="subscript"/>
        </w:rPr>
        <w:t>peak,efficient</w:t>
      </w:r>
      <w:r w:rsidR="0022240A" w:rsidRPr="0055577D">
        <w:rPr>
          <w:rFonts w:ascii="Arial" w:hAnsi="Arial" w:cs="Arial"/>
          <w:sz w:val="20"/>
          <w:szCs w:val="20"/>
        </w:rPr>
        <w:t xml:space="preserve"> </w:t>
      </w:r>
      <w:r w:rsidR="00783304" w:rsidRPr="0055577D">
        <w:rPr>
          <w:rFonts w:ascii="Arial" w:hAnsi="Arial" w:cs="Arial"/>
          <w:sz w:val="20"/>
          <w:szCs w:val="20"/>
        </w:rPr>
        <w:t xml:space="preserve">was </w:t>
      </w:r>
      <w:r w:rsidR="0022240A" w:rsidRPr="0055577D">
        <w:rPr>
          <w:rFonts w:ascii="Arial" w:hAnsi="Arial" w:cs="Arial"/>
          <w:sz w:val="20"/>
          <w:szCs w:val="20"/>
        </w:rPr>
        <w:t>found using the equation:</w:t>
      </w:r>
    </w:p>
    <w:p w:rsidR="0022240A" w:rsidRDefault="0022240A" w:rsidP="0022240A"/>
    <w:p w:rsidR="0022240A" w:rsidRPr="0055577D" w:rsidRDefault="0022240A" w:rsidP="0022240A">
      <w:pPr>
        <w:pStyle w:val="Caption"/>
        <w:jc w:val="center"/>
        <w:rPr>
          <w:rFonts w:ascii="Arial" w:hAnsi="Arial" w:cs="Arial"/>
          <w:sz w:val="18"/>
          <w:szCs w:val="18"/>
        </w:rPr>
      </w:pPr>
      <w:bookmarkStart w:id="84" w:name="_Toc327353779"/>
      <w:bookmarkStart w:id="85" w:name="_Toc390184331"/>
      <w:r w:rsidRPr="0055577D">
        <w:rPr>
          <w:rFonts w:ascii="Arial" w:hAnsi="Arial" w:cs="Arial"/>
          <w:sz w:val="18"/>
          <w:szCs w:val="18"/>
        </w:rPr>
        <w:t xml:space="preserve">Equation </w:t>
      </w:r>
      <w:r w:rsidR="00A707BC" w:rsidRPr="0055577D">
        <w:rPr>
          <w:rFonts w:ascii="Arial" w:hAnsi="Arial" w:cs="Arial"/>
          <w:sz w:val="18"/>
          <w:szCs w:val="18"/>
        </w:rPr>
        <w:fldChar w:fldCharType="begin"/>
      </w:r>
      <w:r w:rsidR="00A707BC" w:rsidRPr="0055577D">
        <w:rPr>
          <w:rFonts w:ascii="Arial" w:hAnsi="Arial" w:cs="Arial"/>
          <w:sz w:val="18"/>
          <w:szCs w:val="18"/>
        </w:rPr>
        <w:instrText xml:space="preserve"> SEQ Equation \* ARABIC </w:instrText>
      </w:r>
      <w:r w:rsidR="00A707BC" w:rsidRPr="0055577D">
        <w:rPr>
          <w:rFonts w:ascii="Arial" w:hAnsi="Arial" w:cs="Arial"/>
          <w:sz w:val="18"/>
          <w:szCs w:val="18"/>
        </w:rPr>
        <w:fldChar w:fldCharType="separate"/>
      </w:r>
      <w:r w:rsidR="00737910" w:rsidRPr="0055577D">
        <w:rPr>
          <w:rFonts w:ascii="Arial" w:hAnsi="Arial" w:cs="Arial"/>
          <w:noProof/>
          <w:sz w:val="18"/>
          <w:szCs w:val="18"/>
        </w:rPr>
        <w:t>6</w:t>
      </w:r>
      <w:r w:rsidR="00A707BC" w:rsidRPr="0055577D">
        <w:rPr>
          <w:rFonts w:ascii="Arial" w:hAnsi="Arial" w:cs="Arial"/>
          <w:noProof/>
          <w:sz w:val="18"/>
          <w:szCs w:val="18"/>
        </w:rPr>
        <w:fldChar w:fldCharType="end"/>
      </w:r>
      <w:r w:rsidR="00424F8F" w:rsidRPr="0055577D">
        <w:rPr>
          <w:rFonts w:ascii="Arial" w:hAnsi="Arial" w:cs="Arial"/>
          <w:noProof/>
          <w:sz w:val="18"/>
          <w:szCs w:val="18"/>
        </w:rPr>
        <w:t xml:space="preserve"> </w:t>
      </w:r>
      <w:r w:rsidR="00424F8F" w:rsidRPr="0055577D">
        <w:rPr>
          <w:rFonts w:ascii="Arial" w:hAnsi="Arial" w:cs="Arial"/>
          <w:sz w:val="18"/>
          <w:szCs w:val="18"/>
        </w:rPr>
        <w:t xml:space="preserve">– Peak </w:t>
      </w:r>
      <w:r w:rsidR="00737910" w:rsidRPr="0055577D">
        <w:rPr>
          <w:rFonts w:ascii="Arial" w:hAnsi="Arial" w:cs="Arial"/>
          <w:sz w:val="18"/>
          <w:szCs w:val="18"/>
        </w:rPr>
        <w:t>EER for Efficient Case</w:t>
      </w:r>
      <w:bookmarkEnd w:id="84"/>
      <w:bookmarkEnd w:id="85"/>
      <w:r w:rsidR="00737910" w:rsidRPr="0055577D">
        <w:rPr>
          <w:rFonts w:ascii="Arial" w:hAnsi="Arial" w:cs="Arial"/>
          <w:sz w:val="18"/>
          <w:szCs w:val="18"/>
        </w:rPr>
        <w:t xml:space="preserve"> </w:t>
      </w:r>
      <w:r w:rsidRPr="0055577D">
        <w:rPr>
          <w:rFonts w:ascii="Arial" w:hAnsi="Arial" w:cs="Arial"/>
          <w:sz w:val="18"/>
          <w:szCs w:val="18"/>
        </w:rPr>
        <w:t xml:space="preserve"> </w:t>
      </w:r>
    </w:p>
    <w:p w:rsidR="0022240A" w:rsidRDefault="00002B4A" w:rsidP="0022240A">
      <w:r>
        <w:pict>
          <v:shape id="_x0000_s1034" type="#_x0000_t75" style="position:absolute;margin-left:108pt;margin-top:12.05pt;width:245.85pt;height:27.7pt;z-index:251664384" filled="t">
            <v:imagedata r:id="rId29" o:title=""/>
          </v:shape>
          <o:OLEObject Type="Embed" ProgID="Equation.3" ShapeID="_x0000_s1034" DrawAspect="Content" ObjectID="_1463980775" r:id="rId30"/>
        </w:pict>
      </w:r>
    </w:p>
    <w:p w:rsidR="0022240A" w:rsidRDefault="0022240A" w:rsidP="0022240A"/>
    <w:p w:rsidR="0022240A" w:rsidRDefault="0022240A" w:rsidP="0022240A">
      <w:pPr>
        <w:rPr>
          <w:rFonts w:ascii="Arial" w:hAnsi="Arial" w:cs="Arial"/>
          <w:i/>
          <w:sz w:val="20"/>
          <w:szCs w:val="20"/>
        </w:rPr>
      </w:pPr>
    </w:p>
    <w:p w:rsidR="0022240A" w:rsidRPr="00CF3FF0" w:rsidRDefault="0022240A" w:rsidP="0022240A">
      <w:pPr>
        <w:rPr>
          <w:rFonts w:ascii="Arial" w:hAnsi="Arial" w:cs="Arial"/>
          <w:i/>
          <w:sz w:val="20"/>
          <w:szCs w:val="20"/>
        </w:rPr>
      </w:pPr>
    </w:p>
    <w:p w:rsidR="0022240A" w:rsidRPr="00BF0332" w:rsidRDefault="0022240A" w:rsidP="0022240A">
      <w:pPr>
        <w:pStyle w:val="Heading2"/>
      </w:pPr>
      <w:bookmarkStart w:id="86" w:name="_Toc304800213"/>
      <w:bookmarkStart w:id="87" w:name="_Toc387912009"/>
      <w:bookmarkStart w:id="88" w:name="_Toc389487661"/>
      <w:r w:rsidRPr="00BF0332">
        <w:t>2.3. Gas Energy Savings Estimation Methodologies</w:t>
      </w:r>
      <w:bookmarkEnd w:id="86"/>
      <w:bookmarkEnd w:id="87"/>
      <w:bookmarkEnd w:id="88"/>
    </w:p>
    <w:p w:rsidR="0022240A" w:rsidRDefault="0022240A" w:rsidP="0022240A">
      <w:pPr>
        <w:rPr>
          <w:rFonts w:ascii="Arial" w:hAnsi="Arial" w:cs="Arial"/>
          <w:i/>
          <w:sz w:val="20"/>
          <w:szCs w:val="20"/>
        </w:rPr>
      </w:pPr>
    </w:p>
    <w:p w:rsidR="0022240A" w:rsidRPr="0055577D" w:rsidRDefault="0022240A" w:rsidP="0022240A">
      <w:pPr>
        <w:rPr>
          <w:rFonts w:ascii="Arial" w:hAnsi="Arial" w:cs="Arial"/>
          <w:sz w:val="20"/>
          <w:szCs w:val="20"/>
        </w:rPr>
      </w:pPr>
      <w:r w:rsidRPr="0055577D">
        <w:rPr>
          <w:rFonts w:ascii="Arial" w:hAnsi="Arial" w:cs="Arial"/>
          <w:sz w:val="20"/>
          <w:szCs w:val="20"/>
        </w:rPr>
        <w:t xml:space="preserve">There </w:t>
      </w:r>
      <w:r w:rsidR="00141E09" w:rsidRPr="0055577D">
        <w:rPr>
          <w:rFonts w:ascii="Arial" w:hAnsi="Arial" w:cs="Arial"/>
          <w:sz w:val="20"/>
          <w:szCs w:val="20"/>
        </w:rPr>
        <w:t>is</w:t>
      </w:r>
      <w:r w:rsidRPr="0055577D">
        <w:rPr>
          <w:rFonts w:ascii="Arial" w:hAnsi="Arial" w:cs="Arial"/>
          <w:sz w:val="20"/>
          <w:szCs w:val="20"/>
        </w:rPr>
        <w:t xml:space="preserve"> no gas energy savings associated with this measure. </w:t>
      </w:r>
    </w:p>
    <w:p w:rsidR="0022240A" w:rsidRDefault="0022240A" w:rsidP="00B624B3"/>
    <w:p w:rsidR="00B624B3" w:rsidRDefault="00B624B3" w:rsidP="00B624B3">
      <w:pPr>
        <w:pStyle w:val="Heading1"/>
        <w:ind w:left="432" w:hanging="432"/>
      </w:pPr>
      <w:bookmarkStart w:id="89" w:name="_Toc387912010"/>
      <w:bookmarkStart w:id="90" w:name="_Toc389487662"/>
      <w:r w:rsidRPr="00C6488A">
        <w:t>Section 3. Load Shapes</w:t>
      </w:r>
      <w:bookmarkEnd w:id="89"/>
      <w:bookmarkEnd w:id="90"/>
      <w:r w:rsidRPr="00C6488A">
        <w:t xml:space="preserve"> </w:t>
      </w:r>
    </w:p>
    <w:p w:rsidR="00B624B3" w:rsidRPr="0055577D" w:rsidRDefault="00B624B3" w:rsidP="00D22EA4">
      <w:pPr>
        <w:rPr>
          <w:rFonts w:ascii="Arial" w:hAnsi="Arial" w:cs="Arial"/>
          <w:sz w:val="20"/>
          <w:szCs w:val="20"/>
        </w:rPr>
      </w:pPr>
      <w:r w:rsidRPr="0055577D">
        <w:rPr>
          <w:rFonts w:ascii="Arial" w:hAnsi="Arial" w:cs="Arial"/>
          <w:sz w:val="20"/>
          <w:szCs w:val="20"/>
        </w:rPr>
        <w:t>The PG&amp;E E3 Calculator “Measure Electric End Use Shape” for both the base case load shape and measure load shape is Commercial Refrigeration.</w:t>
      </w:r>
    </w:p>
    <w:p w:rsidR="0022240A" w:rsidRPr="007A4D97" w:rsidRDefault="0022240A" w:rsidP="0022240A">
      <w:pPr>
        <w:pStyle w:val="Heading2"/>
        <w:keepNext w:val="0"/>
      </w:pPr>
      <w:bookmarkStart w:id="91" w:name="_Toc173742996"/>
      <w:bookmarkStart w:id="92" w:name="_Toc326065318"/>
      <w:bookmarkStart w:id="93" w:name="_Toc387912011"/>
      <w:bookmarkStart w:id="94" w:name="_Toc389487663"/>
      <w:r w:rsidRPr="007A4D97">
        <w:t>3.1 Base Case Load Shapes</w:t>
      </w:r>
      <w:bookmarkEnd w:id="91"/>
      <w:bookmarkEnd w:id="92"/>
      <w:bookmarkEnd w:id="93"/>
      <w:bookmarkEnd w:id="94"/>
    </w:p>
    <w:p w:rsidR="0022240A" w:rsidRPr="0055577D" w:rsidRDefault="0022240A" w:rsidP="0022240A">
      <w:pPr>
        <w:rPr>
          <w:rFonts w:ascii="Arial" w:hAnsi="Arial" w:cs="Arial"/>
          <w:sz w:val="20"/>
          <w:szCs w:val="20"/>
        </w:rPr>
      </w:pPr>
      <w:bookmarkStart w:id="95" w:name="_Toc173742997"/>
      <w:r w:rsidRPr="0055577D">
        <w:rPr>
          <w:rFonts w:ascii="Arial" w:hAnsi="Arial" w:cs="Arial"/>
          <w:sz w:val="20"/>
          <w:szCs w:val="20"/>
        </w:rPr>
        <w:t xml:space="preserve">The base case load shape follows a typical commercial refrigeration load shape. This load shape closely follows outside temperatures, with the highest load associated with high outside temperatures and the smallest load associated with cooler outside temperatures. </w:t>
      </w:r>
      <w:r w:rsidR="00D2400A" w:rsidRPr="0055577D">
        <w:rPr>
          <w:rFonts w:ascii="Arial" w:hAnsi="Arial" w:cs="Arial"/>
          <w:sz w:val="20"/>
          <w:szCs w:val="20"/>
        </w:rPr>
        <w:fldChar w:fldCharType="begin"/>
      </w:r>
      <w:r w:rsidRPr="0055577D">
        <w:rPr>
          <w:rFonts w:ascii="Arial" w:hAnsi="Arial" w:cs="Arial"/>
          <w:sz w:val="20"/>
          <w:szCs w:val="20"/>
        </w:rPr>
        <w:instrText xml:space="preserve"> REF _Ref326569946 \h </w:instrText>
      </w:r>
      <w:r w:rsidR="0055577D" w:rsidRPr="0055577D">
        <w:rPr>
          <w:rFonts w:ascii="Arial" w:hAnsi="Arial" w:cs="Arial"/>
          <w:sz w:val="20"/>
          <w:szCs w:val="20"/>
        </w:rPr>
        <w:instrText xml:space="preserve"> \* MERGEFORMAT </w:instrText>
      </w:r>
      <w:r w:rsidR="00D2400A" w:rsidRPr="0055577D">
        <w:rPr>
          <w:rFonts w:ascii="Arial" w:hAnsi="Arial" w:cs="Arial"/>
          <w:sz w:val="20"/>
          <w:szCs w:val="20"/>
        </w:rPr>
      </w:r>
      <w:r w:rsidR="00D2400A" w:rsidRPr="0055577D">
        <w:rPr>
          <w:rFonts w:ascii="Arial" w:hAnsi="Arial" w:cs="Arial"/>
          <w:sz w:val="20"/>
          <w:szCs w:val="20"/>
        </w:rPr>
        <w:fldChar w:fldCharType="separate"/>
      </w:r>
      <w:r w:rsidR="006D2023" w:rsidRPr="006D2023">
        <w:rPr>
          <w:rFonts w:ascii="Arial" w:hAnsi="Arial" w:cs="Arial"/>
          <w:sz w:val="20"/>
          <w:szCs w:val="20"/>
        </w:rPr>
        <w:t xml:space="preserve">Figure </w:t>
      </w:r>
      <w:r w:rsidR="006D2023" w:rsidRPr="006D2023">
        <w:rPr>
          <w:rFonts w:ascii="Arial" w:hAnsi="Arial" w:cs="Arial"/>
          <w:noProof/>
          <w:sz w:val="20"/>
          <w:szCs w:val="20"/>
        </w:rPr>
        <w:t>2</w:t>
      </w:r>
      <w:r w:rsidR="006D2023" w:rsidRPr="006D2023">
        <w:rPr>
          <w:rFonts w:ascii="Arial" w:hAnsi="Arial" w:cs="Arial"/>
          <w:sz w:val="20"/>
          <w:szCs w:val="20"/>
        </w:rPr>
        <w:t xml:space="preserve"> - Base Case Daily Load Profiles</w:t>
      </w:r>
      <w:r w:rsidR="00D2400A" w:rsidRPr="0055577D">
        <w:rPr>
          <w:rFonts w:ascii="Arial" w:hAnsi="Arial" w:cs="Arial"/>
          <w:sz w:val="20"/>
          <w:szCs w:val="20"/>
        </w:rPr>
        <w:fldChar w:fldCharType="end"/>
      </w:r>
      <w:r w:rsidRPr="0055577D">
        <w:rPr>
          <w:rFonts w:ascii="Arial" w:hAnsi="Arial" w:cs="Arial"/>
          <w:sz w:val="20"/>
          <w:szCs w:val="20"/>
        </w:rPr>
        <w:t xml:space="preserve"> displays the load profile of </w:t>
      </w:r>
      <w:r w:rsidR="00424F8F" w:rsidRPr="0055577D">
        <w:rPr>
          <w:rFonts w:ascii="Arial" w:hAnsi="Arial" w:cs="Arial"/>
          <w:sz w:val="20"/>
          <w:szCs w:val="20"/>
        </w:rPr>
        <w:t>a typical commercial refrigeration system over the course of a summer day</w:t>
      </w:r>
      <w:r w:rsidRPr="0055577D">
        <w:rPr>
          <w:rFonts w:ascii="Arial" w:hAnsi="Arial" w:cs="Arial"/>
          <w:sz w:val="20"/>
          <w:szCs w:val="20"/>
        </w:rPr>
        <w:t>.</w:t>
      </w:r>
    </w:p>
    <w:p w:rsidR="0022240A" w:rsidRDefault="0022240A" w:rsidP="0022240A"/>
    <w:p w:rsidR="0022240A" w:rsidRDefault="0022240A" w:rsidP="0022240A">
      <w:pPr>
        <w:keepNext/>
        <w:jc w:val="center"/>
      </w:pPr>
      <w:r>
        <w:rPr>
          <w:noProof/>
        </w:rPr>
        <w:drawing>
          <wp:inline distT="0" distB="0" distL="0" distR="0" wp14:anchorId="62A44C63" wp14:editId="54135552">
            <wp:extent cx="3622040" cy="1983105"/>
            <wp:effectExtent l="19050" t="0" r="0" b="0"/>
            <wp:docPr id="8"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1" cstate="print"/>
                    <a:srcRect/>
                    <a:stretch>
                      <a:fillRect/>
                    </a:stretch>
                  </pic:blipFill>
                  <pic:spPr bwMode="auto">
                    <a:xfrm>
                      <a:off x="0" y="0"/>
                      <a:ext cx="3622040" cy="1983105"/>
                    </a:xfrm>
                    <a:prstGeom prst="rect">
                      <a:avLst/>
                    </a:prstGeom>
                    <a:noFill/>
                    <a:ln w="9525">
                      <a:noFill/>
                      <a:miter lim="800000"/>
                      <a:headEnd/>
                      <a:tailEnd/>
                    </a:ln>
                  </pic:spPr>
                </pic:pic>
              </a:graphicData>
            </a:graphic>
          </wp:inline>
        </w:drawing>
      </w:r>
    </w:p>
    <w:p w:rsidR="0022240A" w:rsidRPr="0055577D" w:rsidRDefault="0022240A" w:rsidP="0022240A">
      <w:pPr>
        <w:pStyle w:val="Caption"/>
        <w:jc w:val="center"/>
        <w:rPr>
          <w:rFonts w:ascii="Arial" w:hAnsi="Arial" w:cs="Arial"/>
          <w:sz w:val="18"/>
          <w:szCs w:val="18"/>
        </w:rPr>
      </w:pPr>
      <w:bookmarkStart w:id="96" w:name="_Toc296005722"/>
      <w:bookmarkStart w:id="97" w:name="_Ref326569946"/>
      <w:bookmarkStart w:id="98" w:name="_Toc326911161"/>
      <w:r w:rsidRPr="0055577D">
        <w:rPr>
          <w:rFonts w:ascii="Arial" w:hAnsi="Arial" w:cs="Arial"/>
          <w:sz w:val="18"/>
          <w:szCs w:val="18"/>
        </w:rPr>
        <w:t xml:space="preserve">Figure </w:t>
      </w:r>
      <w:r w:rsidR="00A707BC" w:rsidRPr="0055577D">
        <w:rPr>
          <w:rFonts w:ascii="Arial" w:hAnsi="Arial" w:cs="Arial"/>
          <w:sz w:val="18"/>
          <w:szCs w:val="18"/>
        </w:rPr>
        <w:fldChar w:fldCharType="begin"/>
      </w:r>
      <w:r w:rsidR="00A707BC" w:rsidRPr="0055577D">
        <w:rPr>
          <w:rFonts w:ascii="Arial" w:hAnsi="Arial" w:cs="Arial"/>
          <w:sz w:val="18"/>
          <w:szCs w:val="18"/>
        </w:rPr>
        <w:instrText xml:space="preserve"> SEQ Figure \* ARABIC </w:instrText>
      </w:r>
      <w:r w:rsidR="00A707BC" w:rsidRPr="0055577D">
        <w:rPr>
          <w:rFonts w:ascii="Arial" w:hAnsi="Arial" w:cs="Arial"/>
          <w:sz w:val="18"/>
          <w:szCs w:val="18"/>
        </w:rPr>
        <w:fldChar w:fldCharType="separate"/>
      </w:r>
      <w:r w:rsidRPr="0055577D">
        <w:rPr>
          <w:rFonts w:ascii="Arial" w:hAnsi="Arial" w:cs="Arial"/>
          <w:noProof/>
          <w:sz w:val="18"/>
          <w:szCs w:val="18"/>
        </w:rPr>
        <w:t>2</w:t>
      </w:r>
      <w:r w:rsidR="00A707BC" w:rsidRPr="0055577D">
        <w:rPr>
          <w:rFonts w:ascii="Arial" w:hAnsi="Arial" w:cs="Arial"/>
          <w:noProof/>
          <w:sz w:val="18"/>
          <w:szCs w:val="18"/>
        </w:rPr>
        <w:fldChar w:fldCharType="end"/>
      </w:r>
      <w:r w:rsidRPr="0055577D">
        <w:rPr>
          <w:rFonts w:ascii="Arial" w:hAnsi="Arial" w:cs="Arial"/>
          <w:sz w:val="18"/>
          <w:szCs w:val="18"/>
        </w:rPr>
        <w:t xml:space="preserve"> - Base Case Daily Load Profiles</w:t>
      </w:r>
      <w:bookmarkEnd w:id="96"/>
      <w:bookmarkEnd w:id="97"/>
      <w:bookmarkEnd w:id="98"/>
    </w:p>
    <w:p w:rsidR="0022240A" w:rsidRDefault="0022240A" w:rsidP="0022240A">
      <w:pPr>
        <w:rPr>
          <w:rFonts w:ascii="Arial" w:hAnsi="Arial" w:cs="Arial"/>
          <w:sz w:val="20"/>
          <w:szCs w:val="20"/>
        </w:rPr>
      </w:pPr>
    </w:p>
    <w:p w:rsidR="0022240A" w:rsidRPr="007A4D97" w:rsidRDefault="0022240A" w:rsidP="0022240A">
      <w:pPr>
        <w:rPr>
          <w:rFonts w:ascii="Arial" w:hAnsi="Arial" w:cs="Arial"/>
          <w:sz w:val="20"/>
          <w:szCs w:val="20"/>
        </w:rPr>
      </w:pPr>
    </w:p>
    <w:p w:rsidR="0022240A" w:rsidRPr="007A4D97" w:rsidRDefault="0022240A" w:rsidP="0022240A">
      <w:pPr>
        <w:pStyle w:val="Heading2"/>
        <w:keepNext w:val="0"/>
      </w:pPr>
      <w:bookmarkStart w:id="99" w:name="_Toc326065319"/>
      <w:bookmarkStart w:id="100" w:name="_Toc387912012"/>
      <w:bookmarkStart w:id="101" w:name="_Toc389487664"/>
      <w:r w:rsidRPr="007A4D97">
        <w:t>3.2 Measure Load Shapes</w:t>
      </w:r>
      <w:bookmarkEnd w:id="95"/>
      <w:bookmarkEnd w:id="99"/>
      <w:bookmarkEnd w:id="100"/>
      <w:bookmarkEnd w:id="101"/>
    </w:p>
    <w:p w:rsidR="0022240A" w:rsidRPr="0055577D" w:rsidRDefault="00424F8F" w:rsidP="0022240A">
      <w:pPr>
        <w:rPr>
          <w:rFonts w:ascii="Arial" w:hAnsi="Arial" w:cs="Arial"/>
          <w:sz w:val="20"/>
          <w:szCs w:val="20"/>
        </w:rPr>
      </w:pPr>
      <w:r w:rsidRPr="0055577D">
        <w:rPr>
          <w:rFonts w:ascii="Arial" w:hAnsi="Arial" w:cs="Arial"/>
          <w:sz w:val="20"/>
          <w:szCs w:val="20"/>
        </w:rPr>
        <w:t>The measure load shape will resemble the base case load shape</w:t>
      </w:r>
      <w:r w:rsidR="0022240A" w:rsidRPr="0055577D">
        <w:rPr>
          <w:rFonts w:ascii="Arial" w:hAnsi="Arial" w:cs="Arial"/>
          <w:sz w:val="20"/>
          <w:szCs w:val="20"/>
        </w:rPr>
        <w:t xml:space="preserve">.  The base case shapes are to be used in the cost avoidance calculation. </w:t>
      </w:r>
    </w:p>
    <w:p w:rsidR="0022240A" w:rsidRPr="00D22EA4" w:rsidRDefault="0022240A" w:rsidP="00D22EA4"/>
    <w:p w:rsidR="00B624B3" w:rsidRPr="00C6488A" w:rsidRDefault="00B624B3" w:rsidP="00B624B3">
      <w:pPr>
        <w:pStyle w:val="Heading1"/>
        <w:ind w:left="432" w:hanging="432"/>
      </w:pPr>
      <w:bookmarkStart w:id="102" w:name="_Toc387912013"/>
      <w:bookmarkStart w:id="103" w:name="_Toc389487665"/>
      <w:r w:rsidRPr="00C6488A">
        <w:t>Section 4. Base Case &amp; Measure Costs</w:t>
      </w:r>
      <w:bookmarkEnd w:id="102"/>
      <w:bookmarkEnd w:id="103"/>
    </w:p>
    <w:p w:rsidR="00B624B3" w:rsidRDefault="00B624B3" w:rsidP="00B624B3"/>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3662D0" w:rsidRPr="00104A00" w:rsidTr="00D41579">
        <w:trPr>
          <w:trHeight w:val="255"/>
        </w:trPr>
        <w:tc>
          <w:tcPr>
            <w:tcW w:w="1964" w:type="dxa"/>
            <w:shd w:val="clear" w:color="auto" w:fill="262626"/>
            <w:noWrap/>
            <w:vAlign w:val="bottom"/>
          </w:tcPr>
          <w:p w:rsidR="003662D0" w:rsidRPr="001E4C31" w:rsidRDefault="003662D0" w:rsidP="00D41579">
            <w:pPr>
              <w:jc w:val="center"/>
              <w:rPr>
                <w:rFonts w:cs="Arial"/>
                <w:b/>
              </w:rPr>
            </w:pPr>
            <w:r>
              <w:rPr>
                <w:rFonts w:cs="Arial"/>
                <w:b/>
              </w:rPr>
              <w:t>Measure Application</w:t>
            </w:r>
            <w:r w:rsidRPr="001E4C31">
              <w:rPr>
                <w:rFonts w:cs="Arial"/>
                <w:b/>
              </w:rPr>
              <w:t xml:space="preserve"> Type</w:t>
            </w:r>
          </w:p>
        </w:tc>
        <w:tc>
          <w:tcPr>
            <w:tcW w:w="1202" w:type="dxa"/>
            <w:shd w:val="clear" w:color="auto" w:fill="262626"/>
            <w:noWrap/>
            <w:vAlign w:val="bottom"/>
          </w:tcPr>
          <w:p w:rsidR="003662D0" w:rsidRPr="001E4C31" w:rsidRDefault="003662D0" w:rsidP="00D41579">
            <w:pPr>
              <w:jc w:val="center"/>
              <w:rPr>
                <w:rFonts w:cs="Arial"/>
                <w:b/>
              </w:rPr>
            </w:pPr>
            <w:r w:rsidRPr="001E4C31">
              <w:rPr>
                <w:rFonts w:cs="Arial"/>
                <w:b/>
              </w:rPr>
              <w:t>Measure Life Basis</w:t>
            </w:r>
          </w:p>
        </w:tc>
        <w:tc>
          <w:tcPr>
            <w:tcW w:w="2699" w:type="dxa"/>
            <w:shd w:val="clear" w:color="auto" w:fill="262626"/>
            <w:vAlign w:val="bottom"/>
          </w:tcPr>
          <w:p w:rsidR="003662D0" w:rsidRPr="001E4C31" w:rsidRDefault="003662D0" w:rsidP="00D41579">
            <w:pPr>
              <w:jc w:val="center"/>
              <w:rPr>
                <w:rFonts w:cs="Arial"/>
                <w:b/>
              </w:rPr>
            </w:pPr>
            <w:r>
              <w:rPr>
                <w:rFonts w:cs="Arial"/>
                <w:b/>
              </w:rPr>
              <w:t>First Baseline Period Full</w:t>
            </w:r>
            <w:r w:rsidRPr="001E4C31">
              <w:rPr>
                <w:rFonts w:cs="Arial"/>
                <w:b/>
              </w:rPr>
              <w:t xml:space="preserve"> Measure Cost (RUL)</w:t>
            </w:r>
          </w:p>
        </w:tc>
        <w:tc>
          <w:tcPr>
            <w:tcW w:w="2790" w:type="dxa"/>
            <w:shd w:val="clear" w:color="auto" w:fill="262626"/>
            <w:noWrap/>
            <w:vAlign w:val="bottom"/>
          </w:tcPr>
          <w:p w:rsidR="003662D0" w:rsidRPr="001E4C31" w:rsidRDefault="003662D0" w:rsidP="00D41579">
            <w:pPr>
              <w:jc w:val="center"/>
              <w:rPr>
                <w:rFonts w:cs="Arial"/>
                <w:b/>
              </w:rPr>
            </w:pPr>
            <w:r>
              <w:rPr>
                <w:rFonts w:cs="Arial"/>
                <w:b/>
              </w:rPr>
              <w:t>Second Baseline Period Full</w:t>
            </w:r>
            <w:r w:rsidRPr="001E4C31">
              <w:rPr>
                <w:rFonts w:cs="Arial"/>
                <w:b/>
              </w:rPr>
              <w:t xml:space="preserve"> Measure Cost (EUL – RUL)</w:t>
            </w:r>
          </w:p>
        </w:tc>
      </w:tr>
      <w:tr w:rsidR="003662D0" w:rsidRPr="00104A00" w:rsidTr="00D41579">
        <w:trPr>
          <w:trHeight w:val="170"/>
        </w:trPr>
        <w:tc>
          <w:tcPr>
            <w:tcW w:w="1964" w:type="dxa"/>
            <w:shd w:val="pct5" w:color="000000" w:fill="FFFFFF"/>
            <w:noWrap/>
            <w:vAlign w:val="bottom"/>
          </w:tcPr>
          <w:p w:rsidR="003662D0" w:rsidRPr="001E4C31" w:rsidRDefault="003662D0" w:rsidP="00D41579">
            <w:pPr>
              <w:jc w:val="center"/>
              <w:rPr>
                <w:rFonts w:cs="Arial"/>
                <w:b/>
                <w:i/>
              </w:rPr>
            </w:pPr>
            <w:r w:rsidRPr="001E4C31">
              <w:rPr>
                <w:rFonts w:cs="Arial"/>
                <w:b/>
                <w:i/>
              </w:rPr>
              <w:t>ROB(replace on burnout)</w:t>
            </w:r>
          </w:p>
        </w:tc>
        <w:tc>
          <w:tcPr>
            <w:tcW w:w="1202" w:type="dxa"/>
            <w:shd w:val="pct5" w:color="000000" w:fill="FFFFFF"/>
            <w:noWrap/>
            <w:vAlign w:val="bottom"/>
          </w:tcPr>
          <w:p w:rsidR="003662D0" w:rsidRPr="001E4C31" w:rsidRDefault="003662D0" w:rsidP="00D41579">
            <w:pPr>
              <w:jc w:val="center"/>
              <w:rPr>
                <w:rFonts w:cs="Arial"/>
                <w:sz w:val="20"/>
                <w:szCs w:val="20"/>
              </w:rPr>
            </w:pPr>
            <w:r w:rsidRPr="001E4C31">
              <w:rPr>
                <w:rFonts w:cs="Arial"/>
                <w:sz w:val="20"/>
                <w:szCs w:val="20"/>
              </w:rPr>
              <w:t>EUL</w:t>
            </w:r>
          </w:p>
        </w:tc>
        <w:tc>
          <w:tcPr>
            <w:tcW w:w="2699" w:type="dxa"/>
            <w:shd w:val="pct5" w:color="000000" w:fill="FFFFFF"/>
            <w:vAlign w:val="bottom"/>
          </w:tcPr>
          <w:p w:rsidR="003662D0" w:rsidRPr="001E4C31" w:rsidRDefault="003662D0" w:rsidP="00D41579">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rsidR="003662D0" w:rsidRPr="001E4C31" w:rsidRDefault="003662D0" w:rsidP="00D41579">
            <w:pPr>
              <w:jc w:val="center"/>
              <w:rPr>
                <w:rFonts w:cs="Arial"/>
                <w:sz w:val="20"/>
                <w:szCs w:val="20"/>
              </w:rPr>
            </w:pPr>
            <w:r w:rsidRPr="001E4C31">
              <w:rPr>
                <w:rFonts w:cs="Arial"/>
                <w:sz w:val="20"/>
                <w:szCs w:val="20"/>
              </w:rPr>
              <w:t>N/A</w:t>
            </w:r>
          </w:p>
        </w:tc>
      </w:tr>
    </w:tbl>
    <w:p w:rsidR="00700E58" w:rsidRDefault="00700E58">
      <w:pPr>
        <w:rPr>
          <w:rFonts w:ascii="Arial" w:hAnsi="Arial" w:cs="Arial"/>
          <w:b/>
          <w:bCs/>
          <w:i/>
          <w:iCs/>
          <w:sz w:val="28"/>
          <w:szCs w:val="28"/>
        </w:rPr>
      </w:pPr>
      <w:r>
        <w:br w:type="page"/>
      </w:r>
    </w:p>
    <w:p w:rsidR="00B624B3" w:rsidRPr="00C6488A" w:rsidRDefault="00B624B3" w:rsidP="00B624B3">
      <w:pPr>
        <w:pStyle w:val="Heading2"/>
        <w:ind w:left="576" w:hanging="576"/>
      </w:pPr>
      <w:bookmarkStart w:id="104" w:name="_Toc387912014"/>
      <w:bookmarkStart w:id="105" w:name="_Toc389487666"/>
      <w:r w:rsidRPr="00C6488A">
        <w:lastRenderedPageBreak/>
        <w:t>4.1 Base Case(s) Costs</w:t>
      </w:r>
      <w:bookmarkEnd w:id="104"/>
      <w:bookmarkEnd w:id="105"/>
    </w:p>
    <w:p w:rsidR="00B624B3" w:rsidRPr="0055577D" w:rsidRDefault="00B624B3" w:rsidP="00B624B3">
      <w:pPr>
        <w:rPr>
          <w:rFonts w:ascii="Arial" w:hAnsi="Arial" w:cs="Arial"/>
          <w:sz w:val="20"/>
          <w:szCs w:val="20"/>
        </w:rPr>
      </w:pPr>
      <w:r w:rsidRPr="0055577D">
        <w:rPr>
          <w:rFonts w:ascii="Arial" w:hAnsi="Arial" w:cs="Arial"/>
          <w:sz w:val="20"/>
          <w:szCs w:val="20"/>
        </w:rPr>
        <w:t xml:space="preserve">The following </w:t>
      </w:r>
      <w:r w:rsidR="002C1EB6">
        <w:rPr>
          <w:rFonts w:ascii="Arial" w:hAnsi="Arial" w:cs="Arial"/>
          <w:sz w:val="20"/>
          <w:szCs w:val="20"/>
        </w:rPr>
        <w:t>Measure Application Type</w:t>
      </w:r>
      <w:r w:rsidRPr="0055577D">
        <w:rPr>
          <w:rFonts w:ascii="Arial" w:hAnsi="Arial" w:cs="Arial"/>
          <w:sz w:val="20"/>
          <w:szCs w:val="20"/>
        </w:rPr>
        <w:t xml:space="preserve"> is appropriate to this measure. The Base Case Costs are:</w:t>
      </w:r>
    </w:p>
    <w:p w:rsidR="00B624B3" w:rsidRDefault="00B624B3" w:rsidP="00B624B3">
      <w:pPr>
        <w:rPr>
          <w:i/>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0"/>
        <w:gridCol w:w="1350"/>
        <w:gridCol w:w="1800"/>
        <w:gridCol w:w="1440"/>
        <w:gridCol w:w="1341"/>
        <w:gridCol w:w="1513"/>
        <w:gridCol w:w="1214"/>
      </w:tblGrid>
      <w:tr w:rsidR="00B624B3" w:rsidRPr="00767D95" w:rsidTr="002D067B">
        <w:tc>
          <w:tcPr>
            <w:tcW w:w="1080" w:type="dxa"/>
            <w:shd w:val="clear" w:color="auto" w:fill="auto"/>
          </w:tcPr>
          <w:p w:rsidR="00B624B3" w:rsidRPr="00767D95" w:rsidRDefault="00B624B3" w:rsidP="0001647C">
            <w:pPr>
              <w:rPr>
                <w:rFonts w:ascii="Arial" w:hAnsi="Arial" w:cs="Arial"/>
                <w:b/>
                <w:i/>
                <w:sz w:val="20"/>
                <w:szCs w:val="20"/>
              </w:rPr>
            </w:pPr>
            <w:r w:rsidRPr="00767D95">
              <w:rPr>
                <w:rFonts w:ascii="Arial" w:hAnsi="Arial" w:cs="Arial"/>
                <w:b/>
                <w:i/>
                <w:sz w:val="20"/>
                <w:szCs w:val="20"/>
              </w:rPr>
              <w:t>Measure Code</w:t>
            </w:r>
          </w:p>
        </w:tc>
        <w:tc>
          <w:tcPr>
            <w:tcW w:w="1350" w:type="dxa"/>
            <w:shd w:val="clear" w:color="auto" w:fill="auto"/>
          </w:tcPr>
          <w:p w:rsidR="00B624B3" w:rsidRPr="00767D95" w:rsidRDefault="002C1EB6" w:rsidP="0001647C">
            <w:pPr>
              <w:rPr>
                <w:rFonts w:ascii="Arial" w:hAnsi="Arial" w:cs="Arial"/>
                <w:b/>
                <w:sz w:val="20"/>
                <w:szCs w:val="20"/>
              </w:rPr>
            </w:pPr>
            <w:r>
              <w:rPr>
                <w:rFonts w:ascii="Arial" w:hAnsi="Arial" w:cs="Arial"/>
                <w:b/>
                <w:sz w:val="20"/>
                <w:szCs w:val="20"/>
              </w:rPr>
              <w:t>Measure Application Type</w:t>
            </w:r>
          </w:p>
        </w:tc>
        <w:tc>
          <w:tcPr>
            <w:tcW w:w="1800"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Baseline</w:t>
            </w:r>
          </w:p>
        </w:tc>
        <w:tc>
          <w:tcPr>
            <w:tcW w:w="1440"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Equipment Cost</w:t>
            </w:r>
          </w:p>
        </w:tc>
        <w:tc>
          <w:tcPr>
            <w:tcW w:w="1341"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Labor / Installation Cost</w:t>
            </w:r>
          </w:p>
        </w:tc>
        <w:tc>
          <w:tcPr>
            <w:tcW w:w="1513"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Maintenance / Other Cost</w:t>
            </w:r>
          </w:p>
        </w:tc>
        <w:tc>
          <w:tcPr>
            <w:tcW w:w="1214"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Total Base Case Cost</w:t>
            </w:r>
          </w:p>
        </w:tc>
      </w:tr>
      <w:tr w:rsidR="000C4349" w:rsidRPr="00767D95" w:rsidTr="002D067B">
        <w:tc>
          <w:tcPr>
            <w:tcW w:w="1080" w:type="dxa"/>
            <w:shd w:val="clear" w:color="auto" w:fill="auto"/>
          </w:tcPr>
          <w:p w:rsidR="000C4349" w:rsidRPr="00767D95" w:rsidRDefault="000C4349" w:rsidP="008679C2">
            <w:pPr>
              <w:rPr>
                <w:rFonts w:ascii="Arial" w:hAnsi="Arial" w:cs="Arial"/>
                <w:sz w:val="20"/>
                <w:szCs w:val="20"/>
              </w:rPr>
            </w:pPr>
            <w:r>
              <w:rPr>
                <w:rFonts w:ascii="Arial" w:hAnsi="Arial" w:cs="Arial"/>
                <w:sz w:val="20"/>
                <w:szCs w:val="20"/>
              </w:rPr>
              <w:t>R</w:t>
            </w:r>
            <w:r w:rsidR="008679C2">
              <w:rPr>
                <w:rFonts w:ascii="Arial" w:hAnsi="Arial" w:cs="Arial"/>
                <w:sz w:val="20"/>
                <w:szCs w:val="20"/>
              </w:rPr>
              <w:t>A02</w:t>
            </w:r>
          </w:p>
        </w:tc>
        <w:tc>
          <w:tcPr>
            <w:tcW w:w="1350" w:type="dxa"/>
            <w:shd w:val="clear" w:color="auto" w:fill="auto"/>
          </w:tcPr>
          <w:p w:rsidR="000C4349" w:rsidRPr="008C684A" w:rsidRDefault="000C4349" w:rsidP="0001647C">
            <w:pPr>
              <w:rPr>
                <w:rFonts w:ascii="Arial" w:hAnsi="Arial" w:cs="Arial"/>
                <w:sz w:val="20"/>
                <w:szCs w:val="20"/>
              </w:rPr>
            </w:pPr>
            <w:r>
              <w:rPr>
                <w:rFonts w:ascii="Arial" w:hAnsi="Arial" w:cs="Arial"/>
                <w:sz w:val="20"/>
                <w:szCs w:val="20"/>
              </w:rPr>
              <w:t>ROB</w:t>
            </w:r>
          </w:p>
        </w:tc>
        <w:tc>
          <w:tcPr>
            <w:tcW w:w="1800" w:type="dxa"/>
            <w:shd w:val="clear" w:color="auto" w:fill="auto"/>
          </w:tcPr>
          <w:p w:rsidR="000C4349" w:rsidRPr="008C684A" w:rsidRDefault="008679C2" w:rsidP="00461F75">
            <w:pPr>
              <w:rPr>
                <w:rFonts w:ascii="Arial" w:hAnsi="Arial" w:cs="Arial"/>
                <w:sz w:val="20"/>
                <w:szCs w:val="20"/>
              </w:rPr>
            </w:pPr>
            <w:r>
              <w:rPr>
                <w:rFonts w:ascii="Arial" w:hAnsi="Arial" w:cs="Arial"/>
                <w:sz w:val="20"/>
                <w:szCs w:val="20"/>
              </w:rPr>
              <w:t xml:space="preserve">Federal </w:t>
            </w:r>
            <w:r w:rsidR="00461F75">
              <w:rPr>
                <w:rFonts w:ascii="Arial" w:hAnsi="Arial" w:cs="Arial"/>
                <w:sz w:val="20"/>
                <w:szCs w:val="20"/>
              </w:rPr>
              <w:t>C</w:t>
            </w:r>
            <w:r>
              <w:rPr>
                <w:rFonts w:ascii="Arial" w:hAnsi="Arial" w:cs="Arial"/>
                <w:sz w:val="20"/>
                <w:szCs w:val="20"/>
              </w:rPr>
              <w:t>ode</w:t>
            </w:r>
          </w:p>
        </w:tc>
        <w:tc>
          <w:tcPr>
            <w:tcW w:w="1440" w:type="dxa"/>
            <w:shd w:val="clear" w:color="auto" w:fill="auto"/>
          </w:tcPr>
          <w:p w:rsidR="000C4349" w:rsidRPr="00767D95" w:rsidRDefault="000C4349" w:rsidP="008679C2">
            <w:pPr>
              <w:rPr>
                <w:rFonts w:ascii="Arial" w:hAnsi="Arial" w:cs="Arial"/>
                <w:sz w:val="20"/>
                <w:szCs w:val="20"/>
              </w:rPr>
            </w:pPr>
            <w:r>
              <w:rPr>
                <w:rFonts w:ascii="Arial" w:hAnsi="Arial" w:cs="Arial"/>
                <w:sz w:val="20"/>
                <w:szCs w:val="20"/>
              </w:rPr>
              <w:t>$</w:t>
            </w:r>
            <w:r w:rsidR="008679C2">
              <w:rPr>
                <w:rFonts w:ascii="Arial" w:hAnsi="Arial" w:cs="Arial"/>
                <w:sz w:val="20"/>
                <w:szCs w:val="20"/>
              </w:rPr>
              <w:t>550.92</w:t>
            </w:r>
          </w:p>
        </w:tc>
        <w:tc>
          <w:tcPr>
            <w:tcW w:w="1341" w:type="dxa"/>
            <w:shd w:val="clear" w:color="auto" w:fill="auto"/>
          </w:tcPr>
          <w:p w:rsidR="000C4349" w:rsidRPr="00767D95" w:rsidRDefault="008679C2" w:rsidP="008679C2">
            <w:pPr>
              <w:rPr>
                <w:rFonts w:ascii="Arial" w:hAnsi="Arial" w:cs="Arial"/>
                <w:sz w:val="20"/>
                <w:szCs w:val="20"/>
              </w:rPr>
            </w:pPr>
            <w:r>
              <w:rPr>
                <w:rFonts w:ascii="Arial" w:hAnsi="Arial" w:cs="Arial"/>
                <w:sz w:val="20"/>
                <w:szCs w:val="20"/>
              </w:rPr>
              <w:t>$163.33</w:t>
            </w:r>
          </w:p>
        </w:tc>
        <w:tc>
          <w:tcPr>
            <w:tcW w:w="1513" w:type="dxa"/>
            <w:shd w:val="clear" w:color="auto" w:fill="auto"/>
          </w:tcPr>
          <w:p w:rsidR="000C4349" w:rsidRPr="00767D95" w:rsidRDefault="000C4349" w:rsidP="0001647C">
            <w:pPr>
              <w:rPr>
                <w:rFonts w:ascii="Arial" w:hAnsi="Arial" w:cs="Arial"/>
                <w:sz w:val="20"/>
                <w:szCs w:val="20"/>
              </w:rPr>
            </w:pPr>
            <w:r>
              <w:rPr>
                <w:rFonts w:ascii="Arial" w:hAnsi="Arial" w:cs="Arial"/>
                <w:sz w:val="20"/>
                <w:szCs w:val="20"/>
              </w:rPr>
              <w:t>$0</w:t>
            </w:r>
          </w:p>
        </w:tc>
        <w:tc>
          <w:tcPr>
            <w:tcW w:w="1214" w:type="dxa"/>
            <w:shd w:val="clear" w:color="auto" w:fill="auto"/>
          </w:tcPr>
          <w:p w:rsidR="00461F75" w:rsidRPr="00767D95" w:rsidRDefault="000C4349" w:rsidP="00461F75">
            <w:pPr>
              <w:rPr>
                <w:rFonts w:ascii="Arial" w:hAnsi="Arial" w:cs="Arial"/>
                <w:sz w:val="20"/>
                <w:szCs w:val="20"/>
              </w:rPr>
            </w:pPr>
            <w:r>
              <w:rPr>
                <w:rFonts w:ascii="Arial" w:hAnsi="Arial" w:cs="Arial"/>
                <w:sz w:val="20"/>
                <w:szCs w:val="20"/>
              </w:rPr>
              <w:t>$</w:t>
            </w:r>
            <w:r w:rsidR="00461F75">
              <w:rPr>
                <w:rFonts w:ascii="Arial" w:hAnsi="Arial" w:cs="Arial"/>
                <w:sz w:val="20"/>
                <w:szCs w:val="20"/>
              </w:rPr>
              <w:t>714.25</w:t>
            </w:r>
          </w:p>
        </w:tc>
      </w:tr>
    </w:tbl>
    <w:p w:rsidR="00B624B3" w:rsidRPr="00DD1C47" w:rsidRDefault="00B624B3" w:rsidP="00B624B3">
      <w:pPr>
        <w:rPr>
          <w:rFonts w:ascii="Arial" w:hAnsi="Arial" w:cs="Arial"/>
          <w:i/>
          <w:sz w:val="20"/>
          <w:szCs w:val="20"/>
        </w:rPr>
      </w:pPr>
      <w:r w:rsidRPr="00DD1C47">
        <w:rPr>
          <w:rFonts w:ascii="Arial" w:hAnsi="Arial" w:cs="Arial"/>
          <w:i/>
          <w:sz w:val="20"/>
          <w:szCs w:val="20"/>
        </w:rPr>
        <w:t>All costs are noted as $ per measure unit</w:t>
      </w:r>
    </w:p>
    <w:p w:rsidR="00B624B3" w:rsidRPr="00DD1C47" w:rsidRDefault="00B624B3" w:rsidP="00B624B3">
      <w:pPr>
        <w:rPr>
          <w:rFonts w:ascii="Arial" w:hAnsi="Arial" w:cs="Arial"/>
          <w:b/>
          <w:i/>
          <w:sz w:val="20"/>
          <w:szCs w:val="20"/>
        </w:rPr>
      </w:pPr>
    </w:p>
    <w:p w:rsidR="00B624B3" w:rsidRPr="00C6488A" w:rsidRDefault="00B624B3" w:rsidP="00B624B3">
      <w:pPr>
        <w:pStyle w:val="Heading2"/>
        <w:ind w:left="576" w:hanging="576"/>
      </w:pPr>
      <w:bookmarkStart w:id="106" w:name="_Toc387912015"/>
      <w:bookmarkStart w:id="107" w:name="_Toc389487667"/>
      <w:r w:rsidRPr="00C6488A">
        <w:t>4.2 Measure Case Costs</w:t>
      </w:r>
      <w:bookmarkEnd w:id="106"/>
      <w:bookmarkEnd w:id="107"/>
      <w:r w:rsidRPr="00C6488A">
        <w:t xml:space="preserve"> </w:t>
      </w:r>
    </w:p>
    <w:p w:rsidR="00B624B3" w:rsidRPr="0055577D" w:rsidRDefault="00B624B3" w:rsidP="00B624B3">
      <w:pPr>
        <w:rPr>
          <w:rFonts w:ascii="Arial" w:hAnsi="Arial" w:cs="Arial"/>
          <w:sz w:val="20"/>
          <w:szCs w:val="20"/>
        </w:rPr>
      </w:pPr>
      <w:r w:rsidRPr="0055577D">
        <w:rPr>
          <w:rFonts w:ascii="Arial" w:hAnsi="Arial" w:cs="Arial"/>
          <w:sz w:val="20"/>
          <w:szCs w:val="20"/>
        </w:rPr>
        <w:t xml:space="preserve">The following </w:t>
      </w:r>
      <w:r w:rsidR="007C4FF7">
        <w:rPr>
          <w:rFonts w:ascii="Arial" w:hAnsi="Arial" w:cs="Arial"/>
          <w:sz w:val="20"/>
          <w:szCs w:val="20"/>
        </w:rPr>
        <w:t>Measure Application Type</w:t>
      </w:r>
      <w:r w:rsidRPr="0055577D">
        <w:rPr>
          <w:rFonts w:ascii="Arial" w:hAnsi="Arial" w:cs="Arial"/>
          <w:sz w:val="20"/>
          <w:szCs w:val="20"/>
        </w:rPr>
        <w:t xml:space="preserve"> is appropriate to this measure. The Measure Case Costs are:</w:t>
      </w:r>
    </w:p>
    <w:p w:rsidR="00B624B3" w:rsidRDefault="00B624B3" w:rsidP="00B624B3">
      <w:pPr>
        <w:rPr>
          <w:i/>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0"/>
        <w:gridCol w:w="1350"/>
        <w:gridCol w:w="1800"/>
        <w:gridCol w:w="1440"/>
        <w:gridCol w:w="1341"/>
        <w:gridCol w:w="1513"/>
        <w:gridCol w:w="1214"/>
      </w:tblGrid>
      <w:tr w:rsidR="00B624B3" w:rsidRPr="00767D95" w:rsidTr="00BB32C1">
        <w:tc>
          <w:tcPr>
            <w:tcW w:w="1080" w:type="dxa"/>
            <w:shd w:val="clear" w:color="auto" w:fill="auto"/>
          </w:tcPr>
          <w:p w:rsidR="00B624B3" w:rsidRPr="00767D95" w:rsidRDefault="00B624B3" w:rsidP="0001647C">
            <w:pPr>
              <w:rPr>
                <w:rFonts w:ascii="Arial" w:hAnsi="Arial" w:cs="Arial"/>
                <w:b/>
                <w:i/>
                <w:sz w:val="20"/>
                <w:szCs w:val="20"/>
              </w:rPr>
            </w:pPr>
            <w:r w:rsidRPr="00767D95">
              <w:rPr>
                <w:rFonts w:ascii="Arial" w:hAnsi="Arial" w:cs="Arial"/>
                <w:b/>
                <w:i/>
                <w:sz w:val="20"/>
                <w:szCs w:val="20"/>
              </w:rPr>
              <w:t>Measure Code</w:t>
            </w:r>
          </w:p>
        </w:tc>
        <w:tc>
          <w:tcPr>
            <w:tcW w:w="1350" w:type="dxa"/>
            <w:shd w:val="clear" w:color="auto" w:fill="auto"/>
          </w:tcPr>
          <w:p w:rsidR="00B624B3" w:rsidRPr="00767D95" w:rsidRDefault="007C4FF7" w:rsidP="0001647C">
            <w:pPr>
              <w:rPr>
                <w:rFonts w:ascii="Arial" w:hAnsi="Arial" w:cs="Arial"/>
                <w:b/>
                <w:sz w:val="20"/>
                <w:szCs w:val="20"/>
              </w:rPr>
            </w:pPr>
            <w:r>
              <w:rPr>
                <w:rFonts w:ascii="Arial" w:hAnsi="Arial" w:cs="Arial"/>
                <w:b/>
                <w:sz w:val="20"/>
                <w:szCs w:val="20"/>
              </w:rPr>
              <w:t>Measure Application Type</w:t>
            </w:r>
          </w:p>
        </w:tc>
        <w:tc>
          <w:tcPr>
            <w:tcW w:w="1800"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Baseline</w:t>
            </w:r>
          </w:p>
        </w:tc>
        <w:tc>
          <w:tcPr>
            <w:tcW w:w="1440"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Equipment Cost</w:t>
            </w:r>
          </w:p>
        </w:tc>
        <w:tc>
          <w:tcPr>
            <w:tcW w:w="1341"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Labor / Installation Cost</w:t>
            </w:r>
          </w:p>
        </w:tc>
        <w:tc>
          <w:tcPr>
            <w:tcW w:w="1513"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Maintenance / Other Cost</w:t>
            </w:r>
          </w:p>
        </w:tc>
        <w:tc>
          <w:tcPr>
            <w:tcW w:w="1214"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Total Measure Case Cost</w:t>
            </w:r>
          </w:p>
        </w:tc>
      </w:tr>
      <w:tr w:rsidR="000C4349" w:rsidRPr="00767D95" w:rsidTr="00BB32C1">
        <w:trPr>
          <w:trHeight w:val="107"/>
        </w:trPr>
        <w:tc>
          <w:tcPr>
            <w:tcW w:w="1080" w:type="dxa"/>
            <w:shd w:val="clear" w:color="auto" w:fill="auto"/>
          </w:tcPr>
          <w:p w:rsidR="000C4349" w:rsidRPr="00767D95" w:rsidRDefault="000C4349" w:rsidP="00461F75">
            <w:pPr>
              <w:rPr>
                <w:rFonts w:ascii="Arial" w:hAnsi="Arial" w:cs="Arial"/>
                <w:sz w:val="20"/>
                <w:szCs w:val="20"/>
              </w:rPr>
            </w:pPr>
            <w:r>
              <w:rPr>
                <w:rFonts w:ascii="Arial" w:hAnsi="Arial" w:cs="Arial"/>
                <w:sz w:val="20"/>
                <w:szCs w:val="20"/>
              </w:rPr>
              <w:t>R</w:t>
            </w:r>
            <w:r w:rsidR="00461F75">
              <w:rPr>
                <w:rFonts w:ascii="Arial" w:hAnsi="Arial" w:cs="Arial"/>
                <w:sz w:val="20"/>
                <w:szCs w:val="20"/>
              </w:rPr>
              <w:t>A02</w:t>
            </w:r>
          </w:p>
        </w:tc>
        <w:tc>
          <w:tcPr>
            <w:tcW w:w="1350" w:type="dxa"/>
            <w:shd w:val="clear" w:color="auto" w:fill="auto"/>
          </w:tcPr>
          <w:p w:rsidR="000C4349" w:rsidRPr="008C684A" w:rsidRDefault="000C4349" w:rsidP="00BB32C1">
            <w:pPr>
              <w:rPr>
                <w:rFonts w:ascii="Arial" w:hAnsi="Arial" w:cs="Arial"/>
                <w:sz w:val="20"/>
                <w:szCs w:val="20"/>
              </w:rPr>
            </w:pPr>
            <w:r>
              <w:rPr>
                <w:rFonts w:ascii="Arial" w:hAnsi="Arial" w:cs="Arial"/>
                <w:sz w:val="20"/>
                <w:szCs w:val="20"/>
              </w:rPr>
              <w:t>ROB</w:t>
            </w:r>
          </w:p>
        </w:tc>
        <w:tc>
          <w:tcPr>
            <w:tcW w:w="1800" w:type="dxa"/>
            <w:shd w:val="clear" w:color="auto" w:fill="auto"/>
          </w:tcPr>
          <w:p w:rsidR="000C4349" w:rsidRPr="008C684A" w:rsidRDefault="00461F75" w:rsidP="00BB32C1">
            <w:pPr>
              <w:rPr>
                <w:rFonts w:ascii="Arial" w:hAnsi="Arial" w:cs="Arial"/>
                <w:sz w:val="20"/>
                <w:szCs w:val="20"/>
              </w:rPr>
            </w:pPr>
            <w:r>
              <w:rPr>
                <w:rFonts w:ascii="Arial" w:hAnsi="Arial" w:cs="Arial"/>
                <w:sz w:val="20"/>
                <w:szCs w:val="20"/>
              </w:rPr>
              <w:t>Federal Code</w:t>
            </w:r>
          </w:p>
        </w:tc>
        <w:tc>
          <w:tcPr>
            <w:tcW w:w="1440" w:type="dxa"/>
            <w:shd w:val="clear" w:color="auto" w:fill="auto"/>
          </w:tcPr>
          <w:p w:rsidR="000C4349" w:rsidRPr="005608F4" w:rsidRDefault="000C4349" w:rsidP="00461F75">
            <w:pPr>
              <w:rPr>
                <w:rFonts w:ascii="Arial" w:hAnsi="Arial" w:cs="Arial"/>
                <w:sz w:val="20"/>
                <w:szCs w:val="20"/>
              </w:rPr>
            </w:pPr>
            <w:r w:rsidRPr="005608F4">
              <w:rPr>
                <w:rFonts w:ascii="Arial" w:hAnsi="Arial" w:cs="Arial"/>
                <w:sz w:val="20"/>
                <w:szCs w:val="20"/>
              </w:rPr>
              <w:t>$</w:t>
            </w:r>
            <w:r w:rsidR="00461F75">
              <w:rPr>
                <w:rFonts w:ascii="Arial" w:hAnsi="Arial" w:cs="Arial"/>
                <w:sz w:val="20"/>
                <w:szCs w:val="20"/>
              </w:rPr>
              <w:t>592.87</w:t>
            </w:r>
          </w:p>
        </w:tc>
        <w:tc>
          <w:tcPr>
            <w:tcW w:w="1341" w:type="dxa"/>
            <w:shd w:val="clear" w:color="auto" w:fill="auto"/>
          </w:tcPr>
          <w:p w:rsidR="000C4349" w:rsidRPr="005608F4" w:rsidRDefault="000C4349" w:rsidP="00461F75">
            <w:pPr>
              <w:rPr>
                <w:rFonts w:ascii="Arial" w:hAnsi="Arial" w:cs="Arial"/>
                <w:sz w:val="20"/>
                <w:szCs w:val="20"/>
              </w:rPr>
            </w:pPr>
            <w:r>
              <w:rPr>
                <w:rFonts w:ascii="Arial" w:hAnsi="Arial" w:cs="Arial"/>
                <w:sz w:val="20"/>
                <w:szCs w:val="20"/>
              </w:rPr>
              <w:t>$</w:t>
            </w:r>
            <w:r w:rsidR="00461F75">
              <w:rPr>
                <w:rFonts w:ascii="Arial" w:hAnsi="Arial" w:cs="Arial"/>
                <w:sz w:val="20"/>
                <w:szCs w:val="20"/>
              </w:rPr>
              <w:t>163.33</w:t>
            </w:r>
          </w:p>
        </w:tc>
        <w:tc>
          <w:tcPr>
            <w:tcW w:w="1513" w:type="dxa"/>
            <w:shd w:val="clear" w:color="auto" w:fill="auto"/>
          </w:tcPr>
          <w:p w:rsidR="000C4349" w:rsidRPr="005608F4" w:rsidRDefault="000C4349" w:rsidP="00BB32C1">
            <w:pPr>
              <w:rPr>
                <w:rFonts w:ascii="Arial" w:hAnsi="Arial" w:cs="Arial"/>
                <w:sz w:val="20"/>
                <w:szCs w:val="20"/>
              </w:rPr>
            </w:pPr>
            <w:r w:rsidRPr="005608F4">
              <w:rPr>
                <w:rFonts w:ascii="Arial" w:hAnsi="Arial" w:cs="Arial"/>
                <w:sz w:val="20"/>
                <w:szCs w:val="20"/>
              </w:rPr>
              <w:t>$0</w:t>
            </w:r>
          </w:p>
        </w:tc>
        <w:tc>
          <w:tcPr>
            <w:tcW w:w="1214" w:type="dxa"/>
            <w:shd w:val="clear" w:color="auto" w:fill="auto"/>
          </w:tcPr>
          <w:p w:rsidR="000C4349" w:rsidRPr="005608F4" w:rsidRDefault="000C4349" w:rsidP="00461F75">
            <w:pPr>
              <w:rPr>
                <w:rFonts w:ascii="Arial" w:hAnsi="Arial" w:cs="Arial"/>
                <w:sz w:val="20"/>
                <w:szCs w:val="20"/>
              </w:rPr>
            </w:pPr>
            <w:r w:rsidRPr="005608F4">
              <w:rPr>
                <w:rFonts w:ascii="Arial" w:hAnsi="Arial" w:cs="Arial"/>
                <w:sz w:val="20"/>
                <w:szCs w:val="20"/>
              </w:rPr>
              <w:t>$</w:t>
            </w:r>
            <w:r w:rsidR="00461F75">
              <w:rPr>
                <w:rFonts w:ascii="Arial" w:hAnsi="Arial" w:cs="Arial"/>
                <w:sz w:val="20"/>
                <w:szCs w:val="20"/>
              </w:rPr>
              <w:t>756.20</w:t>
            </w:r>
          </w:p>
        </w:tc>
      </w:tr>
    </w:tbl>
    <w:p w:rsidR="00B624B3" w:rsidRPr="00DD1C47" w:rsidRDefault="00B624B3" w:rsidP="00B624B3">
      <w:pPr>
        <w:rPr>
          <w:rFonts w:ascii="Arial" w:hAnsi="Arial" w:cs="Arial"/>
          <w:i/>
          <w:sz w:val="20"/>
          <w:szCs w:val="20"/>
        </w:rPr>
      </w:pPr>
      <w:r w:rsidRPr="00DD1C47">
        <w:rPr>
          <w:rFonts w:ascii="Arial" w:hAnsi="Arial" w:cs="Arial"/>
          <w:i/>
          <w:sz w:val="20"/>
          <w:szCs w:val="20"/>
        </w:rPr>
        <w:t>All costs are noted as $ per measure unit</w:t>
      </w:r>
    </w:p>
    <w:p w:rsidR="00B624B3" w:rsidRDefault="00B624B3" w:rsidP="00B624B3">
      <w:pPr>
        <w:rPr>
          <w:i/>
        </w:rPr>
      </w:pPr>
    </w:p>
    <w:p w:rsidR="00B624B3" w:rsidRDefault="00B624B3" w:rsidP="00B624B3">
      <w:pPr>
        <w:pStyle w:val="Heading2"/>
        <w:keepNext w:val="0"/>
        <w:ind w:left="576" w:hanging="576"/>
      </w:pPr>
      <w:bookmarkStart w:id="108" w:name="_Toc387912016"/>
      <w:bookmarkStart w:id="109" w:name="_Toc389487668"/>
      <w:r>
        <w:t>4.3 Incremental &amp; Full Measure Costs</w:t>
      </w:r>
      <w:bookmarkEnd w:id="108"/>
      <w:bookmarkEnd w:id="109"/>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662D0" w:rsidRPr="003F57BD" w:rsidTr="00D41579">
        <w:trPr>
          <w:trHeight w:val="255"/>
        </w:trPr>
        <w:tc>
          <w:tcPr>
            <w:tcW w:w="1305" w:type="dxa"/>
            <w:shd w:val="clear" w:color="auto" w:fill="0D0D0D"/>
            <w:noWrap/>
            <w:vAlign w:val="bottom"/>
          </w:tcPr>
          <w:p w:rsidR="003662D0" w:rsidRPr="00623BA1" w:rsidRDefault="003662D0" w:rsidP="00D41579">
            <w:pPr>
              <w:jc w:val="center"/>
              <w:rPr>
                <w:rFonts w:cs="Arial"/>
                <w:b/>
                <w:sz w:val="20"/>
                <w:szCs w:val="20"/>
              </w:rPr>
            </w:pPr>
            <w:r>
              <w:rPr>
                <w:rFonts w:cs="Arial"/>
                <w:b/>
                <w:sz w:val="20"/>
                <w:szCs w:val="20"/>
              </w:rPr>
              <w:t>Measure Application</w:t>
            </w:r>
            <w:r w:rsidRPr="00623BA1">
              <w:rPr>
                <w:rFonts w:cs="Arial"/>
                <w:b/>
                <w:sz w:val="20"/>
                <w:szCs w:val="20"/>
              </w:rPr>
              <w:t xml:space="preserve"> Type</w:t>
            </w:r>
          </w:p>
        </w:tc>
        <w:tc>
          <w:tcPr>
            <w:tcW w:w="3213" w:type="dxa"/>
            <w:shd w:val="clear" w:color="auto" w:fill="0D0D0D"/>
            <w:vAlign w:val="bottom"/>
          </w:tcPr>
          <w:p w:rsidR="003662D0" w:rsidRPr="00623BA1" w:rsidRDefault="003662D0" w:rsidP="00D41579">
            <w:pPr>
              <w:jc w:val="center"/>
              <w:rPr>
                <w:rFonts w:cs="Arial"/>
                <w:b/>
                <w:sz w:val="20"/>
                <w:szCs w:val="20"/>
              </w:rPr>
            </w:pPr>
            <w:r>
              <w:rPr>
                <w:rFonts w:cs="Arial"/>
                <w:b/>
                <w:sz w:val="20"/>
                <w:szCs w:val="20"/>
              </w:rPr>
              <w:t>Full</w:t>
            </w:r>
            <w:r w:rsidRPr="00623BA1">
              <w:rPr>
                <w:rFonts w:cs="Arial"/>
                <w:b/>
                <w:sz w:val="20"/>
                <w:szCs w:val="20"/>
              </w:rPr>
              <w:t xml:space="preserve"> Measure Cost</w:t>
            </w:r>
          </w:p>
          <w:p w:rsidR="003662D0" w:rsidRPr="00623BA1" w:rsidRDefault="003662D0" w:rsidP="00D41579">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rsidR="003662D0" w:rsidRPr="00623BA1" w:rsidRDefault="003662D0" w:rsidP="00D41579">
            <w:pPr>
              <w:jc w:val="center"/>
              <w:rPr>
                <w:rFonts w:cs="Arial"/>
                <w:b/>
                <w:sz w:val="20"/>
                <w:szCs w:val="20"/>
              </w:rPr>
            </w:pPr>
            <w:r>
              <w:rPr>
                <w:rFonts w:cs="Arial"/>
                <w:b/>
                <w:sz w:val="20"/>
                <w:szCs w:val="20"/>
              </w:rPr>
              <w:t>Full</w:t>
            </w:r>
            <w:r w:rsidRPr="00623BA1">
              <w:rPr>
                <w:rFonts w:cs="Arial"/>
                <w:b/>
                <w:sz w:val="20"/>
                <w:szCs w:val="20"/>
              </w:rPr>
              <w:t xml:space="preserve"> Measure Cost</w:t>
            </w:r>
          </w:p>
          <w:p w:rsidR="003662D0" w:rsidRPr="00623BA1" w:rsidRDefault="003662D0" w:rsidP="00D41579">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rsidR="003662D0" w:rsidRPr="00623BA1" w:rsidRDefault="003662D0" w:rsidP="00D41579">
            <w:pPr>
              <w:jc w:val="center"/>
              <w:rPr>
                <w:rFonts w:cs="Arial"/>
                <w:b/>
                <w:sz w:val="20"/>
                <w:szCs w:val="20"/>
              </w:rPr>
            </w:pPr>
            <w:r w:rsidRPr="00623BA1">
              <w:rPr>
                <w:rFonts w:cs="Arial"/>
                <w:b/>
                <w:sz w:val="20"/>
                <w:szCs w:val="20"/>
              </w:rPr>
              <w:t>Incremental Measure Cost</w:t>
            </w:r>
          </w:p>
        </w:tc>
      </w:tr>
      <w:tr w:rsidR="003662D0" w:rsidRPr="003F57BD" w:rsidTr="00D41579">
        <w:trPr>
          <w:trHeight w:val="170"/>
        </w:trPr>
        <w:tc>
          <w:tcPr>
            <w:tcW w:w="1305" w:type="dxa"/>
            <w:shd w:val="pct5" w:color="000000" w:fill="FFFFFF"/>
            <w:noWrap/>
            <w:vAlign w:val="bottom"/>
          </w:tcPr>
          <w:p w:rsidR="003662D0" w:rsidRPr="00623BA1" w:rsidRDefault="003662D0" w:rsidP="00D41579">
            <w:pPr>
              <w:jc w:val="center"/>
              <w:rPr>
                <w:rFonts w:cs="Arial"/>
                <w:sz w:val="20"/>
                <w:szCs w:val="20"/>
              </w:rPr>
            </w:pPr>
            <w:r w:rsidRPr="00623BA1">
              <w:rPr>
                <w:rFonts w:cs="Arial"/>
                <w:sz w:val="20"/>
                <w:szCs w:val="20"/>
              </w:rPr>
              <w:t>ROB</w:t>
            </w:r>
          </w:p>
        </w:tc>
        <w:tc>
          <w:tcPr>
            <w:tcW w:w="3213" w:type="dxa"/>
            <w:shd w:val="pct5" w:color="000000" w:fill="FFFFFF"/>
            <w:vAlign w:val="bottom"/>
          </w:tcPr>
          <w:p w:rsidR="003662D0" w:rsidRPr="00623BA1" w:rsidRDefault="003662D0" w:rsidP="00D41579">
            <w:pPr>
              <w:jc w:val="center"/>
              <w:rPr>
                <w:rFonts w:cs="Arial"/>
                <w:sz w:val="20"/>
                <w:szCs w:val="20"/>
              </w:rPr>
            </w:pPr>
            <w:r w:rsidRPr="00623BA1">
              <w:rPr>
                <w:rFonts w:cs="Arial"/>
                <w:sz w:val="20"/>
                <w:szCs w:val="20"/>
              </w:rPr>
              <w:t xml:space="preserve">Measure Equipment Cost </w:t>
            </w:r>
          </w:p>
          <w:p w:rsidR="003662D0" w:rsidRPr="00623BA1" w:rsidRDefault="003662D0" w:rsidP="00D41579">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rsidR="003662D0" w:rsidRPr="00623BA1" w:rsidRDefault="003662D0" w:rsidP="00D41579">
            <w:pPr>
              <w:jc w:val="center"/>
              <w:rPr>
                <w:rFonts w:cs="Arial"/>
                <w:sz w:val="20"/>
                <w:szCs w:val="20"/>
              </w:rPr>
            </w:pPr>
            <w:r w:rsidRPr="00623BA1">
              <w:rPr>
                <w:rFonts w:cs="Arial"/>
                <w:sz w:val="20"/>
                <w:szCs w:val="20"/>
              </w:rPr>
              <w:t>N/A</w:t>
            </w:r>
          </w:p>
        </w:tc>
        <w:tc>
          <w:tcPr>
            <w:tcW w:w="2970" w:type="dxa"/>
            <w:shd w:val="pct5" w:color="000000" w:fill="FFFFFF"/>
            <w:vAlign w:val="bottom"/>
          </w:tcPr>
          <w:p w:rsidR="003662D0" w:rsidRPr="00623BA1" w:rsidRDefault="003662D0" w:rsidP="00D41579">
            <w:pPr>
              <w:jc w:val="center"/>
              <w:rPr>
                <w:rFonts w:cs="Arial"/>
                <w:sz w:val="20"/>
                <w:szCs w:val="20"/>
              </w:rPr>
            </w:pPr>
            <w:r w:rsidRPr="00623BA1">
              <w:rPr>
                <w:rFonts w:cs="Arial"/>
                <w:sz w:val="20"/>
                <w:szCs w:val="20"/>
              </w:rPr>
              <w:t xml:space="preserve">Measure Equipment Cost </w:t>
            </w:r>
          </w:p>
          <w:p w:rsidR="003662D0" w:rsidRPr="00623BA1" w:rsidRDefault="003662D0" w:rsidP="00D41579">
            <w:pPr>
              <w:jc w:val="center"/>
              <w:rPr>
                <w:rFonts w:cs="Arial"/>
                <w:sz w:val="20"/>
                <w:szCs w:val="20"/>
              </w:rPr>
            </w:pPr>
            <w:r w:rsidRPr="00623BA1">
              <w:rPr>
                <w:rFonts w:cs="Arial"/>
                <w:sz w:val="20"/>
                <w:szCs w:val="20"/>
              </w:rPr>
              <w:t>– Base Case Equipment Cost</w:t>
            </w:r>
          </w:p>
        </w:tc>
      </w:tr>
    </w:tbl>
    <w:p w:rsidR="003662D0" w:rsidRDefault="003662D0" w:rsidP="003662D0"/>
    <w:p w:rsidR="00B624B3" w:rsidRPr="003F57BD" w:rsidRDefault="00B624B3" w:rsidP="00B624B3">
      <w:pPr>
        <w:pStyle w:val="Heading3"/>
        <w:ind w:left="720" w:hanging="720"/>
      </w:pPr>
      <w:bookmarkStart w:id="110" w:name="_Toc387912017"/>
      <w:bookmarkStart w:id="111" w:name="_Toc389487669"/>
      <w:r w:rsidRPr="003F57BD">
        <w:t xml:space="preserve">4.3.1 </w:t>
      </w:r>
      <w:r w:rsidR="007C4FF7">
        <w:t>Full</w:t>
      </w:r>
      <w:r w:rsidR="007C4FF7" w:rsidRPr="003F57BD">
        <w:t xml:space="preserve"> </w:t>
      </w:r>
      <w:r w:rsidRPr="003F57BD">
        <w:t>Measure Cost</w:t>
      </w:r>
      <w:bookmarkEnd w:id="110"/>
      <w:bookmarkEnd w:id="111"/>
    </w:p>
    <w:p w:rsidR="007C4FF7" w:rsidRDefault="007C4FF7" w:rsidP="000E4432">
      <w:pPr>
        <w:rPr>
          <w:rFonts w:ascii="Arial" w:hAnsi="Arial" w:cs="Arial"/>
          <w:sz w:val="20"/>
          <w:szCs w:val="20"/>
        </w:rPr>
      </w:pPr>
      <w:r w:rsidRPr="007C4FF7">
        <w:rPr>
          <w:rFonts w:ascii="Arial" w:hAnsi="Arial" w:cs="Arial"/>
          <w:sz w:val="20"/>
          <w:szCs w:val="20"/>
        </w:rPr>
        <w:t xml:space="preserve">Full Measure Cost is the cost to install an energy efficient measure per the CPUC calculators. This definition implies a different meaning depending on the </w:t>
      </w:r>
      <w:r w:rsidR="00F331C8">
        <w:rPr>
          <w:rFonts w:ascii="Arial" w:hAnsi="Arial" w:cs="Arial"/>
          <w:sz w:val="20"/>
          <w:szCs w:val="20"/>
        </w:rPr>
        <w:t>Measure Application T</w:t>
      </w:r>
      <w:r>
        <w:rPr>
          <w:rFonts w:ascii="Arial" w:hAnsi="Arial" w:cs="Arial"/>
          <w:sz w:val="20"/>
          <w:szCs w:val="20"/>
        </w:rPr>
        <w:t xml:space="preserve">ype. </w:t>
      </w:r>
    </w:p>
    <w:p w:rsidR="007C4FF7" w:rsidRDefault="007C4FF7" w:rsidP="000E4432">
      <w:pPr>
        <w:rPr>
          <w:rFonts w:ascii="Arial" w:hAnsi="Arial" w:cs="Arial"/>
          <w:sz w:val="20"/>
          <w:szCs w:val="20"/>
        </w:rPr>
      </w:pPr>
    </w:p>
    <w:p w:rsidR="000E4432" w:rsidRPr="0055577D" w:rsidRDefault="000E4432" w:rsidP="000E4432">
      <w:pPr>
        <w:rPr>
          <w:rFonts w:ascii="Arial" w:hAnsi="Arial" w:cs="Arial"/>
          <w:sz w:val="20"/>
          <w:szCs w:val="20"/>
        </w:rPr>
      </w:pPr>
      <w:r w:rsidRPr="0055577D">
        <w:rPr>
          <w:rFonts w:ascii="Arial" w:hAnsi="Arial" w:cs="Arial"/>
          <w:sz w:val="20"/>
          <w:szCs w:val="20"/>
        </w:rPr>
        <w:t xml:space="preserve">This </w:t>
      </w:r>
      <w:r w:rsidR="00F331C8">
        <w:rPr>
          <w:rFonts w:ascii="Arial" w:hAnsi="Arial" w:cs="Arial"/>
          <w:sz w:val="20"/>
          <w:szCs w:val="20"/>
        </w:rPr>
        <w:t>Measure Application Type</w:t>
      </w:r>
      <w:r w:rsidRPr="0055577D">
        <w:rPr>
          <w:rFonts w:ascii="Arial" w:hAnsi="Arial" w:cs="Arial"/>
          <w:sz w:val="20"/>
          <w:szCs w:val="20"/>
        </w:rPr>
        <w:t xml:space="preserve"> is ROB, so the </w:t>
      </w:r>
      <w:r w:rsidR="007C4FF7">
        <w:rPr>
          <w:rFonts w:ascii="Arial" w:hAnsi="Arial" w:cs="Arial"/>
          <w:sz w:val="20"/>
          <w:szCs w:val="20"/>
        </w:rPr>
        <w:t>Full</w:t>
      </w:r>
      <w:r w:rsidR="007C4FF7" w:rsidRPr="0055577D">
        <w:rPr>
          <w:rFonts w:ascii="Arial" w:hAnsi="Arial" w:cs="Arial"/>
          <w:sz w:val="20"/>
          <w:szCs w:val="20"/>
        </w:rPr>
        <w:t xml:space="preserve"> </w:t>
      </w:r>
      <w:r w:rsidRPr="0055577D">
        <w:rPr>
          <w:rFonts w:ascii="Arial" w:hAnsi="Arial" w:cs="Arial"/>
          <w:sz w:val="20"/>
          <w:szCs w:val="20"/>
        </w:rPr>
        <w:t>Measure Cost (</w:t>
      </w:r>
      <w:r w:rsidR="007C4FF7">
        <w:rPr>
          <w:rFonts w:ascii="Arial" w:hAnsi="Arial" w:cs="Arial"/>
          <w:sz w:val="20"/>
          <w:szCs w:val="20"/>
        </w:rPr>
        <w:t>F</w:t>
      </w:r>
      <w:r w:rsidRPr="0055577D">
        <w:rPr>
          <w:rFonts w:ascii="Arial" w:hAnsi="Arial" w:cs="Arial"/>
          <w:sz w:val="20"/>
          <w:szCs w:val="20"/>
        </w:rPr>
        <w:t>MC) is represented by the equation below:</w:t>
      </w:r>
    </w:p>
    <w:p w:rsidR="00B624B3" w:rsidRPr="000E4432" w:rsidRDefault="00B624B3" w:rsidP="00B624B3">
      <w:pPr>
        <w:rPr>
          <w:rFonts w:ascii="Arial" w:hAnsi="Arial" w:cs="Arial"/>
          <w:sz w:val="20"/>
          <w:szCs w:val="20"/>
        </w:rPr>
      </w:pPr>
    </w:p>
    <w:p w:rsidR="008F1968" w:rsidRPr="000E4432" w:rsidRDefault="007C4FF7" w:rsidP="008F1968">
      <w:pPr>
        <w:ind w:firstLine="720"/>
        <w:rPr>
          <w:rFonts w:ascii="Arial" w:hAnsi="Arial" w:cs="Arial"/>
          <w:sz w:val="20"/>
          <w:szCs w:val="20"/>
        </w:rPr>
      </w:pPr>
      <w:r>
        <w:rPr>
          <w:rFonts w:ascii="Arial" w:hAnsi="Arial" w:cs="Arial"/>
          <w:sz w:val="20"/>
          <w:szCs w:val="20"/>
        </w:rPr>
        <w:t>F</w:t>
      </w:r>
      <w:r w:rsidR="00B624B3" w:rsidRPr="000E4432">
        <w:rPr>
          <w:rFonts w:ascii="Arial" w:hAnsi="Arial" w:cs="Arial"/>
          <w:sz w:val="20"/>
          <w:szCs w:val="20"/>
        </w:rPr>
        <w:t xml:space="preserve">MC = </w:t>
      </w:r>
      <w:r w:rsidR="008F1968" w:rsidRPr="000E4432">
        <w:rPr>
          <w:rFonts w:ascii="Arial" w:hAnsi="Arial" w:cs="Arial"/>
          <w:sz w:val="20"/>
          <w:szCs w:val="20"/>
        </w:rPr>
        <w:t>Measure Equipment Cost + Measure Labor Cost) –</w:t>
      </w:r>
    </w:p>
    <w:p w:rsidR="008F1968" w:rsidRPr="000E4432" w:rsidRDefault="008F1968" w:rsidP="008F1968">
      <w:pPr>
        <w:ind w:left="720" w:firstLine="720"/>
        <w:rPr>
          <w:rFonts w:ascii="Arial" w:hAnsi="Arial" w:cs="Arial"/>
          <w:sz w:val="20"/>
          <w:szCs w:val="20"/>
        </w:rPr>
      </w:pPr>
      <w:r w:rsidRPr="000E4432">
        <w:rPr>
          <w:rFonts w:ascii="Arial" w:hAnsi="Arial" w:cs="Arial"/>
          <w:sz w:val="20"/>
          <w:szCs w:val="20"/>
        </w:rPr>
        <w:t xml:space="preserve">    (Base Case Equipment Cost + Base Case Labor Cost)</w:t>
      </w:r>
    </w:p>
    <w:p w:rsidR="000E4432" w:rsidRPr="000E4432" w:rsidRDefault="000E4432" w:rsidP="000E4432">
      <w:pPr>
        <w:rPr>
          <w:rFonts w:ascii="Arial" w:hAnsi="Arial" w:cs="Arial"/>
          <w:sz w:val="20"/>
          <w:szCs w:val="20"/>
        </w:rPr>
      </w:pPr>
    </w:p>
    <w:p w:rsidR="00BB12D2" w:rsidRPr="00CA2AF9" w:rsidRDefault="00BB12D2" w:rsidP="00BB12D2">
      <w:pPr>
        <w:ind w:left="720" w:right="720"/>
        <w:rPr>
          <w:rFonts w:ascii="Arial" w:hAnsi="Arial" w:cs="Arial"/>
          <w:sz w:val="20"/>
          <w:szCs w:val="20"/>
        </w:rPr>
      </w:pPr>
      <w:r w:rsidRPr="00CA2AF9">
        <w:rPr>
          <w:rFonts w:ascii="Arial" w:hAnsi="Arial" w:cs="Arial"/>
          <w:sz w:val="20"/>
          <w:szCs w:val="20"/>
        </w:rPr>
        <w:t>*Note: We assume that, unless stated otherwise, the measure case labor and base case labor are assumed to be the same value reducing the equation to the following:</w:t>
      </w:r>
    </w:p>
    <w:p w:rsidR="00BB12D2" w:rsidRPr="00133C60" w:rsidRDefault="00BB12D2" w:rsidP="00BB12D2">
      <w:pPr>
        <w:ind w:left="720" w:right="720"/>
        <w:rPr>
          <w:rFonts w:ascii="Arial" w:hAnsi="Arial" w:cs="Arial"/>
          <w:sz w:val="20"/>
          <w:szCs w:val="20"/>
          <w:highlight w:val="yellow"/>
        </w:rPr>
      </w:pPr>
    </w:p>
    <w:p w:rsidR="00BB12D2" w:rsidRPr="00CA2AF9" w:rsidRDefault="007C4FF7" w:rsidP="00BB12D2">
      <w:pPr>
        <w:ind w:firstLine="720"/>
        <w:rPr>
          <w:rFonts w:ascii="Arial" w:hAnsi="Arial" w:cs="Arial"/>
          <w:i/>
          <w:sz w:val="20"/>
          <w:szCs w:val="20"/>
        </w:rPr>
      </w:pPr>
      <w:r>
        <w:rPr>
          <w:rFonts w:ascii="Arial" w:hAnsi="Arial" w:cs="Arial"/>
          <w:sz w:val="20"/>
          <w:szCs w:val="20"/>
        </w:rPr>
        <w:t>F</w:t>
      </w:r>
      <w:r w:rsidR="00BB12D2" w:rsidRPr="00CA2AF9">
        <w:rPr>
          <w:rFonts w:ascii="Arial" w:hAnsi="Arial" w:cs="Arial"/>
          <w:sz w:val="20"/>
          <w:szCs w:val="20"/>
        </w:rPr>
        <w:t>MC = Measure Equipment Cost – Base Case Equipment</w:t>
      </w:r>
      <w:r w:rsidR="00BB12D2" w:rsidRPr="00CA2AF9">
        <w:rPr>
          <w:rFonts w:ascii="Arial" w:hAnsi="Arial" w:cs="Arial"/>
          <w:i/>
          <w:sz w:val="20"/>
          <w:szCs w:val="20"/>
        </w:rPr>
        <w:t xml:space="preserve"> Cost</w:t>
      </w:r>
    </w:p>
    <w:p w:rsidR="00BB12D2" w:rsidRPr="00133C60" w:rsidRDefault="00BB12D2" w:rsidP="00BB12D2">
      <w:pPr>
        <w:ind w:firstLine="720"/>
        <w:rPr>
          <w:rFonts w:ascii="Arial" w:hAnsi="Arial" w:cs="Arial"/>
          <w:i/>
          <w:sz w:val="20"/>
          <w:szCs w:val="20"/>
          <w:highlight w:val="yellow"/>
        </w:rPr>
      </w:pPr>
    </w:p>
    <w:p w:rsidR="00F76C83" w:rsidRDefault="007C4FF7" w:rsidP="00BB12D2">
      <w:pPr>
        <w:ind w:firstLine="720"/>
        <w:rPr>
          <w:rFonts w:ascii="Arial" w:hAnsi="Arial" w:cs="Arial"/>
          <w:i/>
          <w:strike/>
          <w:sz w:val="20"/>
          <w:szCs w:val="20"/>
        </w:rPr>
      </w:pPr>
      <w:bookmarkStart w:id="112" w:name="OLE_LINK4"/>
      <w:bookmarkStart w:id="113" w:name="OLE_LINK5"/>
      <w:r>
        <w:rPr>
          <w:rFonts w:ascii="Arial" w:hAnsi="Arial" w:cs="Arial"/>
          <w:i/>
          <w:sz w:val="20"/>
          <w:szCs w:val="20"/>
        </w:rPr>
        <w:t>F</w:t>
      </w:r>
      <w:r w:rsidR="00CA2AF9" w:rsidRPr="00516C89">
        <w:rPr>
          <w:rFonts w:ascii="Arial" w:hAnsi="Arial" w:cs="Arial"/>
          <w:i/>
          <w:sz w:val="20"/>
          <w:szCs w:val="20"/>
        </w:rPr>
        <w:t>MC = $</w:t>
      </w:r>
      <w:r w:rsidR="00461F75">
        <w:rPr>
          <w:rFonts w:ascii="Arial" w:hAnsi="Arial" w:cs="Arial"/>
          <w:i/>
          <w:sz w:val="20"/>
          <w:szCs w:val="20"/>
        </w:rPr>
        <w:t xml:space="preserve">756.20 </w:t>
      </w:r>
      <w:r w:rsidR="00BB12D2" w:rsidRPr="00516C89">
        <w:rPr>
          <w:rFonts w:ascii="Arial" w:hAnsi="Arial" w:cs="Arial"/>
          <w:i/>
          <w:sz w:val="20"/>
          <w:szCs w:val="20"/>
        </w:rPr>
        <w:t>per</w:t>
      </w:r>
      <w:r w:rsidR="00CA2AF9" w:rsidRPr="00516C89">
        <w:rPr>
          <w:rFonts w:ascii="Arial" w:hAnsi="Arial" w:cs="Arial"/>
          <w:i/>
          <w:sz w:val="20"/>
          <w:szCs w:val="20"/>
        </w:rPr>
        <w:t xml:space="preserve"> </w:t>
      </w:r>
      <w:r w:rsidR="00461F75">
        <w:rPr>
          <w:rFonts w:ascii="Arial" w:hAnsi="Arial" w:cs="Arial"/>
          <w:i/>
          <w:sz w:val="20"/>
          <w:szCs w:val="20"/>
        </w:rPr>
        <w:t>len-ft</w:t>
      </w:r>
      <w:r w:rsidR="00BB12D2" w:rsidRPr="00516C89">
        <w:rPr>
          <w:rFonts w:ascii="Arial" w:hAnsi="Arial" w:cs="Arial"/>
          <w:i/>
          <w:sz w:val="20"/>
          <w:szCs w:val="20"/>
        </w:rPr>
        <w:t xml:space="preserve"> - $</w:t>
      </w:r>
      <w:r w:rsidR="00461F75">
        <w:rPr>
          <w:rFonts w:ascii="Arial" w:hAnsi="Arial" w:cs="Arial"/>
          <w:i/>
          <w:sz w:val="20"/>
          <w:szCs w:val="20"/>
        </w:rPr>
        <w:t>714.25</w:t>
      </w:r>
      <w:r w:rsidR="00BB12D2" w:rsidRPr="00516C89">
        <w:rPr>
          <w:rFonts w:ascii="Arial" w:hAnsi="Arial" w:cs="Arial"/>
          <w:i/>
          <w:sz w:val="20"/>
          <w:szCs w:val="20"/>
        </w:rPr>
        <w:t xml:space="preserve"> per </w:t>
      </w:r>
      <w:r w:rsidR="00461F75">
        <w:rPr>
          <w:rFonts w:ascii="Arial" w:hAnsi="Arial" w:cs="Arial"/>
          <w:i/>
          <w:sz w:val="20"/>
          <w:szCs w:val="20"/>
        </w:rPr>
        <w:t>len-ft</w:t>
      </w:r>
      <w:r w:rsidR="00BB12D2" w:rsidRPr="00516C89">
        <w:rPr>
          <w:rFonts w:ascii="Arial" w:hAnsi="Arial" w:cs="Arial"/>
          <w:i/>
          <w:sz w:val="20"/>
          <w:szCs w:val="20"/>
        </w:rPr>
        <w:t xml:space="preserve"> = $</w:t>
      </w:r>
      <w:r w:rsidR="00461F75">
        <w:rPr>
          <w:rFonts w:ascii="Arial" w:hAnsi="Arial" w:cs="Arial"/>
          <w:i/>
          <w:sz w:val="20"/>
          <w:szCs w:val="20"/>
        </w:rPr>
        <w:t>41.95</w:t>
      </w:r>
      <w:r w:rsidR="00BB12D2" w:rsidRPr="00516C89">
        <w:rPr>
          <w:rFonts w:ascii="Arial" w:hAnsi="Arial" w:cs="Arial"/>
          <w:i/>
          <w:sz w:val="20"/>
          <w:szCs w:val="20"/>
        </w:rPr>
        <w:t xml:space="preserve"> per</w:t>
      </w:r>
      <w:r w:rsidR="00461F75">
        <w:rPr>
          <w:rFonts w:ascii="Arial" w:hAnsi="Arial" w:cs="Arial"/>
          <w:i/>
          <w:sz w:val="20"/>
          <w:szCs w:val="20"/>
        </w:rPr>
        <w:t xml:space="preserve"> len-ft</w:t>
      </w:r>
      <w:r w:rsidR="00BB12D2" w:rsidRPr="00516C89">
        <w:rPr>
          <w:rFonts w:ascii="Arial" w:hAnsi="Arial" w:cs="Arial"/>
          <w:i/>
          <w:sz w:val="20"/>
          <w:szCs w:val="20"/>
        </w:rPr>
        <w:t xml:space="preserve"> </w:t>
      </w:r>
    </w:p>
    <w:bookmarkEnd w:id="112"/>
    <w:bookmarkEnd w:id="113"/>
    <w:p w:rsidR="00516C89" w:rsidRDefault="00516C89" w:rsidP="00BB12D2">
      <w:pPr>
        <w:ind w:firstLine="720"/>
        <w:rPr>
          <w:rFonts w:ascii="Arial" w:hAnsi="Arial" w:cs="Arial"/>
          <w:i/>
          <w:strike/>
          <w:sz w:val="20"/>
          <w:szCs w:val="20"/>
        </w:rPr>
      </w:pPr>
    </w:p>
    <w:p w:rsidR="00B624B3" w:rsidRPr="003F57BD" w:rsidRDefault="00B624B3" w:rsidP="00B624B3">
      <w:pPr>
        <w:rPr>
          <w:rFonts w:ascii="Arial" w:hAnsi="Arial" w:cs="Arial"/>
          <w:sz w:val="20"/>
          <w:szCs w:val="20"/>
        </w:rPr>
      </w:pPr>
      <w:r w:rsidRPr="00D51A9B">
        <w:rPr>
          <w:rFonts w:ascii="Arial" w:hAnsi="Arial" w:cs="Arial"/>
          <w:sz w:val="20"/>
          <w:szCs w:val="20"/>
        </w:rPr>
        <w:tab/>
      </w:r>
      <w:r w:rsidRPr="00D51A9B">
        <w:rPr>
          <w:rFonts w:ascii="Arial" w:hAnsi="Arial" w:cs="Arial"/>
          <w:sz w:val="20"/>
          <w:szCs w:val="20"/>
        </w:rPr>
        <w:tab/>
      </w:r>
      <w:r w:rsidRPr="00D51A9B">
        <w:rPr>
          <w:rFonts w:ascii="Arial" w:hAnsi="Arial" w:cs="Arial"/>
          <w:sz w:val="20"/>
          <w:szCs w:val="20"/>
        </w:rPr>
        <w:tab/>
      </w:r>
      <w:r w:rsidRPr="00D51A9B">
        <w:rPr>
          <w:rFonts w:ascii="Arial" w:hAnsi="Arial" w:cs="Arial"/>
          <w:sz w:val="20"/>
          <w:szCs w:val="20"/>
        </w:rPr>
        <w:tab/>
      </w:r>
    </w:p>
    <w:p w:rsidR="00B624B3" w:rsidRPr="00D22EA4" w:rsidRDefault="00B624B3" w:rsidP="00B624B3">
      <w:pPr>
        <w:rPr>
          <w:rFonts w:ascii="Arial" w:hAnsi="Arial" w:cs="Arial"/>
          <w:sz w:val="20"/>
          <w:szCs w:val="20"/>
        </w:rPr>
      </w:pPr>
      <w:r w:rsidRPr="00D22EA4">
        <w:rPr>
          <w:rFonts w:ascii="Arial" w:hAnsi="Arial" w:cs="Arial"/>
          <w:sz w:val="20"/>
          <w:szCs w:val="20"/>
        </w:rPr>
        <w:t>*Note: Various complicated price fluctua</w:t>
      </w:r>
      <w:r w:rsidR="00461F75">
        <w:rPr>
          <w:rFonts w:ascii="Arial" w:hAnsi="Arial" w:cs="Arial"/>
          <w:sz w:val="20"/>
          <w:szCs w:val="20"/>
        </w:rPr>
        <w:t>tions are not addressed in this equation</w:t>
      </w:r>
      <w:r w:rsidRPr="00D22EA4">
        <w:rPr>
          <w:rFonts w:ascii="Arial" w:hAnsi="Arial" w:cs="Arial"/>
          <w:sz w:val="20"/>
          <w:szCs w:val="20"/>
        </w:rPr>
        <w:t>, such as future costs due to inflation in labor, future costs due to deflation in material cost, and other variables that cannot be accurately described at this time.</w:t>
      </w:r>
    </w:p>
    <w:p w:rsidR="00B624B3" w:rsidRDefault="00B624B3" w:rsidP="00B624B3">
      <w:pPr>
        <w:rPr>
          <w:i/>
        </w:rPr>
      </w:pPr>
    </w:p>
    <w:p w:rsidR="00B624B3" w:rsidRDefault="00B624B3" w:rsidP="00B624B3">
      <w:pPr>
        <w:pStyle w:val="Heading3"/>
        <w:ind w:left="720" w:hanging="720"/>
      </w:pPr>
      <w:bookmarkStart w:id="114" w:name="_Toc387912018"/>
      <w:bookmarkStart w:id="115" w:name="_Toc389487670"/>
      <w:r>
        <w:lastRenderedPageBreak/>
        <w:t xml:space="preserve">4.3.2 </w:t>
      </w:r>
      <w:r w:rsidRPr="00A47BFE">
        <w:t>Incremental Measure Costs</w:t>
      </w:r>
      <w:bookmarkEnd w:id="114"/>
      <w:bookmarkEnd w:id="115"/>
    </w:p>
    <w:p w:rsidR="007C4FF7" w:rsidRDefault="007C4FF7" w:rsidP="00914E84">
      <w:pPr>
        <w:rPr>
          <w:rFonts w:ascii="Arial" w:hAnsi="Arial" w:cs="Arial"/>
          <w:sz w:val="20"/>
          <w:szCs w:val="20"/>
          <w:highlight w:val="yellow"/>
        </w:rPr>
      </w:pPr>
      <w:r w:rsidRPr="007C4FF7">
        <w:rPr>
          <w:rFonts w:ascii="Arial" w:hAnsi="Arial" w:cs="Arial"/>
          <w:sz w:val="20"/>
          <w:szCs w:val="20"/>
        </w:rPr>
        <w:t xml:space="preserve">Incremental Measure Cost is the premium cost to install an energy efficient measure over a standard efficiency measure or code baseline measure.  </w:t>
      </w:r>
      <w:r>
        <w:rPr>
          <w:rFonts w:ascii="Arial" w:hAnsi="Arial" w:cs="Arial"/>
          <w:sz w:val="20"/>
          <w:szCs w:val="20"/>
        </w:rPr>
        <w:t xml:space="preserve">While IMC has a </w:t>
      </w:r>
      <w:r w:rsidRPr="007C4FF7">
        <w:rPr>
          <w:rFonts w:ascii="Arial" w:hAnsi="Arial" w:cs="Arial"/>
          <w:sz w:val="20"/>
          <w:szCs w:val="20"/>
        </w:rPr>
        <w:t>straightforward def</w:t>
      </w:r>
      <w:r>
        <w:rPr>
          <w:rFonts w:ascii="Arial" w:hAnsi="Arial" w:cs="Arial"/>
          <w:sz w:val="20"/>
          <w:szCs w:val="20"/>
        </w:rPr>
        <w:t xml:space="preserve">inition depending on the </w:t>
      </w:r>
      <w:r w:rsidRPr="007C4FF7">
        <w:rPr>
          <w:rFonts w:ascii="Arial" w:hAnsi="Arial" w:cs="Arial"/>
          <w:sz w:val="20"/>
          <w:szCs w:val="20"/>
        </w:rPr>
        <w:t>Measure Application</w:t>
      </w:r>
      <w:r w:rsidR="00F331C8">
        <w:rPr>
          <w:rFonts w:ascii="Arial" w:hAnsi="Arial" w:cs="Arial"/>
          <w:sz w:val="20"/>
          <w:szCs w:val="20"/>
        </w:rPr>
        <w:t xml:space="preserve"> T</w:t>
      </w:r>
      <w:r>
        <w:rPr>
          <w:rFonts w:ascii="Arial" w:hAnsi="Arial" w:cs="Arial"/>
          <w:sz w:val="20"/>
          <w:szCs w:val="20"/>
        </w:rPr>
        <w:t>ype, the equation does vary.</w:t>
      </w:r>
    </w:p>
    <w:p w:rsidR="007C4FF7" w:rsidRDefault="007C4FF7" w:rsidP="00B624B3">
      <w:pPr>
        <w:rPr>
          <w:rFonts w:ascii="Arial" w:hAnsi="Arial" w:cs="Arial"/>
          <w:sz w:val="20"/>
          <w:szCs w:val="20"/>
          <w:highlight w:val="yellow"/>
        </w:rPr>
      </w:pPr>
    </w:p>
    <w:p w:rsidR="00914E84" w:rsidRPr="0055577D" w:rsidRDefault="00914E84" w:rsidP="00914E84">
      <w:pPr>
        <w:rPr>
          <w:rFonts w:ascii="Arial" w:hAnsi="Arial" w:cs="Arial"/>
          <w:sz w:val="20"/>
          <w:szCs w:val="20"/>
        </w:rPr>
      </w:pPr>
      <w:r w:rsidRPr="0055577D">
        <w:rPr>
          <w:rFonts w:ascii="Arial" w:hAnsi="Arial" w:cs="Arial"/>
          <w:sz w:val="20"/>
          <w:szCs w:val="20"/>
        </w:rPr>
        <w:t xml:space="preserve">This </w:t>
      </w:r>
      <w:r w:rsidR="00F331C8">
        <w:rPr>
          <w:rFonts w:ascii="Arial" w:hAnsi="Arial" w:cs="Arial"/>
          <w:sz w:val="20"/>
          <w:szCs w:val="20"/>
        </w:rPr>
        <w:t>M</w:t>
      </w:r>
      <w:r w:rsidRPr="0055577D">
        <w:rPr>
          <w:rFonts w:ascii="Arial" w:hAnsi="Arial" w:cs="Arial"/>
          <w:sz w:val="20"/>
          <w:szCs w:val="20"/>
        </w:rPr>
        <w:t xml:space="preserve">easure </w:t>
      </w:r>
      <w:r w:rsidR="00F331C8">
        <w:rPr>
          <w:rFonts w:ascii="Arial" w:hAnsi="Arial" w:cs="Arial"/>
          <w:sz w:val="20"/>
          <w:szCs w:val="20"/>
        </w:rPr>
        <w:t>Application T</w:t>
      </w:r>
      <w:r w:rsidRPr="0055577D">
        <w:rPr>
          <w:rFonts w:ascii="Arial" w:hAnsi="Arial" w:cs="Arial"/>
          <w:sz w:val="20"/>
          <w:szCs w:val="20"/>
        </w:rPr>
        <w:t>ype is ROB so the Gross Measure Cost (GMC) is represented by the equation below:</w:t>
      </w:r>
    </w:p>
    <w:p w:rsidR="00914E84" w:rsidRPr="00914E84" w:rsidRDefault="00914E84" w:rsidP="00914E84">
      <w:pPr>
        <w:rPr>
          <w:rFonts w:ascii="Arial" w:hAnsi="Arial" w:cs="Arial"/>
          <w:sz w:val="22"/>
          <w:szCs w:val="22"/>
        </w:rPr>
      </w:pPr>
    </w:p>
    <w:p w:rsidR="00914E84" w:rsidRPr="00914E84" w:rsidRDefault="00914E84" w:rsidP="00914E84">
      <w:pPr>
        <w:ind w:firstLine="720"/>
        <w:rPr>
          <w:rFonts w:ascii="Arial" w:hAnsi="Arial" w:cs="Arial"/>
          <w:sz w:val="20"/>
          <w:szCs w:val="20"/>
        </w:rPr>
      </w:pPr>
      <w:r w:rsidRPr="00914E84">
        <w:rPr>
          <w:rFonts w:ascii="Arial" w:hAnsi="Arial" w:cs="Arial"/>
          <w:sz w:val="20"/>
          <w:szCs w:val="20"/>
        </w:rPr>
        <w:t>IMC = (Measure Equipment Cost + Measure Labor Cost) –</w:t>
      </w:r>
    </w:p>
    <w:p w:rsidR="00914E84" w:rsidRPr="00914E84" w:rsidRDefault="00914E84" w:rsidP="00914E84">
      <w:pPr>
        <w:ind w:left="720" w:firstLine="720"/>
        <w:rPr>
          <w:rFonts w:ascii="Arial" w:hAnsi="Arial" w:cs="Arial"/>
          <w:sz w:val="20"/>
          <w:szCs w:val="20"/>
        </w:rPr>
      </w:pPr>
      <w:r w:rsidRPr="00914E84">
        <w:rPr>
          <w:rFonts w:ascii="Arial" w:hAnsi="Arial" w:cs="Arial"/>
          <w:sz w:val="20"/>
          <w:szCs w:val="20"/>
        </w:rPr>
        <w:t xml:space="preserve">    (Base Case Equipment Cost + Base Case Labor Cost)</w:t>
      </w:r>
    </w:p>
    <w:p w:rsidR="00914E84" w:rsidRPr="00914E84" w:rsidRDefault="00914E84" w:rsidP="00914E84">
      <w:pPr>
        <w:rPr>
          <w:rFonts w:ascii="Arial" w:hAnsi="Arial" w:cs="Arial"/>
          <w:b/>
          <w:sz w:val="22"/>
          <w:szCs w:val="22"/>
        </w:rPr>
      </w:pPr>
    </w:p>
    <w:p w:rsidR="00914E84" w:rsidRPr="00914E84" w:rsidRDefault="00914E84" w:rsidP="00914E84">
      <w:pPr>
        <w:ind w:left="720" w:right="720"/>
        <w:rPr>
          <w:rFonts w:ascii="Arial" w:hAnsi="Arial" w:cs="Arial"/>
          <w:sz w:val="20"/>
          <w:szCs w:val="20"/>
        </w:rPr>
      </w:pPr>
      <w:r w:rsidRPr="00914E84">
        <w:rPr>
          <w:rFonts w:ascii="Arial" w:hAnsi="Arial" w:cs="Arial"/>
          <w:sz w:val="20"/>
          <w:szCs w:val="20"/>
        </w:rPr>
        <w:t xml:space="preserve">*Note: Unless stated otherwise the measure case and base case labor </w:t>
      </w:r>
      <w:r w:rsidR="007C4FF7">
        <w:rPr>
          <w:rFonts w:ascii="Arial" w:hAnsi="Arial" w:cs="Arial"/>
          <w:sz w:val="20"/>
          <w:szCs w:val="20"/>
        </w:rPr>
        <w:t xml:space="preserve">costs </w:t>
      </w:r>
      <w:r w:rsidRPr="00914E84">
        <w:rPr>
          <w:rFonts w:ascii="Arial" w:hAnsi="Arial" w:cs="Arial"/>
          <w:sz w:val="20"/>
          <w:szCs w:val="20"/>
        </w:rPr>
        <w:t xml:space="preserve">are </w:t>
      </w:r>
      <w:r w:rsidR="007C4FF7">
        <w:rPr>
          <w:rFonts w:ascii="Arial" w:hAnsi="Arial" w:cs="Arial"/>
          <w:sz w:val="20"/>
          <w:szCs w:val="20"/>
        </w:rPr>
        <w:t xml:space="preserve">typically </w:t>
      </w:r>
      <w:r w:rsidRPr="00914E84">
        <w:rPr>
          <w:rFonts w:ascii="Arial" w:hAnsi="Arial" w:cs="Arial"/>
          <w:sz w:val="20"/>
          <w:szCs w:val="20"/>
        </w:rPr>
        <w:t>the same</w:t>
      </w:r>
      <w:r w:rsidR="00B57A2E">
        <w:rPr>
          <w:rFonts w:ascii="Arial" w:hAnsi="Arial" w:cs="Arial"/>
          <w:sz w:val="20"/>
          <w:szCs w:val="20"/>
        </w:rPr>
        <w:t xml:space="preserve">, </w:t>
      </w:r>
      <w:r w:rsidRPr="00914E84">
        <w:rPr>
          <w:rFonts w:ascii="Arial" w:hAnsi="Arial" w:cs="Arial"/>
          <w:sz w:val="20"/>
          <w:szCs w:val="20"/>
        </w:rPr>
        <w:t>reducing the equation to the following:</w:t>
      </w:r>
    </w:p>
    <w:p w:rsidR="00914E84" w:rsidRPr="00914E84" w:rsidRDefault="00914E84" w:rsidP="00914E84">
      <w:pPr>
        <w:ind w:left="720" w:right="720"/>
        <w:rPr>
          <w:rFonts w:ascii="Arial" w:hAnsi="Arial" w:cs="Arial"/>
          <w:sz w:val="20"/>
          <w:szCs w:val="20"/>
        </w:rPr>
      </w:pPr>
    </w:p>
    <w:p w:rsidR="00914E84" w:rsidRPr="00914E84" w:rsidRDefault="00914E84" w:rsidP="00914E84">
      <w:pPr>
        <w:ind w:firstLine="720"/>
        <w:rPr>
          <w:rFonts w:ascii="Arial" w:hAnsi="Arial" w:cs="Arial"/>
          <w:sz w:val="20"/>
          <w:szCs w:val="20"/>
        </w:rPr>
      </w:pPr>
      <w:r w:rsidRPr="00914E84">
        <w:rPr>
          <w:rFonts w:ascii="Arial" w:hAnsi="Arial" w:cs="Arial"/>
          <w:sz w:val="20"/>
          <w:szCs w:val="20"/>
        </w:rPr>
        <w:t>IMC = Measure Equipment Cost – Base Case Equipment Cost</w:t>
      </w:r>
    </w:p>
    <w:p w:rsidR="00914E84" w:rsidRPr="00ED3B31" w:rsidRDefault="00914E84" w:rsidP="00914E84">
      <w:pPr>
        <w:ind w:firstLine="720"/>
        <w:rPr>
          <w:rFonts w:ascii="Arial" w:hAnsi="Arial" w:cs="Arial"/>
          <w:sz w:val="20"/>
          <w:szCs w:val="20"/>
          <w:highlight w:val="yellow"/>
        </w:rPr>
      </w:pPr>
    </w:p>
    <w:p w:rsidR="00B624B3" w:rsidRPr="00461F75" w:rsidRDefault="00461F75" w:rsidP="00461F75">
      <w:pPr>
        <w:ind w:firstLine="720"/>
        <w:rPr>
          <w:rFonts w:ascii="Arial" w:hAnsi="Arial" w:cs="Arial"/>
          <w:i/>
          <w:strike/>
          <w:sz w:val="20"/>
          <w:szCs w:val="20"/>
        </w:rPr>
      </w:pPr>
      <w:r>
        <w:rPr>
          <w:rFonts w:ascii="Arial" w:hAnsi="Arial" w:cs="Arial"/>
          <w:i/>
          <w:sz w:val="20"/>
          <w:szCs w:val="20"/>
        </w:rPr>
        <w:t>I</w:t>
      </w:r>
      <w:r w:rsidRPr="00516C89">
        <w:rPr>
          <w:rFonts w:ascii="Arial" w:hAnsi="Arial" w:cs="Arial"/>
          <w:i/>
          <w:sz w:val="20"/>
          <w:szCs w:val="20"/>
        </w:rPr>
        <w:t>MC = $</w:t>
      </w:r>
      <w:r>
        <w:rPr>
          <w:rFonts w:ascii="Arial" w:hAnsi="Arial" w:cs="Arial"/>
          <w:i/>
          <w:sz w:val="20"/>
          <w:szCs w:val="20"/>
        </w:rPr>
        <w:t xml:space="preserve">756.20 </w:t>
      </w:r>
      <w:r w:rsidRPr="00516C89">
        <w:rPr>
          <w:rFonts w:ascii="Arial" w:hAnsi="Arial" w:cs="Arial"/>
          <w:i/>
          <w:sz w:val="20"/>
          <w:szCs w:val="20"/>
        </w:rPr>
        <w:t xml:space="preserve">per </w:t>
      </w:r>
      <w:r>
        <w:rPr>
          <w:rFonts w:ascii="Arial" w:hAnsi="Arial" w:cs="Arial"/>
          <w:i/>
          <w:sz w:val="20"/>
          <w:szCs w:val="20"/>
        </w:rPr>
        <w:t>len-ft</w:t>
      </w:r>
      <w:r w:rsidRPr="00516C89">
        <w:rPr>
          <w:rFonts w:ascii="Arial" w:hAnsi="Arial" w:cs="Arial"/>
          <w:i/>
          <w:sz w:val="20"/>
          <w:szCs w:val="20"/>
        </w:rPr>
        <w:t xml:space="preserve"> - $</w:t>
      </w:r>
      <w:r>
        <w:rPr>
          <w:rFonts w:ascii="Arial" w:hAnsi="Arial" w:cs="Arial"/>
          <w:i/>
          <w:sz w:val="20"/>
          <w:szCs w:val="20"/>
        </w:rPr>
        <w:t>714.25</w:t>
      </w:r>
      <w:r w:rsidRPr="00516C89">
        <w:rPr>
          <w:rFonts w:ascii="Arial" w:hAnsi="Arial" w:cs="Arial"/>
          <w:i/>
          <w:sz w:val="20"/>
          <w:szCs w:val="20"/>
        </w:rPr>
        <w:t xml:space="preserve"> per </w:t>
      </w:r>
      <w:r>
        <w:rPr>
          <w:rFonts w:ascii="Arial" w:hAnsi="Arial" w:cs="Arial"/>
          <w:i/>
          <w:sz w:val="20"/>
          <w:szCs w:val="20"/>
        </w:rPr>
        <w:t>len-ft</w:t>
      </w:r>
      <w:r w:rsidRPr="00516C89">
        <w:rPr>
          <w:rFonts w:ascii="Arial" w:hAnsi="Arial" w:cs="Arial"/>
          <w:i/>
          <w:sz w:val="20"/>
          <w:szCs w:val="20"/>
        </w:rPr>
        <w:t xml:space="preserve"> = $</w:t>
      </w:r>
      <w:r>
        <w:rPr>
          <w:rFonts w:ascii="Arial" w:hAnsi="Arial" w:cs="Arial"/>
          <w:i/>
          <w:sz w:val="20"/>
          <w:szCs w:val="20"/>
        </w:rPr>
        <w:t>41.95</w:t>
      </w:r>
      <w:r w:rsidRPr="00516C89">
        <w:rPr>
          <w:rFonts w:ascii="Arial" w:hAnsi="Arial" w:cs="Arial"/>
          <w:i/>
          <w:sz w:val="20"/>
          <w:szCs w:val="20"/>
        </w:rPr>
        <w:t xml:space="preserve"> per</w:t>
      </w:r>
      <w:r>
        <w:rPr>
          <w:rFonts w:ascii="Arial" w:hAnsi="Arial" w:cs="Arial"/>
          <w:i/>
          <w:sz w:val="20"/>
          <w:szCs w:val="20"/>
        </w:rPr>
        <w:t xml:space="preserve"> len-ft</w:t>
      </w:r>
      <w:r w:rsidRPr="00516C89">
        <w:rPr>
          <w:rFonts w:ascii="Arial" w:hAnsi="Arial" w:cs="Arial"/>
          <w:i/>
          <w:sz w:val="20"/>
          <w:szCs w:val="20"/>
        </w:rPr>
        <w:t xml:space="preserve"> </w:t>
      </w:r>
    </w:p>
    <w:p w:rsidR="00B624B3" w:rsidRDefault="00B624B3" w:rsidP="00B624B3">
      <w:pPr>
        <w:ind w:firstLine="720"/>
        <w:rPr>
          <w:rFonts w:ascii="Arial" w:hAnsi="Arial" w:cs="Arial"/>
          <w:i/>
          <w:sz w:val="20"/>
          <w:szCs w:val="20"/>
        </w:rPr>
      </w:pPr>
    </w:p>
    <w:p w:rsidR="00B624B3" w:rsidRDefault="00B624B3" w:rsidP="00B624B3">
      <w:pPr>
        <w:ind w:firstLine="720"/>
        <w:rPr>
          <w:rFonts w:ascii="Arial" w:hAnsi="Arial" w:cs="Arial"/>
          <w:i/>
          <w:sz w:val="20"/>
          <w:szCs w:val="20"/>
        </w:rPr>
      </w:pPr>
    </w:p>
    <w:p w:rsidR="00B624B3" w:rsidRDefault="00B624B3" w:rsidP="00B624B3">
      <w:pPr>
        <w:ind w:firstLine="720"/>
        <w:jc w:val="center"/>
        <w:rPr>
          <w:rFonts w:ascii="Arial" w:hAnsi="Arial" w:cs="Arial"/>
          <w:b/>
          <w:sz w:val="20"/>
          <w:szCs w:val="20"/>
        </w:rPr>
      </w:pPr>
      <w:r w:rsidRPr="002F3610">
        <w:rPr>
          <w:rFonts w:ascii="Arial" w:hAnsi="Arial" w:cs="Arial"/>
          <w:b/>
          <w:sz w:val="20"/>
          <w:szCs w:val="20"/>
        </w:rPr>
        <w:t>Summary Table for Section 4</w:t>
      </w:r>
    </w:p>
    <w:p w:rsidR="00B624B3" w:rsidRDefault="00B624B3" w:rsidP="00B624B3">
      <w:pPr>
        <w:ind w:firstLine="720"/>
        <w:jc w:val="center"/>
        <w:rPr>
          <w:rFonts w:ascii="Arial" w:hAnsi="Arial" w:cs="Arial"/>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B624B3" w:rsidRPr="00767D95" w:rsidTr="007F0641">
        <w:trPr>
          <w:jc w:val="center"/>
        </w:trPr>
        <w:tc>
          <w:tcPr>
            <w:tcW w:w="758" w:type="pct"/>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Measure ID</w:t>
            </w:r>
          </w:p>
        </w:tc>
        <w:tc>
          <w:tcPr>
            <w:tcW w:w="968" w:type="pct"/>
            <w:shd w:val="clear" w:color="auto" w:fill="auto"/>
          </w:tcPr>
          <w:p w:rsidR="00B624B3" w:rsidRPr="00767D95" w:rsidRDefault="00B57A2E" w:rsidP="0001647C">
            <w:pPr>
              <w:rPr>
                <w:rFonts w:ascii="Arial" w:hAnsi="Arial" w:cs="Arial"/>
                <w:b/>
                <w:sz w:val="20"/>
                <w:szCs w:val="20"/>
              </w:rPr>
            </w:pPr>
            <w:r>
              <w:rPr>
                <w:rFonts w:ascii="Arial" w:hAnsi="Arial" w:cs="Arial"/>
                <w:b/>
                <w:sz w:val="20"/>
                <w:szCs w:val="20"/>
              </w:rPr>
              <w:t>Measure Application</w:t>
            </w:r>
            <w:r w:rsidR="00B624B3" w:rsidRPr="00767D95">
              <w:rPr>
                <w:rFonts w:ascii="Arial" w:hAnsi="Arial" w:cs="Arial"/>
                <w:b/>
                <w:sz w:val="20"/>
                <w:szCs w:val="20"/>
              </w:rPr>
              <w:t>Type</w:t>
            </w:r>
          </w:p>
        </w:tc>
        <w:tc>
          <w:tcPr>
            <w:tcW w:w="838" w:type="pct"/>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Base Case Total Cost</w:t>
            </w:r>
          </w:p>
        </w:tc>
        <w:tc>
          <w:tcPr>
            <w:tcW w:w="739" w:type="pct"/>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Measure Case Total Cost</w:t>
            </w:r>
          </w:p>
        </w:tc>
        <w:tc>
          <w:tcPr>
            <w:tcW w:w="737" w:type="pct"/>
            <w:shd w:val="clear" w:color="auto" w:fill="auto"/>
          </w:tcPr>
          <w:p w:rsidR="00B624B3" w:rsidRPr="00767D95" w:rsidRDefault="00B57A2E" w:rsidP="0001647C">
            <w:pPr>
              <w:rPr>
                <w:rFonts w:ascii="Arial" w:hAnsi="Arial" w:cs="Arial"/>
                <w:b/>
                <w:sz w:val="20"/>
                <w:szCs w:val="20"/>
              </w:rPr>
            </w:pPr>
            <w:r>
              <w:rPr>
                <w:rFonts w:ascii="Arial" w:hAnsi="Arial" w:cs="Arial"/>
                <w:b/>
                <w:sz w:val="20"/>
                <w:szCs w:val="20"/>
              </w:rPr>
              <w:t xml:space="preserve">Full </w:t>
            </w:r>
            <w:r w:rsidR="00B624B3" w:rsidRPr="00767D95">
              <w:rPr>
                <w:rFonts w:ascii="Arial" w:hAnsi="Arial" w:cs="Arial"/>
                <w:b/>
                <w:sz w:val="20"/>
                <w:szCs w:val="20"/>
              </w:rPr>
              <w:t>Measure Case Cost</w:t>
            </w:r>
          </w:p>
        </w:tc>
        <w:tc>
          <w:tcPr>
            <w:tcW w:w="960" w:type="pct"/>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Incremental Measure Cost</w:t>
            </w:r>
          </w:p>
        </w:tc>
      </w:tr>
      <w:tr w:rsidR="000C4349" w:rsidRPr="00767D95" w:rsidTr="007F0641">
        <w:trPr>
          <w:jc w:val="center"/>
        </w:trPr>
        <w:tc>
          <w:tcPr>
            <w:tcW w:w="758" w:type="pct"/>
            <w:shd w:val="clear" w:color="auto" w:fill="auto"/>
          </w:tcPr>
          <w:p w:rsidR="000C4349" w:rsidRPr="00767D95" w:rsidRDefault="000C4349" w:rsidP="001D1995">
            <w:pPr>
              <w:rPr>
                <w:rFonts w:ascii="Arial" w:hAnsi="Arial" w:cs="Arial"/>
                <w:sz w:val="20"/>
                <w:szCs w:val="20"/>
              </w:rPr>
            </w:pPr>
            <w:r>
              <w:rPr>
                <w:rFonts w:ascii="Arial" w:hAnsi="Arial" w:cs="Arial"/>
                <w:sz w:val="20"/>
                <w:szCs w:val="20"/>
              </w:rPr>
              <w:t>R</w:t>
            </w:r>
            <w:r w:rsidR="001D1995">
              <w:rPr>
                <w:rFonts w:ascii="Arial" w:hAnsi="Arial" w:cs="Arial"/>
                <w:sz w:val="20"/>
                <w:szCs w:val="20"/>
              </w:rPr>
              <w:t>A02</w:t>
            </w:r>
          </w:p>
        </w:tc>
        <w:tc>
          <w:tcPr>
            <w:tcW w:w="968" w:type="pct"/>
            <w:shd w:val="clear" w:color="auto" w:fill="auto"/>
          </w:tcPr>
          <w:p w:rsidR="000C4349" w:rsidRPr="008C684A" w:rsidRDefault="000C4349" w:rsidP="00E3682E">
            <w:pPr>
              <w:rPr>
                <w:rFonts w:ascii="Arial" w:hAnsi="Arial" w:cs="Arial"/>
                <w:sz w:val="20"/>
                <w:szCs w:val="20"/>
              </w:rPr>
            </w:pPr>
            <w:r>
              <w:rPr>
                <w:rFonts w:ascii="Arial" w:hAnsi="Arial" w:cs="Arial"/>
                <w:sz w:val="20"/>
                <w:szCs w:val="20"/>
              </w:rPr>
              <w:t>ROB</w:t>
            </w:r>
          </w:p>
        </w:tc>
        <w:tc>
          <w:tcPr>
            <w:tcW w:w="838" w:type="pct"/>
            <w:shd w:val="clear" w:color="auto" w:fill="auto"/>
          </w:tcPr>
          <w:p w:rsidR="000C4349" w:rsidRPr="00767D95" w:rsidRDefault="000C4349" w:rsidP="00461F75">
            <w:pPr>
              <w:jc w:val="right"/>
              <w:rPr>
                <w:rFonts w:ascii="Arial" w:hAnsi="Arial" w:cs="Arial"/>
                <w:sz w:val="20"/>
                <w:szCs w:val="20"/>
              </w:rPr>
            </w:pPr>
            <w:r>
              <w:rPr>
                <w:rFonts w:ascii="Arial" w:hAnsi="Arial" w:cs="Arial"/>
                <w:sz w:val="20"/>
                <w:szCs w:val="20"/>
              </w:rPr>
              <w:t>$</w:t>
            </w:r>
            <w:r w:rsidR="00461F75">
              <w:rPr>
                <w:rFonts w:ascii="Arial" w:hAnsi="Arial" w:cs="Arial"/>
                <w:sz w:val="20"/>
                <w:szCs w:val="20"/>
              </w:rPr>
              <w:t>714.25</w:t>
            </w:r>
          </w:p>
        </w:tc>
        <w:tc>
          <w:tcPr>
            <w:tcW w:w="739" w:type="pct"/>
            <w:shd w:val="clear" w:color="auto" w:fill="auto"/>
          </w:tcPr>
          <w:p w:rsidR="000C4349" w:rsidRPr="005608F4" w:rsidRDefault="000C4349" w:rsidP="00461F75">
            <w:pPr>
              <w:jc w:val="right"/>
              <w:rPr>
                <w:rFonts w:ascii="Arial" w:hAnsi="Arial" w:cs="Arial"/>
                <w:sz w:val="20"/>
                <w:szCs w:val="20"/>
              </w:rPr>
            </w:pPr>
            <w:r w:rsidRPr="005608F4">
              <w:rPr>
                <w:rFonts w:ascii="Arial" w:hAnsi="Arial" w:cs="Arial"/>
                <w:sz w:val="20"/>
                <w:szCs w:val="20"/>
              </w:rPr>
              <w:t>$</w:t>
            </w:r>
            <w:r w:rsidR="00461F75">
              <w:rPr>
                <w:rFonts w:ascii="Arial" w:hAnsi="Arial" w:cs="Arial"/>
                <w:sz w:val="20"/>
                <w:szCs w:val="20"/>
              </w:rPr>
              <w:t>756.20</w:t>
            </w:r>
          </w:p>
        </w:tc>
        <w:tc>
          <w:tcPr>
            <w:tcW w:w="737" w:type="pct"/>
            <w:shd w:val="clear" w:color="auto" w:fill="auto"/>
          </w:tcPr>
          <w:p w:rsidR="000C4349" w:rsidRPr="005608F4" w:rsidRDefault="000C4349" w:rsidP="00461F75">
            <w:pPr>
              <w:jc w:val="right"/>
              <w:rPr>
                <w:rFonts w:ascii="Arial" w:hAnsi="Arial" w:cs="Arial"/>
                <w:sz w:val="20"/>
                <w:szCs w:val="20"/>
              </w:rPr>
            </w:pPr>
            <w:r w:rsidRPr="005608F4">
              <w:rPr>
                <w:rFonts w:ascii="Arial" w:hAnsi="Arial" w:cs="Arial"/>
                <w:sz w:val="20"/>
                <w:szCs w:val="20"/>
              </w:rPr>
              <w:t>$</w:t>
            </w:r>
            <w:r w:rsidR="00461F75">
              <w:rPr>
                <w:rFonts w:ascii="Arial" w:hAnsi="Arial" w:cs="Arial"/>
                <w:sz w:val="20"/>
                <w:szCs w:val="20"/>
              </w:rPr>
              <w:t>41.95</w:t>
            </w:r>
          </w:p>
        </w:tc>
        <w:tc>
          <w:tcPr>
            <w:tcW w:w="960" w:type="pct"/>
            <w:shd w:val="clear" w:color="auto" w:fill="auto"/>
            <w:vAlign w:val="bottom"/>
          </w:tcPr>
          <w:p w:rsidR="000C4349" w:rsidRDefault="000C4349" w:rsidP="00461F75">
            <w:pPr>
              <w:jc w:val="right"/>
              <w:rPr>
                <w:rFonts w:ascii="Arial" w:hAnsi="Arial" w:cs="Arial"/>
                <w:sz w:val="20"/>
                <w:szCs w:val="20"/>
              </w:rPr>
            </w:pPr>
            <w:r>
              <w:rPr>
                <w:rFonts w:ascii="Arial" w:hAnsi="Arial" w:cs="Arial"/>
                <w:sz w:val="20"/>
                <w:szCs w:val="20"/>
              </w:rPr>
              <w:t>$</w:t>
            </w:r>
            <w:r w:rsidR="00461F75">
              <w:rPr>
                <w:rFonts w:ascii="Arial" w:hAnsi="Arial" w:cs="Arial"/>
                <w:sz w:val="20"/>
                <w:szCs w:val="20"/>
              </w:rPr>
              <w:t>41.95</w:t>
            </w:r>
            <w:r>
              <w:rPr>
                <w:rFonts w:ascii="Arial" w:hAnsi="Arial" w:cs="Arial"/>
                <w:sz w:val="20"/>
                <w:szCs w:val="20"/>
              </w:rPr>
              <w:t xml:space="preserve"> </w:t>
            </w:r>
          </w:p>
        </w:tc>
      </w:tr>
    </w:tbl>
    <w:p w:rsidR="00504E17" w:rsidRDefault="00504E17" w:rsidP="00B624B3">
      <w:pPr>
        <w:ind w:firstLine="720"/>
        <w:rPr>
          <w:rFonts w:ascii="Arial" w:hAnsi="Arial" w:cs="Arial"/>
          <w:b/>
          <w:sz w:val="20"/>
          <w:szCs w:val="20"/>
        </w:rPr>
        <w:sectPr w:rsidR="00504E17" w:rsidSect="00C32D6C">
          <w:footerReference w:type="default" r:id="rId32"/>
          <w:endnotePr>
            <w:numFmt w:val="decimal"/>
          </w:endnotePr>
          <w:pgSz w:w="12240" w:h="15840"/>
          <w:pgMar w:top="1440" w:right="1440" w:bottom="1440" w:left="1440" w:header="720" w:footer="720" w:gutter="0"/>
          <w:pgNumType w:start="1" w:chapStyle="1"/>
          <w:cols w:space="720"/>
          <w:docGrid w:linePitch="360"/>
        </w:sectPr>
      </w:pPr>
    </w:p>
    <w:p w:rsidR="00B624B3" w:rsidRDefault="00B624B3" w:rsidP="00794007">
      <w:pPr>
        <w:pStyle w:val="Heading1"/>
      </w:pPr>
      <w:bookmarkStart w:id="116" w:name="_Toc387912023"/>
      <w:bookmarkStart w:id="117" w:name="_Toc389487671"/>
      <w:r>
        <w:lastRenderedPageBreak/>
        <w:t>References</w:t>
      </w:r>
      <w:bookmarkEnd w:id="116"/>
      <w:bookmarkEnd w:id="117"/>
      <w:r>
        <w:t xml:space="preserve"> </w:t>
      </w:r>
    </w:p>
    <w:p w:rsidR="00B624B3" w:rsidRDefault="00B624B3" w:rsidP="00B624B3"/>
    <w:p w:rsidR="00B624B3" w:rsidRPr="0055577D" w:rsidRDefault="00B624B3" w:rsidP="00B507A0">
      <w:pPr>
        <w:rPr>
          <w:rFonts w:ascii="Arial" w:hAnsi="Arial" w:cs="Arial"/>
          <w:sz w:val="20"/>
          <w:szCs w:val="20"/>
        </w:rPr>
      </w:pPr>
      <w:r w:rsidRPr="0055577D">
        <w:rPr>
          <w:rFonts w:ascii="Arial" w:hAnsi="Arial" w:cs="Arial"/>
          <w:sz w:val="20"/>
          <w:szCs w:val="20"/>
        </w:rPr>
        <w:t xml:space="preserve"> 2004-2005 Database for Energy Efficiency Resources, Version 2.01, October 26, 2005,  EEM D03-</w:t>
      </w:r>
      <w:r w:rsidR="00DB5B76" w:rsidRPr="0055577D">
        <w:rPr>
          <w:rFonts w:ascii="Arial" w:hAnsi="Arial" w:cs="Arial"/>
          <w:sz w:val="20"/>
          <w:szCs w:val="20"/>
        </w:rPr>
        <w:t>2</w:t>
      </w:r>
      <w:r w:rsidR="00964E3B" w:rsidRPr="0055577D">
        <w:rPr>
          <w:rFonts w:ascii="Arial" w:hAnsi="Arial" w:cs="Arial"/>
          <w:sz w:val="20"/>
          <w:szCs w:val="20"/>
        </w:rPr>
        <w:t xml:space="preserve">07 </w:t>
      </w:r>
      <w:hyperlink r:id="rId33" w:history="1">
        <w:r w:rsidR="00516C89" w:rsidRPr="0055577D">
          <w:rPr>
            <w:rStyle w:val="Hyperlink"/>
            <w:rFonts w:ascii="Arial" w:hAnsi="Arial" w:cs="Arial"/>
            <w:sz w:val="20"/>
            <w:szCs w:val="20"/>
          </w:rPr>
          <w:t>http://eega.cpus.ca.gov/deer</w:t>
        </w:r>
      </w:hyperlink>
      <w:r w:rsidRPr="0055577D">
        <w:rPr>
          <w:rFonts w:ascii="Arial" w:hAnsi="Arial" w:cs="Arial"/>
          <w:sz w:val="20"/>
          <w:szCs w:val="20"/>
        </w:rPr>
        <w:t>.</w:t>
      </w:r>
    </w:p>
    <w:p w:rsidR="00516C89" w:rsidRDefault="00516C89" w:rsidP="00516C89"/>
    <w:p w:rsidR="009168A1" w:rsidRPr="000966CC" w:rsidRDefault="009168A1" w:rsidP="008C6A2F"/>
    <w:sectPr w:rsidR="009168A1" w:rsidRPr="000966CC" w:rsidSect="0061765C">
      <w:endnotePr>
        <w:numFmt w:val="decimal"/>
      </w:endnotePr>
      <w:pgSz w:w="12240" w:h="15840"/>
      <w:pgMar w:top="1440" w:right="1440" w:bottom="1440" w:left="1440" w:header="720" w:footer="720" w:gutter="0"/>
      <w:pgNumType w:fmt="lowerRoman"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BBB" w:rsidRDefault="00431BBB">
      <w:r>
        <w:separator/>
      </w:r>
    </w:p>
  </w:endnote>
  <w:endnote w:type="continuationSeparator" w:id="0">
    <w:p w:rsidR="00431BBB" w:rsidRDefault="00431BBB">
      <w:r>
        <w:continuationSeparator/>
      </w:r>
    </w:p>
  </w:endnote>
  <w:endnote w:id="1">
    <w:p w:rsidR="006D2023" w:rsidRPr="0055577D" w:rsidRDefault="006D2023">
      <w:pPr>
        <w:pStyle w:val="EndnoteText"/>
        <w:rPr>
          <w:rFonts w:ascii="Arial" w:hAnsi="Arial" w:cs="Arial"/>
          <w:sz w:val="18"/>
          <w:szCs w:val="18"/>
        </w:rPr>
      </w:pPr>
      <w:r w:rsidRPr="0055577D">
        <w:rPr>
          <w:rStyle w:val="EndnoteReference"/>
          <w:rFonts w:ascii="Arial" w:hAnsi="Arial" w:cs="Arial"/>
          <w:sz w:val="18"/>
          <w:szCs w:val="18"/>
        </w:rPr>
        <w:endnoteRef/>
      </w:r>
      <w:r w:rsidRPr="0055577D">
        <w:rPr>
          <w:rFonts w:ascii="Arial" w:hAnsi="Arial" w:cs="Arial"/>
          <w:sz w:val="18"/>
          <w:szCs w:val="18"/>
        </w:rPr>
        <w:t xml:space="preserve"> Table 8.2.9 in Chapter 8 of the Technical Support  Documentation. Level 5 is equivalent to the standard  that was adopted for this equipment class.</w:t>
      </w:r>
    </w:p>
  </w:endnote>
  <w:endnote w:id="2">
    <w:p w:rsidR="006D2023" w:rsidRDefault="006D2023">
      <w:pPr>
        <w:pStyle w:val="EndnoteText"/>
      </w:pPr>
      <w:r w:rsidRPr="0055577D">
        <w:rPr>
          <w:rStyle w:val="EndnoteReference"/>
          <w:rFonts w:ascii="Arial" w:hAnsi="Arial" w:cs="Arial"/>
          <w:sz w:val="18"/>
          <w:szCs w:val="18"/>
        </w:rPr>
        <w:endnoteRef/>
      </w:r>
      <w:r w:rsidRPr="0055577D">
        <w:rPr>
          <w:rFonts w:ascii="Arial" w:hAnsi="Arial" w:cs="Arial"/>
          <w:sz w:val="18"/>
          <w:szCs w:val="18"/>
        </w:rPr>
        <w:t>See Appendix A for details.</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Arial"/>
    <w:panose1 w:val="00000000000000000000"/>
    <w:charset w:val="00"/>
    <w:family w:val="swiss"/>
    <w:notTrueType/>
    <w:pitch w:val="variable"/>
    <w:sig w:usb0="00000003"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023" w:rsidRDefault="006D202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D2023" w:rsidRDefault="006D20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023" w:rsidRPr="00E40469" w:rsidRDefault="006D2023" w:rsidP="003662D0">
    <w:pPr>
      <w:pStyle w:val="Footer"/>
      <w:pBdr>
        <w:top w:val="single" w:sz="4" w:space="1" w:color="auto"/>
      </w:pBdr>
      <w:tabs>
        <w:tab w:val="clear" w:pos="4320"/>
        <w:tab w:val="clear" w:pos="8640"/>
        <w:tab w:val="right" w:pos="9360"/>
      </w:tabs>
      <w:rPr>
        <w:rFonts w:ascii="Arial" w:hAnsi="Arial" w:cs="Arial"/>
        <w:b/>
        <w:sz w:val="20"/>
        <w:szCs w:val="20"/>
      </w:rPr>
    </w:pPr>
    <w:r>
      <w:rPr>
        <w:rFonts w:ascii="Arial" w:hAnsi="Arial" w:cs="Arial"/>
        <w:b/>
        <w:sz w:val="20"/>
        <w:szCs w:val="20"/>
      </w:rPr>
      <w:t>PGE3PREF128 Medium Temp Open Case Retrofit, Revision 2</w:t>
    </w:r>
    <w:r w:rsidRPr="00E40469">
      <w:rPr>
        <w:rFonts w:ascii="Arial" w:hAnsi="Arial" w:cs="Arial"/>
        <w:b/>
        <w:sz w:val="20"/>
        <w:szCs w:val="20"/>
      </w:rPr>
      <w:tab/>
      <w:t>April 28, 2014</w:t>
    </w:r>
  </w:p>
  <w:p w:rsidR="006D2023" w:rsidRPr="000B5DB2" w:rsidRDefault="006D2023" w:rsidP="003662D0">
    <w:pPr>
      <w:pStyle w:val="Footer"/>
      <w:rPr>
        <w:rFonts w:ascii="Arial" w:hAnsi="Arial" w:cs="Arial"/>
        <w:b/>
        <w:sz w:val="20"/>
        <w:szCs w:val="20"/>
      </w:rPr>
    </w:pPr>
    <w:r w:rsidRPr="000B5DB2">
      <w:rPr>
        <w:rFonts w:ascii="Arial" w:hAnsi="Arial" w:cs="Arial"/>
        <w:b/>
        <w:sz w:val="20"/>
        <w:szCs w:val="20"/>
      </w:rPr>
      <w:t>Pacific Gas &amp; Electric Company</w:t>
    </w:r>
  </w:p>
  <w:p w:rsidR="006D2023" w:rsidRPr="004D2779" w:rsidRDefault="006D2023" w:rsidP="003662D0">
    <w:pPr>
      <w:pStyle w:val="Footer"/>
      <w:tabs>
        <w:tab w:val="clear" w:pos="8640"/>
        <w:tab w:val="right" w:pos="9360"/>
      </w:tabs>
      <w:rPr>
        <w:b/>
        <w:sz w:val="20"/>
        <w:szCs w:val="20"/>
      </w:rPr>
    </w:pP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FILENAME </w:instrText>
    </w:r>
    <w:r w:rsidRPr="000B5DB2">
      <w:rPr>
        <w:rFonts w:ascii="Arial" w:hAnsi="Arial" w:cs="Arial"/>
        <w:b/>
        <w:color w:val="0000FF"/>
        <w:sz w:val="20"/>
        <w:szCs w:val="20"/>
      </w:rPr>
      <w:fldChar w:fldCharType="separate"/>
    </w:r>
    <w:r>
      <w:rPr>
        <w:rFonts w:ascii="Arial" w:hAnsi="Arial" w:cs="Arial"/>
        <w:b/>
        <w:noProof/>
        <w:color w:val="0000FF"/>
        <w:sz w:val="20"/>
        <w:szCs w:val="20"/>
      </w:rPr>
      <w:t>PGE3PREF128_Medium Temp Open Case Retrofit_R2</w:t>
    </w:r>
    <w:r w:rsidRPr="000B5DB2">
      <w:rPr>
        <w:rFonts w:ascii="Arial" w:hAnsi="Arial" w:cs="Arial"/>
        <w:b/>
        <w:color w:val="0000FF"/>
        <w:sz w:val="20"/>
        <w:szCs w:val="20"/>
      </w:rPr>
      <w:fldChar w:fldCharType="end"/>
    </w:r>
    <w:r w:rsidRPr="000B5DB2">
      <w:rPr>
        <w:rFonts w:ascii="Arial" w:hAnsi="Arial" w:cs="Arial"/>
        <w:b/>
        <w:color w:val="0000FF"/>
        <w:sz w:val="20"/>
        <w:szCs w:val="20"/>
      </w:rPr>
      <w:t xml:space="preserve"> </w:t>
    </w:r>
    <w:r w:rsidRPr="000B5DB2">
      <w:rPr>
        <w:rFonts w:ascii="Arial" w:hAnsi="Arial" w:cs="Arial"/>
        <w:b/>
        <w:color w:val="0000FF"/>
        <w:sz w:val="20"/>
        <w:szCs w:val="20"/>
      </w:rPr>
      <w:tab/>
    </w:r>
    <w:r>
      <w:rPr>
        <w:rFonts w:ascii="Arial" w:hAnsi="Arial" w:cs="Arial"/>
        <w:b/>
        <w:color w:val="0000FF"/>
        <w:sz w:val="20"/>
        <w:szCs w:val="20"/>
      </w:rPr>
      <w:fldChar w:fldCharType="begin"/>
    </w:r>
    <w:r>
      <w:rPr>
        <w:rFonts w:ascii="Arial" w:hAnsi="Arial" w:cs="Arial"/>
        <w:b/>
        <w:color w:val="0000FF"/>
        <w:sz w:val="20"/>
        <w:szCs w:val="20"/>
      </w:rPr>
      <w:instrText xml:space="preserve"> PAGE  \* roman  \* MERGEFORMAT </w:instrText>
    </w:r>
    <w:r>
      <w:rPr>
        <w:rFonts w:ascii="Arial" w:hAnsi="Arial" w:cs="Arial"/>
        <w:b/>
        <w:color w:val="0000FF"/>
        <w:sz w:val="20"/>
        <w:szCs w:val="20"/>
      </w:rPr>
      <w:fldChar w:fldCharType="separate"/>
    </w:r>
    <w:r w:rsidR="00002B4A">
      <w:rPr>
        <w:rFonts w:ascii="Arial" w:hAnsi="Arial" w:cs="Arial"/>
        <w:b/>
        <w:noProof/>
        <w:color w:val="0000FF"/>
        <w:sz w:val="20"/>
        <w:szCs w:val="20"/>
      </w:rPr>
      <w:t>i</w:t>
    </w:r>
    <w:r>
      <w:rPr>
        <w:rFonts w:ascii="Arial" w:hAnsi="Arial" w:cs="Arial"/>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023" w:rsidRPr="002E0E3F" w:rsidRDefault="006D2023" w:rsidP="00D7047A">
    <w:pPr>
      <w:pStyle w:val="Footer"/>
      <w:jc w:val="right"/>
      <w:rPr>
        <w:rFonts w:ascii="Arial" w:hAnsi="Arial" w:cs="Arial"/>
        <w:b/>
        <w:sz w:val="36"/>
        <w:szCs w:val="36"/>
      </w:rPr>
    </w:pPr>
    <w:r>
      <w:rPr>
        <w:rFonts w:ascii="Arial" w:hAnsi="Arial" w:cs="Arial"/>
        <w:b/>
        <w:sz w:val="36"/>
        <w:szCs w:val="36"/>
      </w:rPr>
      <w:t>Date of Last Revision</w:t>
    </w:r>
  </w:p>
  <w:p w:rsidR="006D2023" w:rsidRDefault="006D202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023" w:rsidRDefault="006D202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D2023" w:rsidRDefault="006D202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023" w:rsidRPr="002E0E3F" w:rsidRDefault="006D2023" w:rsidP="0082616A">
    <w:pPr>
      <w:pStyle w:val="Footer"/>
      <w:jc w:val="right"/>
      <w:rPr>
        <w:rFonts w:ascii="Arial" w:hAnsi="Arial" w:cs="Arial"/>
        <w:b/>
        <w:sz w:val="36"/>
        <w:szCs w:val="36"/>
      </w:rPr>
    </w:pPr>
    <w:r>
      <w:rPr>
        <w:rFonts w:ascii="Arial" w:hAnsi="Arial" w:cs="Arial"/>
        <w:b/>
        <w:sz w:val="36"/>
        <w:szCs w:val="36"/>
      </w:rPr>
      <w:t>June 13, 2012</w:t>
    </w:r>
  </w:p>
  <w:p w:rsidR="006D2023" w:rsidRDefault="006D202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023" w:rsidRPr="00E40469" w:rsidRDefault="006D2023" w:rsidP="003662D0">
    <w:pPr>
      <w:pStyle w:val="Footer"/>
      <w:pBdr>
        <w:top w:val="single" w:sz="4" w:space="1" w:color="auto"/>
      </w:pBdr>
      <w:tabs>
        <w:tab w:val="clear" w:pos="4320"/>
        <w:tab w:val="clear" w:pos="8640"/>
        <w:tab w:val="right" w:pos="9360"/>
      </w:tabs>
      <w:rPr>
        <w:rFonts w:ascii="Arial" w:hAnsi="Arial" w:cs="Arial"/>
        <w:b/>
        <w:sz w:val="20"/>
        <w:szCs w:val="20"/>
      </w:rPr>
    </w:pPr>
    <w:r>
      <w:rPr>
        <w:rFonts w:ascii="Arial" w:hAnsi="Arial" w:cs="Arial"/>
        <w:b/>
        <w:sz w:val="20"/>
        <w:szCs w:val="20"/>
      </w:rPr>
      <w:t>PGE3PREF128 Medium Temp Open Case Retrofit, Revision 2</w:t>
    </w:r>
    <w:r w:rsidRPr="00E40469">
      <w:rPr>
        <w:rFonts w:ascii="Arial" w:hAnsi="Arial" w:cs="Arial"/>
        <w:b/>
        <w:sz w:val="20"/>
        <w:szCs w:val="20"/>
      </w:rPr>
      <w:tab/>
      <w:t>April 28, 2014</w:t>
    </w:r>
  </w:p>
  <w:p w:rsidR="006D2023" w:rsidRPr="000B5DB2" w:rsidRDefault="006D2023" w:rsidP="003662D0">
    <w:pPr>
      <w:pStyle w:val="Footer"/>
      <w:rPr>
        <w:rFonts w:ascii="Arial" w:hAnsi="Arial" w:cs="Arial"/>
        <w:b/>
        <w:sz w:val="20"/>
        <w:szCs w:val="20"/>
      </w:rPr>
    </w:pPr>
    <w:r w:rsidRPr="000B5DB2">
      <w:rPr>
        <w:rFonts w:ascii="Arial" w:hAnsi="Arial" w:cs="Arial"/>
        <w:b/>
        <w:sz w:val="20"/>
        <w:szCs w:val="20"/>
      </w:rPr>
      <w:t>Pacific Gas &amp; Electric Company</w:t>
    </w:r>
  </w:p>
  <w:p w:rsidR="006D2023" w:rsidRPr="003662D0" w:rsidRDefault="006D2023" w:rsidP="003662D0">
    <w:pPr>
      <w:pStyle w:val="Footer"/>
      <w:tabs>
        <w:tab w:val="clear" w:pos="8640"/>
        <w:tab w:val="right" w:pos="9360"/>
      </w:tabs>
      <w:rPr>
        <w:b/>
        <w:sz w:val="20"/>
        <w:szCs w:val="20"/>
      </w:rPr>
    </w:pP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FILENAME </w:instrText>
    </w:r>
    <w:r w:rsidRPr="000B5DB2">
      <w:rPr>
        <w:rFonts w:ascii="Arial" w:hAnsi="Arial" w:cs="Arial"/>
        <w:b/>
        <w:color w:val="0000FF"/>
        <w:sz w:val="20"/>
        <w:szCs w:val="20"/>
      </w:rPr>
      <w:fldChar w:fldCharType="separate"/>
    </w:r>
    <w:r>
      <w:rPr>
        <w:rFonts w:ascii="Arial" w:hAnsi="Arial" w:cs="Arial"/>
        <w:b/>
        <w:noProof/>
        <w:color w:val="0000FF"/>
        <w:sz w:val="20"/>
        <w:szCs w:val="20"/>
      </w:rPr>
      <w:t>PGE3PREF128_Medium Temp Open Case Retrofit_R2</w:t>
    </w:r>
    <w:r w:rsidRPr="000B5DB2">
      <w:rPr>
        <w:rFonts w:ascii="Arial" w:hAnsi="Arial" w:cs="Arial"/>
        <w:b/>
        <w:color w:val="0000FF"/>
        <w:sz w:val="20"/>
        <w:szCs w:val="20"/>
      </w:rPr>
      <w:fldChar w:fldCharType="end"/>
    </w:r>
    <w:r w:rsidRPr="000B5DB2">
      <w:rPr>
        <w:rFonts w:ascii="Arial" w:hAnsi="Arial" w:cs="Arial"/>
        <w:b/>
        <w:color w:val="0000FF"/>
        <w:sz w:val="20"/>
        <w:szCs w:val="20"/>
      </w:rPr>
      <w:t xml:space="preserve"> </w:t>
    </w:r>
    <w:r w:rsidRPr="000B5DB2">
      <w:rPr>
        <w:rFonts w:ascii="Arial" w:hAnsi="Arial" w:cs="Arial"/>
        <w:b/>
        <w:color w:val="0000FF"/>
        <w:sz w:val="20"/>
        <w:szCs w:val="20"/>
      </w:rPr>
      <w:tab/>
    </w: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PAGE  \* Arabic  \* MERGEFORMAT </w:instrText>
    </w:r>
    <w:r w:rsidRPr="000B5DB2">
      <w:rPr>
        <w:rFonts w:ascii="Arial" w:hAnsi="Arial" w:cs="Arial"/>
        <w:b/>
        <w:color w:val="0000FF"/>
        <w:sz w:val="20"/>
        <w:szCs w:val="20"/>
      </w:rPr>
      <w:fldChar w:fldCharType="separate"/>
    </w:r>
    <w:r w:rsidR="00002B4A">
      <w:rPr>
        <w:rFonts w:ascii="Arial" w:hAnsi="Arial" w:cs="Arial"/>
        <w:b/>
        <w:noProof/>
        <w:color w:val="0000FF"/>
        <w:sz w:val="20"/>
        <w:szCs w:val="20"/>
      </w:rPr>
      <w:t>10</w:t>
    </w:r>
    <w:r w:rsidRPr="000B5DB2">
      <w:rPr>
        <w:rFonts w:ascii="Arial" w:hAnsi="Arial" w:cs="Arial"/>
        <w:b/>
        <w:color w:val="0000F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BBB" w:rsidRDefault="00431BBB">
      <w:r>
        <w:separator/>
      </w:r>
    </w:p>
  </w:footnote>
  <w:footnote w:type="continuationSeparator" w:id="0">
    <w:p w:rsidR="00431BBB" w:rsidRDefault="00431B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023" w:rsidRDefault="00002B4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35.05pt;height:174pt;rotation:315;z-index:-25165619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023" w:rsidRDefault="006D2023" w:rsidP="001A573F">
    <w:pPr>
      <w:pStyle w:val="Header"/>
      <w:jc w:val="right"/>
    </w:pPr>
  </w:p>
  <w:p w:rsidR="006D2023" w:rsidRDefault="006D2023"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023" w:rsidRDefault="00002B4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28C814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4ACFD8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FA70464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C2E80E"/>
    <w:lvl w:ilvl="0">
      <w:start w:val="1"/>
      <w:numFmt w:val="decimal"/>
      <w:pStyle w:val="ListNumber2"/>
      <w:lvlText w:val="%1."/>
      <w:lvlJc w:val="left"/>
      <w:pPr>
        <w:tabs>
          <w:tab w:val="num" w:pos="720"/>
        </w:tabs>
        <w:ind w:left="720" w:hanging="360"/>
      </w:pPr>
    </w:lvl>
  </w:abstractNum>
  <w:abstractNum w:abstractNumId="4">
    <w:nsid w:val="FFFFFF80"/>
    <w:multiLevelType w:val="singleLevel"/>
    <w:tmpl w:val="A9440EA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23EEBDE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0F038C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E22233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CBEC89C"/>
    <w:lvl w:ilvl="0">
      <w:start w:val="1"/>
      <w:numFmt w:val="decimal"/>
      <w:pStyle w:val="ListNumber"/>
      <w:lvlText w:val="%1."/>
      <w:lvlJc w:val="left"/>
      <w:pPr>
        <w:tabs>
          <w:tab w:val="num" w:pos="360"/>
        </w:tabs>
        <w:ind w:left="360" w:hanging="360"/>
      </w:pPr>
    </w:lvl>
  </w:abstractNum>
  <w:abstractNum w:abstractNumId="9">
    <w:nsid w:val="FFFFFF89"/>
    <w:multiLevelType w:val="singleLevel"/>
    <w:tmpl w:val="0A4EC72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A22B6F"/>
    <w:multiLevelType w:val="hybridMultilevel"/>
    <w:tmpl w:val="A57E49AE"/>
    <w:lvl w:ilvl="0" w:tplc="320A181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C845F4"/>
    <w:multiLevelType w:val="hybridMultilevel"/>
    <w:tmpl w:val="D9449F74"/>
    <w:lvl w:ilvl="0" w:tplc="04090001">
      <w:start w:val="1"/>
      <w:numFmt w:val="bullet"/>
      <w:lvlText w:val=""/>
      <w:lvlJc w:val="left"/>
      <w:pPr>
        <w:tabs>
          <w:tab w:val="num" w:pos="783"/>
        </w:tabs>
        <w:ind w:left="783" w:hanging="360"/>
      </w:pPr>
      <w:rPr>
        <w:rFonts w:ascii="Symbol" w:hAnsi="Symbol"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12">
    <w:nsid w:val="084F6DA9"/>
    <w:multiLevelType w:val="hybridMultilevel"/>
    <w:tmpl w:val="52F27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BA141CB"/>
    <w:multiLevelType w:val="hybridMultilevel"/>
    <w:tmpl w:val="BB6A5A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6">
    <w:nsid w:val="0EDD610C"/>
    <w:multiLevelType w:val="multilevel"/>
    <w:tmpl w:val="D034DA4A"/>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23C21021"/>
    <w:multiLevelType w:val="hybridMultilevel"/>
    <w:tmpl w:val="B65C8CA0"/>
    <w:lvl w:ilvl="0" w:tplc="BEA43334">
      <w:start w:val="1"/>
      <w:numFmt w:val="bullet"/>
      <w:lvlText w:val="•"/>
      <w:lvlJc w:val="left"/>
      <w:pPr>
        <w:tabs>
          <w:tab w:val="num" w:pos="720"/>
        </w:tabs>
        <w:ind w:left="720" w:hanging="360"/>
      </w:pPr>
      <w:rPr>
        <w:rFonts w:ascii="HelveticaNeueLT Std" w:hAnsi="HelveticaNeueLT Std" w:hint="default"/>
      </w:rPr>
    </w:lvl>
    <w:lvl w:ilvl="1" w:tplc="04090001">
      <w:start w:val="1"/>
      <w:numFmt w:val="bullet"/>
      <w:lvlText w:val=""/>
      <w:lvlJc w:val="left"/>
      <w:pPr>
        <w:tabs>
          <w:tab w:val="num" w:pos="1440"/>
        </w:tabs>
        <w:ind w:left="1440" w:hanging="360"/>
      </w:pPr>
      <w:rPr>
        <w:rFonts w:ascii="Symbol" w:hAnsi="Symbol" w:hint="default"/>
      </w:rPr>
    </w:lvl>
    <w:lvl w:ilvl="2" w:tplc="54F6B37C" w:tentative="1">
      <w:start w:val="1"/>
      <w:numFmt w:val="bullet"/>
      <w:lvlText w:val="•"/>
      <w:lvlJc w:val="left"/>
      <w:pPr>
        <w:tabs>
          <w:tab w:val="num" w:pos="2160"/>
        </w:tabs>
        <w:ind w:left="2160" w:hanging="360"/>
      </w:pPr>
      <w:rPr>
        <w:rFonts w:ascii="HelveticaNeueLT Std" w:hAnsi="HelveticaNeueLT Std" w:hint="default"/>
      </w:rPr>
    </w:lvl>
    <w:lvl w:ilvl="3" w:tplc="42CE4E8E" w:tentative="1">
      <w:start w:val="1"/>
      <w:numFmt w:val="bullet"/>
      <w:lvlText w:val="•"/>
      <w:lvlJc w:val="left"/>
      <w:pPr>
        <w:tabs>
          <w:tab w:val="num" w:pos="2880"/>
        </w:tabs>
        <w:ind w:left="2880" w:hanging="360"/>
      </w:pPr>
      <w:rPr>
        <w:rFonts w:ascii="HelveticaNeueLT Std" w:hAnsi="HelveticaNeueLT Std" w:hint="default"/>
      </w:rPr>
    </w:lvl>
    <w:lvl w:ilvl="4" w:tplc="181C5394" w:tentative="1">
      <w:start w:val="1"/>
      <w:numFmt w:val="bullet"/>
      <w:lvlText w:val="•"/>
      <w:lvlJc w:val="left"/>
      <w:pPr>
        <w:tabs>
          <w:tab w:val="num" w:pos="3600"/>
        </w:tabs>
        <w:ind w:left="3600" w:hanging="360"/>
      </w:pPr>
      <w:rPr>
        <w:rFonts w:ascii="HelveticaNeueLT Std" w:hAnsi="HelveticaNeueLT Std" w:hint="default"/>
      </w:rPr>
    </w:lvl>
    <w:lvl w:ilvl="5" w:tplc="BFEE8B20" w:tentative="1">
      <w:start w:val="1"/>
      <w:numFmt w:val="bullet"/>
      <w:lvlText w:val="•"/>
      <w:lvlJc w:val="left"/>
      <w:pPr>
        <w:tabs>
          <w:tab w:val="num" w:pos="4320"/>
        </w:tabs>
        <w:ind w:left="4320" w:hanging="360"/>
      </w:pPr>
      <w:rPr>
        <w:rFonts w:ascii="HelveticaNeueLT Std" w:hAnsi="HelveticaNeueLT Std" w:hint="default"/>
      </w:rPr>
    </w:lvl>
    <w:lvl w:ilvl="6" w:tplc="E3E67C18" w:tentative="1">
      <w:start w:val="1"/>
      <w:numFmt w:val="bullet"/>
      <w:lvlText w:val="•"/>
      <w:lvlJc w:val="left"/>
      <w:pPr>
        <w:tabs>
          <w:tab w:val="num" w:pos="5040"/>
        </w:tabs>
        <w:ind w:left="5040" w:hanging="360"/>
      </w:pPr>
      <w:rPr>
        <w:rFonts w:ascii="HelveticaNeueLT Std" w:hAnsi="HelveticaNeueLT Std" w:hint="default"/>
      </w:rPr>
    </w:lvl>
    <w:lvl w:ilvl="7" w:tplc="1CE6F948" w:tentative="1">
      <w:start w:val="1"/>
      <w:numFmt w:val="bullet"/>
      <w:lvlText w:val="•"/>
      <w:lvlJc w:val="left"/>
      <w:pPr>
        <w:tabs>
          <w:tab w:val="num" w:pos="5760"/>
        </w:tabs>
        <w:ind w:left="5760" w:hanging="360"/>
      </w:pPr>
      <w:rPr>
        <w:rFonts w:ascii="HelveticaNeueLT Std" w:hAnsi="HelveticaNeueLT Std" w:hint="default"/>
      </w:rPr>
    </w:lvl>
    <w:lvl w:ilvl="8" w:tplc="098CA1EA" w:tentative="1">
      <w:start w:val="1"/>
      <w:numFmt w:val="bullet"/>
      <w:lvlText w:val="•"/>
      <w:lvlJc w:val="left"/>
      <w:pPr>
        <w:tabs>
          <w:tab w:val="num" w:pos="6480"/>
        </w:tabs>
        <w:ind w:left="6480" w:hanging="360"/>
      </w:pPr>
      <w:rPr>
        <w:rFonts w:ascii="HelveticaNeueLT Std" w:hAnsi="HelveticaNeueLT Std" w:hint="default"/>
      </w:rPr>
    </w:lvl>
  </w:abstractNum>
  <w:abstractNum w:abstractNumId="23">
    <w:nsid w:val="25C65FD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26">
    <w:nsid w:val="35A36371"/>
    <w:multiLevelType w:val="hybridMultilevel"/>
    <w:tmpl w:val="7FDC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A10256"/>
    <w:multiLevelType w:val="multilevel"/>
    <w:tmpl w:val="7AEE81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5836ABE"/>
    <w:multiLevelType w:val="multilevel"/>
    <w:tmpl w:val="6F8A61F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458C46B9"/>
    <w:multiLevelType w:val="hybridMultilevel"/>
    <w:tmpl w:val="BB94C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77066AC"/>
    <w:multiLevelType w:val="multilevel"/>
    <w:tmpl w:val="D034DA4A"/>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6">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764916AE"/>
    <w:multiLevelType w:val="hybridMultilevel"/>
    <w:tmpl w:val="22B60BDE"/>
    <w:lvl w:ilvl="0" w:tplc="320A181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7820856"/>
    <w:multiLevelType w:val="singleLevel"/>
    <w:tmpl w:val="6C78A414"/>
    <w:lvl w:ilvl="0">
      <w:start w:val="1"/>
      <w:numFmt w:val="decimal"/>
      <w:lvlText w:val="%1."/>
      <w:legacy w:legacy="1" w:legacySpace="0" w:legacyIndent="0"/>
      <w:lvlJc w:val="left"/>
    </w:lvl>
  </w:abstractNum>
  <w:abstractNum w:abstractNumId="39">
    <w:nsid w:val="7B0E0EB6"/>
    <w:multiLevelType w:val="multilevel"/>
    <w:tmpl w:val="E286D11C"/>
    <w:lvl w:ilvl="0">
      <w:start w:val="1"/>
      <w:numFmt w:val="decimal"/>
      <w:lvlText w:val="%1"/>
      <w:lvlJc w:val="left"/>
      <w:pPr>
        <w:tabs>
          <w:tab w:val="num" w:pos="405"/>
        </w:tabs>
        <w:ind w:left="405" w:hanging="4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8"/>
  </w:num>
  <w:num w:numId="3">
    <w:abstractNumId w:val="19"/>
  </w:num>
  <w:num w:numId="4">
    <w:abstractNumId w:val="21"/>
  </w:num>
  <w:num w:numId="5">
    <w:abstractNumId w:val="38"/>
  </w:num>
  <w:num w:numId="6">
    <w:abstractNumId w:val="25"/>
  </w:num>
  <w:num w:numId="7">
    <w:abstractNumId w:val="20"/>
  </w:num>
  <w:num w:numId="8">
    <w:abstractNumId w:val="29"/>
  </w:num>
  <w:num w:numId="9">
    <w:abstractNumId w:val="24"/>
  </w:num>
  <w:num w:numId="10">
    <w:abstractNumId w:val="15"/>
  </w:num>
  <w:num w:numId="11">
    <w:abstractNumId w:val="35"/>
  </w:num>
  <w:num w:numId="12">
    <w:abstractNumId w:val="36"/>
  </w:num>
  <w:num w:numId="13">
    <w:abstractNumId w:val="18"/>
  </w:num>
  <w:num w:numId="14">
    <w:abstractNumId w:val="40"/>
  </w:num>
  <w:num w:numId="15">
    <w:abstractNumId w:val="30"/>
  </w:num>
  <w:num w:numId="16">
    <w:abstractNumId w:val="34"/>
  </w:num>
  <w:num w:numId="17">
    <w:abstractNumId w:val="13"/>
  </w:num>
  <w:num w:numId="18">
    <w:abstractNumId w:val="10"/>
  </w:num>
  <w:num w:numId="19">
    <w:abstractNumId w:val="37"/>
  </w:num>
  <w:num w:numId="20">
    <w:abstractNumId w:val="11"/>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4"/>
  </w:num>
  <w:num w:numId="32">
    <w:abstractNumId w:val="39"/>
  </w:num>
  <w:num w:numId="33">
    <w:abstractNumId w:val="33"/>
  </w:num>
  <w:num w:numId="34">
    <w:abstractNumId w:val="16"/>
  </w:num>
  <w:num w:numId="35">
    <w:abstractNumId w:val="31"/>
  </w:num>
  <w:num w:numId="36">
    <w:abstractNumId w:val="22"/>
  </w:num>
  <w:num w:numId="37">
    <w:abstractNumId w:val="32"/>
  </w:num>
  <w:num w:numId="38">
    <w:abstractNumId w:val="23"/>
  </w:num>
  <w:num w:numId="39">
    <w:abstractNumId w:val="27"/>
  </w:num>
  <w:num w:numId="40">
    <w:abstractNumId w:val="12"/>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1AD"/>
    <w:rsid w:val="00002B4A"/>
    <w:rsid w:val="00004FEF"/>
    <w:rsid w:val="000057CB"/>
    <w:rsid w:val="00005E70"/>
    <w:rsid w:val="00007C0E"/>
    <w:rsid w:val="00010DB4"/>
    <w:rsid w:val="00012F86"/>
    <w:rsid w:val="00014740"/>
    <w:rsid w:val="0001647C"/>
    <w:rsid w:val="000170B5"/>
    <w:rsid w:val="00017488"/>
    <w:rsid w:val="00024AA9"/>
    <w:rsid w:val="00026F78"/>
    <w:rsid w:val="000272C2"/>
    <w:rsid w:val="0003064A"/>
    <w:rsid w:val="00032B63"/>
    <w:rsid w:val="00033E10"/>
    <w:rsid w:val="00034798"/>
    <w:rsid w:val="000351CB"/>
    <w:rsid w:val="000374A5"/>
    <w:rsid w:val="00044570"/>
    <w:rsid w:val="00054FC2"/>
    <w:rsid w:val="000571F6"/>
    <w:rsid w:val="000574EE"/>
    <w:rsid w:val="00057C09"/>
    <w:rsid w:val="00063FA7"/>
    <w:rsid w:val="0006490F"/>
    <w:rsid w:val="00066D5B"/>
    <w:rsid w:val="000678A2"/>
    <w:rsid w:val="00067EB5"/>
    <w:rsid w:val="000701EB"/>
    <w:rsid w:val="000719AA"/>
    <w:rsid w:val="000749EA"/>
    <w:rsid w:val="000770BC"/>
    <w:rsid w:val="00077161"/>
    <w:rsid w:val="000814B9"/>
    <w:rsid w:val="000842B9"/>
    <w:rsid w:val="00085DF5"/>
    <w:rsid w:val="00086594"/>
    <w:rsid w:val="00087378"/>
    <w:rsid w:val="00087944"/>
    <w:rsid w:val="00094EF3"/>
    <w:rsid w:val="00095610"/>
    <w:rsid w:val="000966CC"/>
    <w:rsid w:val="000A2FB3"/>
    <w:rsid w:val="000A48F2"/>
    <w:rsid w:val="000A5B22"/>
    <w:rsid w:val="000B0B1E"/>
    <w:rsid w:val="000C0FD3"/>
    <w:rsid w:val="000C4349"/>
    <w:rsid w:val="000D493D"/>
    <w:rsid w:val="000E132D"/>
    <w:rsid w:val="000E31B5"/>
    <w:rsid w:val="000E4432"/>
    <w:rsid w:val="000F0069"/>
    <w:rsid w:val="000F11DD"/>
    <w:rsid w:val="0010572F"/>
    <w:rsid w:val="00115EB1"/>
    <w:rsid w:val="001248A3"/>
    <w:rsid w:val="00124F32"/>
    <w:rsid w:val="00126483"/>
    <w:rsid w:val="00126A4E"/>
    <w:rsid w:val="00127CC8"/>
    <w:rsid w:val="0013046A"/>
    <w:rsid w:val="0013080C"/>
    <w:rsid w:val="0013087E"/>
    <w:rsid w:val="00133198"/>
    <w:rsid w:val="00133C60"/>
    <w:rsid w:val="00136D56"/>
    <w:rsid w:val="00141E09"/>
    <w:rsid w:val="00150EC7"/>
    <w:rsid w:val="00155EF5"/>
    <w:rsid w:val="00163AC7"/>
    <w:rsid w:val="00165636"/>
    <w:rsid w:val="00167F2B"/>
    <w:rsid w:val="0017179F"/>
    <w:rsid w:val="00172149"/>
    <w:rsid w:val="00175673"/>
    <w:rsid w:val="00176431"/>
    <w:rsid w:val="00176F3A"/>
    <w:rsid w:val="001805FF"/>
    <w:rsid w:val="00183681"/>
    <w:rsid w:val="00183C8E"/>
    <w:rsid w:val="00185C04"/>
    <w:rsid w:val="001946B1"/>
    <w:rsid w:val="00194E14"/>
    <w:rsid w:val="00196221"/>
    <w:rsid w:val="001965AF"/>
    <w:rsid w:val="00196D7C"/>
    <w:rsid w:val="00197A23"/>
    <w:rsid w:val="001A2D14"/>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2942"/>
    <w:rsid w:val="001C7CCE"/>
    <w:rsid w:val="001D11CE"/>
    <w:rsid w:val="001D16C2"/>
    <w:rsid w:val="001D1995"/>
    <w:rsid w:val="001D3F48"/>
    <w:rsid w:val="001D483C"/>
    <w:rsid w:val="001E0AFF"/>
    <w:rsid w:val="001E5B81"/>
    <w:rsid w:val="001E7CA0"/>
    <w:rsid w:val="001F4083"/>
    <w:rsid w:val="001F60D5"/>
    <w:rsid w:val="001F627F"/>
    <w:rsid w:val="001F7023"/>
    <w:rsid w:val="00200174"/>
    <w:rsid w:val="002101C1"/>
    <w:rsid w:val="00211BAC"/>
    <w:rsid w:val="002154B2"/>
    <w:rsid w:val="002170D6"/>
    <w:rsid w:val="002203EA"/>
    <w:rsid w:val="0022055B"/>
    <w:rsid w:val="0022067C"/>
    <w:rsid w:val="002207C3"/>
    <w:rsid w:val="0022240A"/>
    <w:rsid w:val="00222E83"/>
    <w:rsid w:val="0022428B"/>
    <w:rsid w:val="002257FA"/>
    <w:rsid w:val="00227935"/>
    <w:rsid w:val="00235694"/>
    <w:rsid w:val="0024233E"/>
    <w:rsid w:val="00243BAC"/>
    <w:rsid w:val="00244BD6"/>
    <w:rsid w:val="00245A56"/>
    <w:rsid w:val="00246118"/>
    <w:rsid w:val="002466F4"/>
    <w:rsid w:val="00252352"/>
    <w:rsid w:val="00255067"/>
    <w:rsid w:val="0025738E"/>
    <w:rsid w:val="002628B9"/>
    <w:rsid w:val="002633B2"/>
    <w:rsid w:val="00264B03"/>
    <w:rsid w:val="00274169"/>
    <w:rsid w:val="0027474D"/>
    <w:rsid w:val="00274A7E"/>
    <w:rsid w:val="00276918"/>
    <w:rsid w:val="00276ED1"/>
    <w:rsid w:val="0027792C"/>
    <w:rsid w:val="00282C97"/>
    <w:rsid w:val="00285AF5"/>
    <w:rsid w:val="0028709C"/>
    <w:rsid w:val="002875C9"/>
    <w:rsid w:val="00291D75"/>
    <w:rsid w:val="00295B67"/>
    <w:rsid w:val="00297B0C"/>
    <w:rsid w:val="002A2C2E"/>
    <w:rsid w:val="002A4B6C"/>
    <w:rsid w:val="002B0ECF"/>
    <w:rsid w:val="002C12FA"/>
    <w:rsid w:val="002C1EB6"/>
    <w:rsid w:val="002C21F9"/>
    <w:rsid w:val="002C26EB"/>
    <w:rsid w:val="002C321E"/>
    <w:rsid w:val="002C42E0"/>
    <w:rsid w:val="002C4490"/>
    <w:rsid w:val="002C4F1C"/>
    <w:rsid w:val="002C518C"/>
    <w:rsid w:val="002C7B46"/>
    <w:rsid w:val="002D067B"/>
    <w:rsid w:val="002D0F51"/>
    <w:rsid w:val="002D27DC"/>
    <w:rsid w:val="002D4621"/>
    <w:rsid w:val="002E0043"/>
    <w:rsid w:val="002E40A2"/>
    <w:rsid w:val="002E47B4"/>
    <w:rsid w:val="002E5671"/>
    <w:rsid w:val="002F105C"/>
    <w:rsid w:val="002F3610"/>
    <w:rsid w:val="002F3FE5"/>
    <w:rsid w:val="002F4E8C"/>
    <w:rsid w:val="002F6F00"/>
    <w:rsid w:val="0030114D"/>
    <w:rsid w:val="003020BE"/>
    <w:rsid w:val="00302B74"/>
    <w:rsid w:val="003032B7"/>
    <w:rsid w:val="0030550A"/>
    <w:rsid w:val="003107FA"/>
    <w:rsid w:val="003129E8"/>
    <w:rsid w:val="00315AB7"/>
    <w:rsid w:val="00324AFE"/>
    <w:rsid w:val="00324D0F"/>
    <w:rsid w:val="003259CD"/>
    <w:rsid w:val="0032657A"/>
    <w:rsid w:val="00333E01"/>
    <w:rsid w:val="00335017"/>
    <w:rsid w:val="0033630D"/>
    <w:rsid w:val="00340DAD"/>
    <w:rsid w:val="00345971"/>
    <w:rsid w:val="00345DE6"/>
    <w:rsid w:val="0034647B"/>
    <w:rsid w:val="00350382"/>
    <w:rsid w:val="003521B7"/>
    <w:rsid w:val="00353DC2"/>
    <w:rsid w:val="00362067"/>
    <w:rsid w:val="00363054"/>
    <w:rsid w:val="00365C49"/>
    <w:rsid w:val="003662D0"/>
    <w:rsid w:val="00366565"/>
    <w:rsid w:val="00374640"/>
    <w:rsid w:val="00377407"/>
    <w:rsid w:val="0038391A"/>
    <w:rsid w:val="00392247"/>
    <w:rsid w:val="00392B5E"/>
    <w:rsid w:val="00392C05"/>
    <w:rsid w:val="00392FBB"/>
    <w:rsid w:val="00393618"/>
    <w:rsid w:val="00393D41"/>
    <w:rsid w:val="00395845"/>
    <w:rsid w:val="003A1A20"/>
    <w:rsid w:val="003A1B51"/>
    <w:rsid w:val="003A648E"/>
    <w:rsid w:val="003A66D0"/>
    <w:rsid w:val="003B384E"/>
    <w:rsid w:val="003B51DE"/>
    <w:rsid w:val="003B5EE9"/>
    <w:rsid w:val="003C27C4"/>
    <w:rsid w:val="003C3A3C"/>
    <w:rsid w:val="003C48C5"/>
    <w:rsid w:val="003C5980"/>
    <w:rsid w:val="003C6DFA"/>
    <w:rsid w:val="003D04BC"/>
    <w:rsid w:val="003D36AD"/>
    <w:rsid w:val="003D3F36"/>
    <w:rsid w:val="003D5191"/>
    <w:rsid w:val="003D60B8"/>
    <w:rsid w:val="003E24CE"/>
    <w:rsid w:val="003E3441"/>
    <w:rsid w:val="003E3941"/>
    <w:rsid w:val="003E540D"/>
    <w:rsid w:val="003E7422"/>
    <w:rsid w:val="003E7CF9"/>
    <w:rsid w:val="003E7D3D"/>
    <w:rsid w:val="003E7E0A"/>
    <w:rsid w:val="003F0CBE"/>
    <w:rsid w:val="003F3DED"/>
    <w:rsid w:val="003F4B1F"/>
    <w:rsid w:val="003F57BD"/>
    <w:rsid w:val="003F5B70"/>
    <w:rsid w:val="004018B3"/>
    <w:rsid w:val="0040323C"/>
    <w:rsid w:val="00403FBE"/>
    <w:rsid w:val="004078BB"/>
    <w:rsid w:val="0041339D"/>
    <w:rsid w:val="00415754"/>
    <w:rsid w:val="004162E3"/>
    <w:rsid w:val="00420E2E"/>
    <w:rsid w:val="00421ED8"/>
    <w:rsid w:val="0042297B"/>
    <w:rsid w:val="00422F19"/>
    <w:rsid w:val="0042398E"/>
    <w:rsid w:val="00423B48"/>
    <w:rsid w:val="00424F8F"/>
    <w:rsid w:val="00425FE9"/>
    <w:rsid w:val="004266FA"/>
    <w:rsid w:val="00427131"/>
    <w:rsid w:val="00431BBB"/>
    <w:rsid w:val="004323E9"/>
    <w:rsid w:val="00432C65"/>
    <w:rsid w:val="004339ED"/>
    <w:rsid w:val="00433B89"/>
    <w:rsid w:val="00436F7E"/>
    <w:rsid w:val="00437947"/>
    <w:rsid w:val="0044128D"/>
    <w:rsid w:val="004419D3"/>
    <w:rsid w:val="00442981"/>
    <w:rsid w:val="0044337C"/>
    <w:rsid w:val="00445790"/>
    <w:rsid w:val="00450273"/>
    <w:rsid w:val="004509A5"/>
    <w:rsid w:val="004519B1"/>
    <w:rsid w:val="004551F3"/>
    <w:rsid w:val="00455856"/>
    <w:rsid w:val="004563F1"/>
    <w:rsid w:val="004602EC"/>
    <w:rsid w:val="004617A6"/>
    <w:rsid w:val="00461F75"/>
    <w:rsid w:val="00467495"/>
    <w:rsid w:val="00467FE9"/>
    <w:rsid w:val="00474025"/>
    <w:rsid w:val="00474643"/>
    <w:rsid w:val="004764DE"/>
    <w:rsid w:val="0048008C"/>
    <w:rsid w:val="0048087F"/>
    <w:rsid w:val="004809C9"/>
    <w:rsid w:val="00480BAD"/>
    <w:rsid w:val="00480C7E"/>
    <w:rsid w:val="00486CF9"/>
    <w:rsid w:val="00487D95"/>
    <w:rsid w:val="00492048"/>
    <w:rsid w:val="00493B0D"/>
    <w:rsid w:val="004944D0"/>
    <w:rsid w:val="00496011"/>
    <w:rsid w:val="004967A2"/>
    <w:rsid w:val="00497CD3"/>
    <w:rsid w:val="004A2D46"/>
    <w:rsid w:val="004A3A35"/>
    <w:rsid w:val="004A6FCA"/>
    <w:rsid w:val="004A7BDE"/>
    <w:rsid w:val="004B0F48"/>
    <w:rsid w:val="004B2CFB"/>
    <w:rsid w:val="004B4489"/>
    <w:rsid w:val="004C4E2A"/>
    <w:rsid w:val="004C56D1"/>
    <w:rsid w:val="004C6C35"/>
    <w:rsid w:val="004D2C76"/>
    <w:rsid w:val="004D3791"/>
    <w:rsid w:val="004D465B"/>
    <w:rsid w:val="004D58D5"/>
    <w:rsid w:val="004D71AF"/>
    <w:rsid w:val="004D7301"/>
    <w:rsid w:val="004F1DB8"/>
    <w:rsid w:val="004F3EDB"/>
    <w:rsid w:val="004F55EC"/>
    <w:rsid w:val="004F61DD"/>
    <w:rsid w:val="00502569"/>
    <w:rsid w:val="00504E17"/>
    <w:rsid w:val="00506204"/>
    <w:rsid w:val="00511171"/>
    <w:rsid w:val="005115EC"/>
    <w:rsid w:val="005136CC"/>
    <w:rsid w:val="00513858"/>
    <w:rsid w:val="00514B37"/>
    <w:rsid w:val="00514EEC"/>
    <w:rsid w:val="00516C89"/>
    <w:rsid w:val="00521874"/>
    <w:rsid w:val="00521920"/>
    <w:rsid w:val="0052346E"/>
    <w:rsid w:val="005246B1"/>
    <w:rsid w:val="00525B7E"/>
    <w:rsid w:val="0052755A"/>
    <w:rsid w:val="00530B04"/>
    <w:rsid w:val="005343FD"/>
    <w:rsid w:val="0053683E"/>
    <w:rsid w:val="00537AA7"/>
    <w:rsid w:val="00537B0D"/>
    <w:rsid w:val="005403E8"/>
    <w:rsid w:val="0054183C"/>
    <w:rsid w:val="00542990"/>
    <w:rsid w:val="00542A98"/>
    <w:rsid w:val="00543E85"/>
    <w:rsid w:val="00544789"/>
    <w:rsid w:val="005453C5"/>
    <w:rsid w:val="0054599C"/>
    <w:rsid w:val="00545A84"/>
    <w:rsid w:val="005467EF"/>
    <w:rsid w:val="00551073"/>
    <w:rsid w:val="00551EF3"/>
    <w:rsid w:val="00552F61"/>
    <w:rsid w:val="00554084"/>
    <w:rsid w:val="0055577D"/>
    <w:rsid w:val="00557E24"/>
    <w:rsid w:val="00560593"/>
    <w:rsid w:val="0056163A"/>
    <w:rsid w:val="00562217"/>
    <w:rsid w:val="00563BE5"/>
    <w:rsid w:val="00565CE6"/>
    <w:rsid w:val="00567397"/>
    <w:rsid w:val="00574FBD"/>
    <w:rsid w:val="005773BB"/>
    <w:rsid w:val="00577599"/>
    <w:rsid w:val="00585C83"/>
    <w:rsid w:val="00586604"/>
    <w:rsid w:val="005A1F9D"/>
    <w:rsid w:val="005A3798"/>
    <w:rsid w:val="005A67E5"/>
    <w:rsid w:val="005A6B35"/>
    <w:rsid w:val="005A7302"/>
    <w:rsid w:val="005B67ED"/>
    <w:rsid w:val="005C0DCB"/>
    <w:rsid w:val="005C2844"/>
    <w:rsid w:val="005C7F3F"/>
    <w:rsid w:val="005D1EC5"/>
    <w:rsid w:val="005D4437"/>
    <w:rsid w:val="005D6266"/>
    <w:rsid w:val="005E2187"/>
    <w:rsid w:val="005E4FE9"/>
    <w:rsid w:val="005F19E0"/>
    <w:rsid w:val="005F480C"/>
    <w:rsid w:val="005F57B5"/>
    <w:rsid w:val="005F7AA1"/>
    <w:rsid w:val="00604FAE"/>
    <w:rsid w:val="00607605"/>
    <w:rsid w:val="0061001E"/>
    <w:rsid w:val="00610B3C"/>
    <w:rsid w:val="00616EFF"/>
    <w:rsid w:val="0061765C"/>
    <w:rsid w:val="00622319"/>
    <w:rsid w:val="00623394"/>
    <w:rsid w:val="0062416A"/>
    <w:rsid w:val="00625FB3"/>
    <w:rsid w:val="00626129"/>
    <w:rsid w:val="00630596"/>
    <w:rsid w:val="00632A52"/>
    <w:rsid w:val="00634414"/>
    <w:rsid w:val="00636012"/>
    <w:rsid w:val="00636908"/>
    <w:rsid w:val="00636987"/>
    <w:rsid w:val="00640BB6"/>
    <w:rsid w:val="006423D2"/>
    <w:rsid w:val="00642FCD"/>
    <w:rsid w:val="006433B2"/>
    <w:rsid w:val="006479BF"/>
    <w:rsid w:val="00652DD9"/>
    <w:rsid w:val="006559C8"/>
    <w:rsid w:val="00657405"/>
    <w:rsid w:val="006605C2"/>
    <w:rsid w:val="00661864"/>
    <w:rsid w:val="00663A00"/>
    <w:rsid w:val="00664FA6"/>
    <w:rsid w:val="0066632E"/>
    <w:rsid w:val="006832A4"/>
    <w:rsid w:val="006846E9"/>
    <w:rsid w:val="0068498E"/>
    <w:rsid w:val="006872DB"/>
    <w:rsid w:val="0069578F"/>
    <w:rsid w:val="00695ED2"/>
    <w:rsid w:val="006A1022"/>
    <w:rsid w:val="006A1A83"/>
    <w:rsid w:val="006A2C4B"/>
    <w:rsid w:val="006A541C"/>
    <w:rsid w:val="006A55D2"/>
    <w:rsid w:val="006B187A"/>
    <w:rsid w:val="006B42B8"/>
    <w:rsid w:val="006B6104"/>
    <w:rsid w:val="006B763D"/>
    <w:rsid w:val="006B7EDD"/>
    <w:rsid w:val="006C356D"/>
    <w:rsid w:val="006D0365"/>
    <w:rsid w:val="006D2023"/>
    <w:rsid w:val="006D2068"/>
    <w:rsid w:val="006D3725"/>
    <w:rsid w:val="006D4AE1"/>
    <w:rsid w:val="006D52D8"/>
    <w:rsid w:val="006D5AAB"/>
    <w:rsid w:val="006E0111"/>
    <w:rsid w:val="006E2888"/>
    <w:rsid w:val="006E3C13"/>
    <w:rsid w:val="006F0139"/>
    <w:rsid w:val="006F214B"/>
    <w:rsid w:val="006F28C7"/>
    <w:rsid w:val="006F4094"/>
    <w:rsid w:val="007001DD"/>
    <w:rsid w:val="00700E58"/>
    <w:rsid w:val="0070443C"/>
    <w:rsid w:val="00712407"/>
    <w:rsid w:val="00712477"/>
    <w:rsid w:val="00721A54"/>
    <w:rsid w:val="00721C75"/>
    <w:rsid w:val="007228DB"/>
    <w:rsid w:val="00723862"/>
    <w:rsid w:val="007244FF"/>
    <w:rsid w:val="00731859"/>
    <w:rsid w:val="00733275"/>
    <w:rsid w:val="00735325"/>
    <w:rsid w:val="00735A4C"/>
    <w:rsid w:val="00735CB1"/>
    <w:rsid w:val="00737910"/>
    <w:rsid w:val="00741F74"/>
    <w:rsid w:val="00742E8A"/>
    <w:rsid w:val="007431B7"/>
    <w:rsid w:val="00743D75"/>
    <w:rsid w:val="00744BE4"/>
    <w:rsid w:val="00745482"/>
    <w:rsid w:val="00746DDC"/>
    <w:rsid w:val="007475AA"/>
    <w:rsid w:val="0075061C"/>
    <w:rsid w:val="007527C9"/>
    <w:rsid w:val="00754D25"/>
    <w:rsid w:val="00755961"/>
    <w:rsid w:val="00756A18"/>
    <w:rsid w:val="00757590"/>
    <w:rsid w:val="007652CE"/>
    <w:rsid w:val="00765936"/>
    <w:rsid w:val="00767D95"/>
    <w:rsid w:val="007724D4"/>
    <w:rsid w:val="0077416A"/>
    <w:rsid w:val="007806DB"/>
    <w:rsid w:val="007821CF"/>
    <w:rsid w:val="00783304"/>
    <w:rsid w:val="00783DAC"/>
    <w:rsid w:val="00784500"/>
    <w:rsid w:val="00785112"/>
    <w:rsid w:val="00786700"/>
    <w:rsid w:val="007878B9"/>
    <w:rsid w:val="007931BC"/>
    <w:rsid w:val="00793646"/>
    <w:rsid w:val="00794007"/>
    <w:rsid w:val="0079521E"/>
    <w:rsid w:val="00796071"/>
    <w:rsid w:val="007A1510"/>
    <w:rsid w:val="007A4D97"/>
    <w:rsid w:val="007A768C"/>
    <w:rsid w:val="007B0C5A"/>
    <w:rsid w:val="007B237A"/>
    <w:rsid w:val="007B2CAC"/>
    <w:rsid w:val="007B44FB"/>
    <w:rsid w:val="007C0C51"/>
    <w:rsid w:val="007C0E38"/>
    <w:rsid w:val="007C18E3"/>
    <w:rsid w:val="007C20AE"/>
    <w:rsid w:val="007C4E08"/>
    <w:rsid w:val="007C4FF7"/>
    <w:rsid w:val="007D2F4C"/>
    <w:rsid w:val="007D3DFF"/>
    <w:rsid w:val="007D3F38"/>
    <w:rsid w:val="007D471A"/>
    <w:rsid w:val="007D4DB8"/>
    <w:rsid w:val="007E2197"/>
    <w:rsid w:val="007E3304"/>
    <w:rsid w:val="007E3817"/>
    <w:rsid w:val="007F0641"/>
    <w:rsid w:val="007F1E48"/>
    <w:rsid w:val="007F2B0D"/>
    <w:rsid w:val="007F4605"/>
    <w:rsid w:val="007F56BB"/>
    <w:rsid w:val="007F6C7D"/>
    <w:rsid w:val="008026F6"/>
    <w:rsid w:val="00803F84"/>
    <w:rsid w:val="00804272"/>
    <w:rsid w:val="00806070"/>
    <w:rsid w:val="00806EE8"/>
    <w:rsid w:val="00811D89"/>
    <w:rsid w:val="00814500"/>
    <w:rsid w:val="00816230"/>
    <w:rsid w:val="00820A87"/>
    <w:rsid w:val="00822F77"/>
    <w:rsid w:val="0082616A"/>
    <w:rsid w:val="00827E05"/>
    <w:rsid w:val="00833AF7"/>
    <w:rsid w:val="00834023"/>
    <w:rsid w:val="00835579"/>
    <w:rsid w:val="00836F9B"/>
    <w:rsid w:val="00844106"/>
    <w:rsid w:val="00844B27"/>
    <w:rsid w:val="00844D29"/>
    <w:rsid w:val="00846195"/>
    <w:rsid w:val="00846FA0"/>
    <w:rsid w:val="008479B6"/>
    <w:rsid w:val="0086002F"/>
    <w:rsid w:val="00863F9D"/>
    <w:rsid w:val="008645F9"/>
    <w:rsid w:val="0086628A"/>
    <w:rsid w:val="008679C2"/>
    <w:rsid w:val="00871279"/>
    <w:rsid w:val="00872913"/>
    <w:rsid w:val="0087313C"/>
    <w:rsid w:val="00873F82"/>
    <w:rsid w:val="00880CA5"/>
    <w:rsid w:val="008817B1"/>
    <w:rsid w:val="00882B9D"/>
    <w:rsid w:val="008834BB"/>
    <w:rsid w:val="008840FA"/>
    <w:rsid w:val="008846D2"/>
    <w:rsid w:val="00890F95"/>
    <w:rsid w:val="0089311A"/>
    <w:rsid w:val="008931DE"/>
    <w:rsid w:val="008946C3"/>
    <w:rsid w:val="008948E0"/>
    <w:rsid w:val="0089528C"/>
    <w:rsid w:val="00896056"/>
    <w:rsid w:val="008A09B3"/>
    <w:rsid w:val="008A1B9C"/>
    <w:rsid w:val="008B034D"/>
    <w:rsid w:val="008B0BBC"/>
    <w:rsid w:val="008B33B7"/>
    <w:rsid w:val="008B4153"/>
    <w:rsid w:val="008B5356"/>
    <w:rsid w:val="008B7927"/>
    <w:rsid w:val="008C0629"/>
    <w:rsid w:val="008C6A2F"/>
    <w:rsid w:val="008C6AD1"/>
    <w:rsid w:val="008C71B5"/>
    <w:rsid w:val="008E286A"/>
    <w:rsid w:val="008E30FD"/>
    <w:rsid w:val="008E431F"/>
    <w:rsid w:val="008E5A29"/>
    <w:rsid w:val="008E5E12"/>
    <w:rsid w:val="008E7942"/>
    <w:rsid w:val="008F0D2A"/>
    <w:rsid w:val="008F12D4"/>
    <w:rsid w:val="008F1342"/>
    <w:rsid w:val="008F17A0"/>
    <w:rsid w:val="008F1968"/>
    <w:rsid w:val="008F23EF"/>
    <w:rsid w:val="008F386F"/>
    <w:rsid w:val="008F48E1"/>
    <w:rsid w:val="008F5BD0"/>
    <w:rsid w:val="009003FE"/>
    <w:rsid w:val="00903C95"/>
    <w:rsid w:val="009046D4"/>
    <w:rsid w:val="0091058D"/>
    <w:rsid w:val="00913858"/>
    <w:rsid w:val="00913A0F"/>
    <w:rsid w:val="00914959"/>
    <w:rsid w:val="00914E84"/>
    <w:rsid w:val="00915CE6"/>
    <w:rsid w:val="009168A1"/>
    <w:rsid w:val="00917C8B"/>
    <w:rsid w:val="00921780"/>
    <w:rsid w:val="00923FD4"/>
    <w:rsid w:val="00924681"/>
    <w:rsid w:val="0092622E"/>
    <w:rsid w:val="00930877"/>
    <w:rsid w:val="00940DA3"/>
    <w:rsid w:val="00943F87"/>
    <w:rsid w:val="00945CB0"/>
    <w:rsid w:val="00946B20"/>
    <w:rsid w:val="00951188"/>
    <w:rsid w:val="00955CBA"/>
    <w:rsid w:val="00960F2F"/>
    <w:rsid w:val="009634F6"/>
    <w:rsid w:val="009639C8"/>
    <w:rsid w:val="00963B5E"/>
    <w:rsid w:val="00963E3D"/>
    <w:rsid w:val="00963FA0"/>
    <w:rsid w:val="0096491F"/>
    <w:rsid w:val="00964E3B"/>
    <w:rsid w:val="00974E95"/>
    <w:rsid w:val="00975F2D"/>
    <w:rsid w:val="00977BF5"/>
    <w:rsid w:val="0098302D"/>
    <w:rsid w:val="00987608"/>
    <w:rsid w:val="009943A0"/>
    <w:rsid w:val="009953BC"/>
    <w:rsid w:val="009963D2"/>
    <w:rsid w:val="00996974"/>
    <w:rsid w:val="009A0568"/>
    <w:rsid w:val="009A0AF9"/>
    <w:rsid w:val="009A16BE"/>
    <w:rsid w:val="009A2337"/>
    <w:rsid w:val="009A2E00"/>
    <w:rsid w:val="009A355A"/>
    <w:rsid w:val="009A51C3"/>
    <w:rsid w:val="009A51FA"/>
    <w:rsid w:val="009A5CE8"/>
    <w:rsid w:val="009A7B5A"/>
    <w:rsid w:val="009A7F79"/>
    <w:rsid w:val="009B2BDC"/>
    <w:rsid w:val="009B53B0"/>
    <w:rsid w:val="009B5F5D"/>
    <w:rsid w:val="009B6201"/>
    <w:rsid w:val="009B73BA"/>
    <w:rsid w:val="009C10D9"/>
    <w:rsid w:val="009C425A"/>
    <w:rsid w:val="009C5CA7"/>
    <w:rsid w:val="009D03F8"/>
    <w:rsid w:val="009D1DF4"/>
    <w:rsid w:val="009D4602"/>
    <w:rsid w:val="009D7A24"/>
    <w:rsid w:val="009E00E4"/>
    <w:rsid w:val="009E0D20"/>
    <w:rsid w:val="009E0F6B"/>
    <w:rsid w:val="009E2964"/>
    <w:rsid w:val="009E5D18"/>
    <w:rsid w:val="009E7DCD"/>
    <w:rsid w:val="009F55F9"/>
    <w:rsid w:val="009F5CC0"/>
    <w:rsid w:val="009F6BCE"/>
    <w:rsid w:val="009F6F8B"/>
    <w:rsid w:val="009F7164"/>
    <w:rsid w:val="00A02F0A"/>
    <w:rsid w:val="00A10666"/>
    <w:rsid w:val="00A1074D"/>
    <w:rsid w:val="00A127DD"/>
    <w:rsid w:val="00A14E6C"/>
    <w:rsid w:val="00A167EC"/>
    <w:rsid w:val="00A172E6"/>
    <w:rsid w:val="00A24C8D"/>
    <w:rsid w:val="00A26F15"/>
    <w:rsid w:val="00A30E37"/>
    <w:rsid w:val="00A35CF8"/>
    <w:rsid w:val="00A35F1F"/>
    <w:rsid w:val="00A360E7"/>
    <w:rsid w:val="00A400FB"/>
    <w:rsid w:val="00A43147"/>
    <w:rsid w:val="00A443D1"/>
    <w:rsid w:val="00A456B3"/>
    <w:rsid w:val="00A47BFE"/>
    <w:rsid w:val="00A47FBB"/>
    <w:rsid w:val="00A51808"/>
    <w:rsid w:val="00A51D78"/>
    <w:rsid w:val="00A51EA8"/>
    <w:rsid w:val="00A549C3"/>
    <w:rsid w:val="00A561A8"/>
    <w:rsid w:val="00A562A6"/>
    <w:rsid w:val="00A64804"/>
    <w:rsid w:val="00A67D45"/>
    <w:rsid w:val="00A7007B"/>
    <w:rsid w:val="00A707BC"/>
    <w:rsid w:val="00A71623"/>
    <w:rsid w:val="00A732AC"/>
    <w:rsid w:val="00A84B87"/>
    <w:rsid w:val="00A84D4B"/>
    <w:rsid w:val="00A8592D"/>
    <w:rsid w:val="00A90D08"/>
    <w:rsid w:val="00A93FFF"/>
    <w:rsid w:val="00A95746"/>
    <w:rsid w:val="00A96D45"/>
    <w:rsid w:val="00A973EE"/>
    <w:rsid w:val="00AA18DD"/>
    <w:rsid w:val="00AA1F91"/>
    <w:rsid w:val="00AA5CE1"/>
    <w:rsid w:val="00AB2D9E"/>
    <w:rsid w:val="00AB32C4"/>
    <w:rsid w:val="00AB3433"/>
    <w:rsid w:val="00AB4404"/>
    <w:rsid w:val="00AC0768"/>
    <w:rsid w:val="00AC21EE"/>
    <w:rsid w:val="00AC3B22"/>
    <w:rsid w:val="00AC4101"/>
    <w:rsid w:val="00AC5597"/>
    <w:rsid w:val="00AD0116"/>
    <w:rsid w:val="00AD1B42"/>
    <w:rsid w:val="00AD2846"/>
    <w:rsid w:val="00AD4B84"/>
    <w:rsid w:val="00AE23BE"/>
    <w:rsid w:val="00AE4743"/>
    <w:rsid w:val="00AE5772"/>
    <w:rsid w:val="00AF0AC0"/>
    <w:rsid w:val="00AF4CA9"/>
    <w:rsid w:val="00AF5B52"/>
    <w:rsid w:val="00B008BF"/>
    <w:rsid w:val="00B07460"/>
    <w:rsid w:val="00B15ABD"/>
    <w:rsid w:val="00B16978"/>
    <w:rsid w:val="00B16BE4"/>
    <w:rsid w:val="00B17EBB"/>
    <w:rsid w:val="00B24A6F"/>
    <w:rsid w:val="00B278DB"/>
    <w:rsid w:val="00B30D4F"/>
    <w:rsid w:val="00B3434E"/>
    <w:rsid w:val="00B351FD"/>
    <w:rsid w:val="00B35BFD"/>
    <w:rsid w:val="00B421F2"/>
    <w:rsid w:val="00B42525"/>
    <w:rsid w:val="00B42822"/>
    <w:rsid w:val="00B42C54"/>
    <w:rsid w:val="00B4395A"/>
    <w:rsid w:val="00B4452D"/>
    <w:rsid w:val="00B4553E"/>
    <w:rsid w:val="00B46773"/>
    <w:rsid w:val="00B47091"/>
    <w:rsid w:val="00B47E14"/>
    <w:rsid w:val="00B507A0"/>
    <w:rsid w:val="00B5102D"/>
    <w:rsid w:val="00B51765"/>
    <w:rsid w:val="00B51A4B"/>
    <w:rsid w:val="00B54256"/>
    <w:rsid w:val="00B545F4"/>
    <w:rsid w:val="00B56303"/>
    <w:rsid w:val="00B57A2E"/>
    <w:rsid w:val="00B624B3"/>
    <w:rsid w:val="00B64F62"/>
    <w:rsid w:val="00B66898"/>
    <w:rsid w:val="00B7164C"/>
    <w:rsid w:val="00B77DB3"/>
    <w:rsid w:val="00B807AB"/>
    <w:rsid w:val="00B80F53"/>
    <w:rsid w:val="00B82E26"/>
    <w:rsid w:val="00B85E28"/>
    <w:rsid w:val="00B87850"/>
    <w:rsid w:val="00B9439D"/>
    <w:rsid w:val="00B9499E"/>
    <w:rsid w:val="00B95FBC"/>
    <w:rsid w:val="00B97C44"/>
    <w:rsid w:val="00B97D01"/>
    <w:rsid w:val="00BA05AE"/>
    <w:rsid w:val="00BA1F75"/>
    <w:rsid w:val="00BA2FA3"/>
    <w:rsid w:val="00BA3214"/>
    <w:rsid w:val="00BA3D35"/>
    <w:rsid w:val="00BA6418"/>
    <w:rsid w:val="00BA76B4"/>
    <w:rsid w:val="00BA7D18"/>
    <w:rsid w:val="00BB12D2"/>
    <w:rsid w:val="00BB32C1"/>
    <w:rsid w:val="00BB397E"/>
    <w:rsid w:val="00BB3A8F"/>
    <w:rsid w:val="00BC2A83"/>
    <w:rsid w:val="00BC5CCA"/>
    <w:rsid w:val="00BD05AA"/>
    <w:rsid w:val="00BD0D15"/>
    <w:rsid w:val="00BD254C"/>
    <w:rsid w:val="00BD5425"/>
    <w:rsid w:val="00BF0230"/>
    <w:rsid w:val="00BF0332"/>
    <w:rsid w:val="00BF20CD"/>
    <w:rsid w:val="00BF3A7D"/>
    <w:rsid w:val="00BF5FCC"/>
    <w:rsid w:val="00C069A2"/>
    <w:rsid w:val="00C069EC"/>
    <w:rsid w:val="00C1132D"/>
    <w:rsid w:val="00C143E4"/>
    <w:rsid w:val="00C14CA9"/>
    <w:rsid w:val="00C165D9"/>
    <w:rsid w:val="00C17416"/>
    <w:rsid w:val="00C1748F"/>
    <w:rsid w:val="00C221D5"/>
    <w:rsid w:val="00C2280A"/>
    <w:rsid w:val="00C2652B"/>
    <w:rsid w:val="00C30598"/>
    <w:rsid w:val="00C32D6C"/>
    <w:rsid w:val="00C45C85"/>
    <w:rsid w:val="00C533E6"/>
    <w:rsid w:val="00C56730"/>
    <w:rsid w:val="00C6024F"/>
    <w:rsid w:val="00C60CE3"/>
    <w:rsid w:val="00C611DE"/>
    <w:rsid w:val="00C63D95"/>
    <w:rsid w:val="00C64B94"/>
    <w:rsid w:val="00C66D33"/>
    <w:rsid w:val="00C739BF"/>
    <w:rsid w:val="00C76C24"/>
    <w:rsid w:val="00C80E3F"/>
    <w:rsid w:val="00C90663"/>
    <w:rsid w:val="00C93DCA"/>
    <w:rsid w:val="00CA071B"/>
    <w:rsid w:val="00CA2AF9"/>
    <w:rsid w:val="00CA34FA"/>
    <w:rsid w:val="00CA5466"/>
    <w:rsid w:val="00CA54BD"/>
    <w:rsid w:val="00CA734B"/>
    <w:rsid w:val="00CA7BFB"/>
    <w:rsid w:val="00CB0475"/>
    <w:rsid w:val="00CB2C4F"/>
    <w:rsid w:val="00CB3583"/>
    <w:rsid w:val="00CB6A8C"/>
    <w:rsid w:val="00CC34FF"/>
    <w:rsid w:val="00CC44F0"/>
    <w:rsid w:val="00CD0E5B"/>
    <w:rsid w:val="00CD0FE9"/>
    <w:rsid w:val="00CD1C1D"/>
    <w:rsid w:val="00CD29D4"/>
    <w:rsid w:val="00CD396E"/>
    <w:rsid w:val="00CD5104"/>
    <w:rsid w:val="00CD6046"/>
    <w:rsid w:val="00CE06A5"/>
    <w:rsid w:val="00CE202E"/>
    <w:rsid w:val="00CE2229"/>
    <w:rsid w:val="00CE374E"/>
    <w:rsid w:val="00CE6855"/>
    <w:rsid w:val="00CF0534"/>
    <w:rsid w:val="00CF3FF0"/>
    <w:rsid w:val="00CF41AF"/>
    <w:rsid w:val="00CF4567"/>
    <w:rsid w:val="00CF53AB"/>
    <w:rsid w:val="00CF6815"/>
    <w:rsid w:val="00D00633"/>
    <w:rsid w:val="00D04646"/>
    <w:rsid w:val="00D04D3D"/>
    <w:rsid w:val="00D11B02"/>
    <w:rsid w:val="00D1202C"/>
    <w:rsid w:val="00D12617"/>
    <w:rsid w:val="00D16DDF"/>
    <w:rsid w:val="00D16E24"/>
    <w:rsid w:val="00D20486"/>
    <w:rsid w:val="00D20533"/>
    <w:rsid w:val="00D228D8"/>
    <w:rsid w:val="00D22EA4"/>
    <w:rsid w:val="00D2400A"/>
    <w:rsid w:val="00D31439"/>
    <w:rsid w:val="00D33677"/>
    <w:rsid w:val="00D373EC"/>
    <w:rsid w:val="00D41579"/>
    <w:rsid w:val="00D4180D"/>
    <w:rsid w:val="00D42875"/>
    <w:rsid w:val="00D42B44"/>
    <w:rsid w:val="00D44A14"/>
    <w:rsid w:val="00D470B5"/>
    <w:rsid w:val="00D47738"/>
    <w:rsid w:val="00D51A9B"/>
    <w:rsid w:val="00D51D95"/>
    <w:rsid w:val="00D5292C"/>
    <w:rsid w:val="00D53725"/>
    <w:rsid w:val="00D53EC6"/>
    <w:rsid w:val="00D55A00"/>
    <w:rsid w:val="00D56F77"/>
    <w:rsid w:val="00D60B65"/>
    <w:rsid w:val="00D61E9F"/>
    <w:rsid w:val="00D62CC8"/>
    <w:rsid w:val="00D6402F"/>
    <w:rsid w:val="00D7047A"/>
    <w:rsid w:val="00D719E9"/>
    <w:rsid w:val="00D72225"/>
    <w:rsid w:val="00D73550"/>
    <w:rsid w:val="00D838F7"/>
    <w:rsid w:val="00D8479E"/>
    <w:rsid w:val="00D868F1"/>
    <w:rsid w:val="00D8771C"/>
    <w:rsid w:val="00D87EFF"/>
    <w:rsid w:val="00D91AE6"/>
    <w:rsid w:val="00D941E0"/>
    <w:rsid w:val="00D95840"/>
    <w:rsid w:val="00DA1B31"/>
    <w:rsid w:val="00DA554C"/>
    <w:rsid w:val="00DA5F07"/>
    <w:rsid w:val="00DB42FB"/>
    <w:rsid w:val="00DB5B76"/>
    <w:rsid w:val="00DB632C"/>
    <w:rsid w:val="00DB7AEE"/>
    <w:rsid w:val="00DC39C4"/>
    <w:rsid w:val="00DC4568"/>
    <w:rsid w:val="00DD0941"/>
    <w:rsid w:val="00DD1C47"/>
    <w:rsid w:val="00DD1FCE"/>
    <w:rsid w:val="00DD6B5E"/>
    <w:rsid w:val="00DE295B"/>
    <w:rsid w:val="00DE4BF6"/>
    <w:rsid w:val="00DE69D0"/>
    <w:rsid w:val="00DE7070"/>
    <w:rsid w:val="00DE77A3"/>
    <w:rsid w:val="00DF02F6"/>
    <w:rsid w:val="00DF21B8"/>
    <w:rsid w:val="00DF26DE"/>
    <w:rsid w:val="00DF31EE"/>
    <w:rsid w:val="00DF3395"/>
    <w:rsid w:val="00DF7681"/>
    <w:rsid w:val="00DF7A42"/>
    <w:rsid w:val="00E02D36"/>
    <w:rsid w:val="00E03431"/>
    <w:rsid w:val="00E04E43"/>
    <w:rsid w:val="00E05E74"/>
    <w:rsid w:val="00E06011"/>
    <w:rsid w:val="00E149CE"/>
    <w:rsid w:val="00E15681"/>
    <w:rsid w:val="00E16AC4"/>
    <w:rsid w:val="00E17C58"/>
    <w:rsid w:val="00E2178D"/>
    <w:rsid w:val="00E23958"/>
    <w:rsid w:val="00E23AD4"/>
    <w:rsid w:val="00E23BEC"/>
    <w:rsid w:val="00E23EC3"/>
    <w:rsid w:val="00E24E4D"/>
    <w:rsid w:val="00E256F4"/>
    <w:rsid w:val="00E2618B"/>
    <w:rsid w:val="00E267F1"/>
    <w:rsid w:val="00E3682E"/>
    <w:rsid w:val="00E37074"/>
    <w:rsid w:val="00E5085A"/>
    <w:rsid w:val="00E50FAA"/>
    <w:rsid w:val="00E528AF"/>
    <w:rsid w:val="00E53131"/>
    <w:rsid w:val="00E5518E"/>
    <w:rsid w:val="00E56222"/>
    <w:rsid w:val="00E566D8"/>
    <w:rsid w:val="00E57743"/>
    <w:rsid w:val="00E577C9"/>
    <w:rsid w:val="00E62DD3"/>
    <w:rsid w:val="00E66D8F"/>
    <w:rsid w:val="00E6742D"/>
    <w:rsid w:val="00E71707"/>
    <w:rsid w:val="00E71EF1"/>
    <w:rsid w:val="00E731C6"/>
    <w:rsid w:val="00E73FF6"/>
    <w:rsid w:val="00E740C4"/>
    <w:rsid w:val="00E74686"/>
    <w:rsid w:val="00E74750"/>
    <w:rsid w:val="00E76686"/>
    <w:rsid w:val="00E80520"/>
    <w:rsid w:val="00E81BD0"/>
    <w:rsid w:val="00E83C98"/>
    <w:rsid w:val="00E83DCF"/>
    <w:rsid w:val="00E840FE"/>
    <w:rsid w:val="00E84DBD"/>
    <w:rsid w:val="00E9128A"/>
    <w:rsid w:val="00E91C15"/>
    <w:rsid w:val="00E943E8"/>
    <w:rsid w:val="00E945CE"/>
    <w:rsid w:val="00E94FAF"/>
    <w:rsid w:val="00EA0528"/>
    <w:rsid w:val="00EA08AF"/>
    <w:rsid w:val="00EA347E"/>
    <w:rsid w:val="00EA4E02"/>
    <w:rsid w:val="00EA5B4F"/>
    <w:rsid w:val="00EA6276"/>
    <w:rsid w:val="00EB048C"/>
    <w:rsid w:val="00EB2C67"/>
    <w:rsid w:val="00EB367C"/>
    <w:rsid w:val="00EB43BA"/>
    <w:rsid w:val="00EB46D0"/>
    <w:rsid w:val="00EB4700"/>
    <w:rsid w:val="00EB7324"/>
    <w:rsid w:val="00EB7F72"/>
    <w:rsid w:val="00EC4357"/>
    <w:rsid w:val="00EC49A4"/>
    <w:rsid w:val="00EC4EF3"/>
    <w:rsid w:val="00ED20C9"/>
    <w:rsid w:val="00ED21EE"/>
    <w:rsid w:val="00ED37E1"/>
    <w:rsid w:val="00ED3B31"/>
    <w:rsid w:val="00ED4EC4"/>
    <w:rsid w:val="00ED6C04"/>
    <w:rsid w:val="00EE11FD"/>
    <w:rsid w:val="00EE4094"/>
    <w:rsid w:val="00EE4D57"/>
    <w:rsid w:val="00EE53FF"/>
    <w:rsid w:val="00EE5E83"/>
    <w:rsid w:val="00EE7092"/>
    <w:rsid w:val="00EF2F5C"/>
    <w:rsid w:val="00EF7590"/>
    <w:rsid w:val="00F024CA"/>
    <w:rsid w:val="00F0354F"/>
    <w:rsid w:val="00F1013F"/>
    <w:rsid w:val="00F10A99"/>
    <w:rsid w:val="00F138A2"/>
    <w:rsid w:val="00F154EB"/>
    <w:rsid w:val="00F20632"/>
    <w:rsid w:val="00F23738"/>
    <w:rsid w:val="00F30846"/>
    <w:rsid w:val="00F30CAB"/>
    <w:rsid w:val="00F32479"/>
    <w:rsid w:val="00F327DF"/>
    <w:rsid w:val="00F33121"/>
    <w:rsid w:val="00F331C8"/>
    <w:rsid w:val="00F33769"/>
    <w:rsid w:val="00F36DEB"/>
    <w:rsid w:val="00F406FD"/>
    <w:rsid w:val="00F414D0"/>
    <w:rsid w:val="00F47D9D"/>
    <w:rsid w:val="00F50558"/>
    <w:rsid w:val="00F50A8E"/>
    <w:rsid w:val="00F5316D"/>
    <w:rsid w:val="00F538E7"/>
    <w:rsid w:val="00F55847"/>
    <w:rsid w:val="00F56A4B"/>
    <w:rsid w:val="00F57142"/>
    <w:rsid w:val="00F5756D"/>
    <w:rsid w:val="00F630A2"/>
    <w:rsid w:val="00F6347D"/>
    <w:rsid w:val="00F64F40"/>
    <w:rsid w:val="00F652AB"/>
    <w:rsid w:val="00F65942"/>
    <w:rsid w:val="00F72AA0"/>
    <w:rsid w:val="00F76A40"/>
    <w:rsid w:val="00F76C83"/>
    <w:rsid w:val="00F80C07"/>
    <w:rsid w:val="00F87264"/>
    <w:rsid w:val="00F908E9"/>
    <w:rsid w:val="00F95B3B"/>
    <w:rsid w:val="00FA2915"/>
    <w:rsid w:val="00FA56D6"/>
    <w:rsid w:val="00FA595F"/>
    <w:rsid w:val="00FA6BDB"/>
    <w:rsid w:val="00FA6C24"/>
    <w:rsid w:val="00FB651A"/>
    <w:rsid w:val="00FB743E"/>
    <w:rsid w:val="00FB7D36"/>
    <w:rsid w:val="00FC0CB3"/>
    <w:rsid w:val="00FC2999"/>
    <w:rsid w:val="00FC765F"/>
    <w:rsid w:val="00FD1861"/>
    <w:rsid w:val="00FD3E7F"/>
    <w:rsid w:val="00FD5375"/>
    <w:rsid w:val="00FD61A3"/>
    <w:rsid w:val="00FD66C9"/>
    <w:rsid w:val="00FD79F6"/>
    <w:rsid w:val="00FE0371"/>
    <w:rsid w:val="00FE1258"/>
    <w:rsid w:val="00FE31D0"/>
    <w:rsid w:val="00FE3581"/>
    <w:rsid w:val="00FE7A3F"/>
    <w:rsid w:val="00FF421D"/>
    <w:rsid w:val="00FF4E87"/>
    <w:rsid w:val="00FF5C5C"/>
    <w:rsid w:val="00FF60E7"/>
    <w:rsid w:val="00FF6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7910"/>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392FBB"/>
    <w:pPr>
      <w:keepNext/>
      <w:spacing w:before="240" w:after="60"/>
      <w:outlineLvl w:val="3"/>
    </w:pPr>
    <w:rPr>
      <w:b/>
      <w:bCs/>
      <w:sz w:val="28"/>
      <w:szCs w:val="28"/>
    </w:rPr>
  </w:style>
  <w:style w:type="paragraph" w:styleId="Heading5">
    <w:name w:val="heading 5"/>
    <w:basedOn w:val="Normal"/>
    <w:next w:val="Normal"/>
    <w:link w:val="Heading5Char"/>
    <w:qFormat/>
    <w:rsid w:val="00392FBB"/>
    <w:pPr>
      <w:spacing w:before="240" w:after="60"/>
      <w:outlineLvl w:val="4"/>
    </w:pPr>
    <w:rPr>
      <w:b/>
      <w:bCs/>
      <w:i/>
      <w:iCs/>
      <w:sz w:val="26"/>
      <w:szCs w:val="26"/>
    </w:rPr>
  </w:style>
  <w:style w:type="paragraph" w:styleId="Heading6">
    <w:name w:val="heading 6"/>
    <w:basedOn w:val="Normal"/>
    <w:next w:val="Normal"/>
    <w:link w:val="Heading6Char"/>
    <w:qFormat/>
    <w:rsid w:val="00392FBB"/>
    <w:pPr>
      <w:spacing w:before="240" w:after="60"/>
      <w:outlineLvl w:val="5"/>
    </w:pPr>
    <w:rPr>
      <w:b/>
      <w:bCs/>
      <w:sz w:val="22"/>
      <w:szCs w:val="22"/>
    </w:rPr>
  </w:style>
  <w:style w:type="paragraph" w:styleId="Heading7">
    <w:name w:val="heading 7"/>
    <w:basedOn w:val="Normal"/>
    <w:next w:val="Normal"/>
    <w:link w:val="Heading7Char"/>
    <w:qFormat/>
    <w:rsid w:val="00392FBB"/>
    <w:pPr>
      <w:spacing w:before="240" w:after="60"/>
      <w:outlineLvl w:val="6"/>
    </w:pPr>
  </w:style>
  <w:style w:type="paragraph" w:styleId="Heading8">
    <w:name w:val="heading 8"/>
    <w:basedOn w:val="Normal"/>
    <w:next w:val="Normal"/>
    <w:link w:val="Heading8Char"/>
    <w:qFormat/>
    <w:rsid w:val="00392FBB"/>
    <w:pPr>
      <w:spacing w:before="240" w:after="60"/>
      <w:outlineLvl w:val="7"/>
    </w:pPr>
    <w:rPr>
      <w:i/>
      <w:iCs/>
    </w:rPr>
  </w:style>
  <w:style w:type="paragraph" w:styleId="Heading9">
    <w:name w:val="heading 9"/>
    <w:basedOn w:val="Normal"/>
    <w:next w:val="Normal"/>
    <w:link w:val="Heading9Char"/>
    <w:qFormat/>
    <w:rsid w:val="00392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CE6855"/>
    <w:rPr>
      <w:rFonts w:ascii="Arial" w:hAnsi="Arial"/>
      <w:sz w:val="22"/>
    </w:rPr>
  </w:style>
  <w:style w:type="paragraph" w:styleId="TOC2">
    <w:name w:val="toc 2"/>
    <w:basedOn w:val="Normal"/>
    <w:next w:val="Normal"/>
    <w:autoRedefine/>
    <w:uiPriority w:val="39"/>
    <w:rsid w:val="00CE6855"/>
    <w:pPr>
      <w:ind w:left="240"/>
    </w:pPr>
    <w:rPr>
      <w:rFonts w:ascii="Arial" w:hAnsi="Arial"/>
      <w:sz w:val="22"/>
    </w:r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CE6855"/>
    <w:pPr>
      <w:ind w:left="480"/>
    </w:pPr>
    <w:rPr>
      <w:rFonts w:ascii="Arial" w:hAnsi="Arial"/>
      <w:sz w:val="22"/>
    </w:r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054FC2"/>
    <w:rPr>
      <w:rFonts w:ascii="Arial" w:hAnsi="Arial"/>
      <w:sz w:val="22"/>
    </w:rPr>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Heading4Char">
    <w:name w:val="Heading 4 Char"/>
    <w:basedOn w:val="DefaultParagraphFont"/>
    <w:link w:val="Heading4"/>
    <w:rsid w:val="00392FBB"/>
    <w:rPr>
      <w:b/>
      <w:bCs/>
      <w:sz w:val="28"/>
      <w:szCs w:val="28"/>
    </w:rPr>
  </w:style>
  <w:style w:type="character" w:customStyle="1" w:styleId="Heading5Char">
    <w:name w:val="Heading 5 Char"/>
    <w:basedOn w:val="DefaultParagraphFont"/>
    <w:link w:val="Heading5"/>
    <w:rsid w:val="00392FBB"/>
    <w:rPr>
      <w:b/>
      <w:bCs/>
      <w:i/>
      <w:iCs/>
      <w:sz w:val="26"/>
      <w:szCs w:val="26"/>
    </w:rPr>
  </w:style>
  <w:style w:type="character" w:customStyle="1" w:styleId="Heading6Char">
    <w:name w:val="Heading 6 Char"/>
    <w:basedOn w:val="DefaultParagraphFont"/>
    <w:link w:val="Heading6"/>
    <w:rsid w:val="00392FBB"/>
    <w:rPr>
      <w:b/>
      <w:bCs/>
      <w:sz w:val="22"/>
      <w:szCs w:val="22"/>
    </w:rPr>
  </w:style>
  <w:style w:type="character" w:customStyle="1" w:styleId="Heading7Char">
    <w:name w:val="Heading 7 Char"/>
    <w:basedOn w:val="DefaultParagraphFont"/>
    <w:link w:val="Heading7"/>
    <w:rsid w:val="00392FBB"/>
    <w:rPr>
      <w:sz w:val="24"/>
      <w:szCs w:val="24"/>
    </w:rPr>
  </w:style>
  <w:style w:type="character" w:customStyle="1" w:styleId="Heading8Char">
    <w:name w:val="Heading 8 Char"/>
    <w:basedOn w:val="DefaultParagraphFont"/>
    <w:link w:val="Heading8"/>
    <w:rsid w:val="00392FBB"/>
    <w:rPr>
      <w:i/>
      <w:iCs/>
      <w:sz w:val="24"/>
      <w:szCs w:val="24"/>
    </w:rPr>
  </w:style>
  <w:style w:type="character" w:customStyle="1" w:styleId="Heading9Char">
    <w:name w:val="Heading 9 Char"/>
    <w:basedOn w:val="DefaultParagraphFont"/>
    <w:link w:val="Heading9"/>
    <w:rsid w:val="00392FBB"/>
    <w:rPr>
      <w:rFonts w:ascii="Arial" w:hAnsi="Arial" w:cs="Arial"/>
      <w:sz w:val="22"/>
      <w:szCs w:val="22"/>
    </w:rPr>
  </w:style>
  <w:style w:type="paragraph" w:styleId="BodyText">
    <w:name w:val="Body Text"/>
    <w:basedOn w:val="Normal"/>
    <w:link w:val="BodyTextChar"/>
    <w:rsid w:val="00392FBB"/>
    <w:pPr>
      <w:widowControl w:val="0"/>
      <w:spacing w:after="120"/>
    </w:pPr>
    <w:rPr>
      <w:szCs w:val="20"/>
    </w:rPr>
  </w:style>
  <w:style w:type="character" w:customStyle="1" w:styleId="BodyTextChar">
    <w:name w:val="Body Text Char"/>
    <w:basedOn w:val="DefaultParagraphFont"/>
    <w:link w:val="BodyText"/>
    <w:rsid w:val="00392FBB"/>
    <w:rPr>
      <w:sz w:val="24"/>
    </w:rPr>
  </w:style>
  <w:style w:type="paragraph" w:customStyle="1" w:styleId="StyleCaptionCentered">
    <w:name w:val="Style Caption + Centered"/>
    <w:basedOn w:val="Caption"/>
    <w:rsid w:val="00392FBB"/>
    <w:pPr>
      <w:keepNext/>
      <w:jc w:val="center"/>
    </w:pPr>
  </w:style>
  <w:style w:type="character" w:customStyle="1" w:styleId="CharChar">
    <w:name w:val="Char Char"/>
    <w:basedOn w:val="DefaultParagraphFont"/>
    <w:rsid w:val="00392FBB"/>
    <w:rPr>
      <w:b/>
      <w:bCs/>
      <w:lang w:val="en-US" w:eastAsia="en-US" w:bidi="ar-SA"/>
    </w:rPr>
  </w:style>
  <w:style w:type="paragraph" w:styleId="BlockText">
    <w:name w:val="Block Text"/>
    <w:basedOn w:val="Normal"/>
    <w:rsid w:val="00392FBB"/>
    <w:pPr>
      <w:spacing w:after="120"/>
      <w:ind w:left="1440" w:right="1440"/>
    </w:pPr>
  </w:style>
  <w:style w:type="paragraph" w:styleId="BodyText2">
    <w:name w:val="Body Text 2"/>
    <w:basedOn w:val="Normal"/>
    <w:link w:val="BodyText2Char"/>
    <w:rsid w:val="00392FBB"/>
    <w:pPr>
      <w:spacing w:after="120" w:line="480" w:lineRule="auto"/>
    </w:pPr>
  </w:style>
  <w:style w:type="character" w:customStyle="1" w:styleId="BodyText2Char">
    <w:name w:val="Body Text 2 Char"/>
    <w:basedOn w:val="DefaultParagraphFont"/>
    <w:link w:val="BodyText2"/>
    <w:rsid w:val="00392FBB"/>
    <w:rPr>
      <w:sz w:val="24"/>
      <w:szCs w:val="24"/>
    </w:rPr>
  </w:style>
  <w:style w:type="paragraph" w:styleId="BodyText3">
    <w:name w:val="Body Text 3"/>
    <w:basedOn w:val="Normal"/>
    <w:link w:val="BodyText3Char"/>
    <w:rsid w:val="00392FBB"/>
    <w:pPr>
      <w:spacing w:after="120"/>
    </w:pPr>
    <w:rPr>
      <w:sz w:val="16"/>
      <w:szCs w:val="16"/>
    </w:rPr>
  </w:style>
  <w:style w:type="character" w:customStyle="1" w:styleId="BodyText3Char">
    <w:name w:val="Body Text 3 Char"/>
    <w:basedOn w:val="DefaultParagraphFont"/>
    <w:link w:val="BodyText3"/>
    <w:rsid w:val="00392FBB"/>
    <w:rPr>
      <w:sz w:val="16"/>
      <w:szCs w:val="16"/>
    </w:rPr>
  </w:style>
  <w:style w:type="paragraph" w:styleId="BodyTextFirstIndent">
    <w:name w:val="Body Text First Indent"/>
    <w:basedOn w:val="BodyText"/>
    <w:link w:val="BodyTextFirstIndentChar"/>
    <w:rsid w:val="00392FBB"/>
    <w:pPr>
      <w:widowControl/>
      <w:ind w:firstLine="210"/>
    </w:pPr>
    <w:rPr>
      <w:szCs w:val="24"/>
    </w:rPr>
  </w:style>
  <w:style w:type="character" w:customStyle="1" w:styleId="BodyTextFirstIndentChar">
    <w:name w:val="Body Text First Indent Char"/>
    <w:basedOn w:val="BodyTextChar"/>
    <w:link w:val="BodyTextFirstIndent"/>
    <w:rsid w:val="00392FBB"/>
    <w:rPr>
      <w:sz w:val="24"/>
      <w:szCs w:val="24"/>
    </w:rPr>
  </w:style>
  <w:style w:type="paragraph" w:styleId="BodyTextIndent">
    <w:name w:val="Body Text Indent"/>
    <w:basedOn w:val="Normal"/>
    <w:link w:val="BodyTextIndentChar"/>
    <w:rsid w:val="00392FBB"/>
    <w:pPr>
      <w:spacing w:after="120"/>
      <w:ind w:left="360"/>
    </w:pPr>
  </w:style>
  <w:style w:type="character" w:customStyle="1" w:styleId="BodyTextIndentChar">
    <w:name w:val="Body Text Indent Char"/>
    <w:basedOn w:val="DefaultParagraphFont"/>
    <w:link w:val="BodyTextIndent"/>
    <w:rsid w:val="00392FBB"/>
    <w:rPr>
      <w:sz w:val="24"/>
      <w:szCs w:val="24"/>
    </w:rPr>
  </w:style>
  <w:style w:type="paragraph" w:styleId="BodyTextFirstIndent2">
    <w:name w:val="Body Text First Indent 2"/>
    <w:basedOn w:val="BodyTextIndent"/>
    <w:link w:val="BodyTextFirstIndent2Char"/>
    <w:rsid w:val="00392FBB"/>
    <w:pPr>
      <w:ind w:firstLine="210"/>
    </w:pPr>
  </w:style>
  <w:style w:type="character" w:customStyle="1" w:styleId="BodyTextFirstIndent2Char">
    <w:name w:val="Body Text First Indent 2 Char"/>
    <w:basedOn w:val="BodyTextIndentChar"/>
    <w:link w:val="BodyTextFirstIndent2"/>
    <w:rsid w:val="00392FBB"/>
    <w:rPr>
      <w:sz w:val="24"/>
      <w:szCs w:val="24"/>
    </w:rPr>
  </w:style>
  <w:style w:type="paragraph" w:styleId="BodyTextIndent2">
    <w:name w:val="Body Text Indent 2"/>
    <w:basedOn w:val="Normal"/>
    <w:link w:val="BodyTextIndent2Char"/>
    <w:rsid w:val="00392FBB"/>
    <w:pPr>
      <w:spacing w:after="120" w:line="480" w:lineRule="auto"/>
      <w:ind w:left="360"/>
    </w:pPr>
  </w:style>
  <w:style w:type="character" w:customStyle="1" w:styleId="BodyTextIndent2Char">
    <w:name w:val="Body Text Indent 2 Char"/>
    <w:basedOn w:val="DefaultParagraphFont"/>
    <w:link w:val="BodyTextIndent2"/>
    <w:rsid w:val="00392FBB"/>
    <w:rPr>
      <w:sz w:val="24"/>
      <w:szCs w:val="24"/>
    </w:rPr>
  </w:style>
  <w:style w:type="paragraph" w:styleId="BodyTextIndent3">
    <w:name w:val="Body Text Indent 3"/>
    <w:basedOn w:val="Normal"/>
    <w:link w:val="BodyTextIndent3Char"/>
    <w:rsid w:val="00392FBB"/>
    <w:pPr>
      <w:spacing w:after="120"/>
      <w:ind w:left="360"/>
    </w:pPr>
    <w:rPr>
      <w:sz w:val="16"/>
      <w:szCs w:val="16"/>
    </w:rPr>
  </w:style>
  <w:style w:type="character" w:customStyle="1" w:styleId="BodyTextIndent3Char">
    <w:name w:val="Body Text Indent 3 Char"/>
    <w:basedOn w:val="DefaultParagraphFont"/>
    <w:link w:val="BodyTextIndent3"/>
    <w:rsid w:val="00392FBB"/>
    <w:rPr>
      <w:sz w:val="16"/>
      <w:szCs w:val="16"/>
    </w:rPr>
  </w:style>
  <w:style w:type="paragraph" w:styleId="Closing">
    <w:name w:val="Closing"/>
    <w:basedOn w:val="Normal"/>
    <w:link w:val="ClosingChar"/>
    <w:rsid w:val="00392FBB"/>
    <w:pPr>
      <w:ind w:left="4320"/>
    </w:pPr>
  </w:style>
  <w:style w:type="character" w:customStyle="1" w:styleId="ClosingChar">
    <w:name w:val="Closing Char"/>
    <w:basedOn w:val="DefaultParagraphFont"/>
    <w:link w:val="Closing"/>
    <w:rsid w:val="00392FBB"/>
    <w:rPr>
      <w:sz w:val="24"/>
      <w:szCs w:val="24"/>
    </w:rPr>
  </w:style>
  <w:style w:type="paragraph" w:styleId="Date">
    <w:name w:val="Date"/>
    <w:basedOn w:val="Normal"/>
    <w:next w:val="Normal"/>
    <w:link w:val="DateChar"/>
    <w:rsid w:val="00392FBB"/>
  </w:style>
  <w:style w:type="character" w:customStyle="1" w:styleId="DateChar">
    <w:name w:val="Date Char"/>
    <w:basedOn w:val="DefaultParagraphFont"/>
    <w:link w:val="Date"/>
    <w:rsid w:val="00392FBB"/>
    <w:rPr>
      <w:sz w:val="24"/>
      <w:szCs w:val="24"/>
    </w:rPr>
  </w:style>
  <w:style w:type="paragraph" w:styleId="E-mailSignature">
    <w:name w:val="E-mail Signature"/>
    <w:basedOn w:val="Normal"/>
    <w:link w:val="E-mailSignatureChar"/>
    <w:rsid w:val="00392FBB"/>
  </w:style>
  <w:style w:type="character" w:customStyle="1" w:styleId="E-mailSignatureChar">
    <w:name w:val="E-mail Signature Char"/>
    <w:basedOn w:val="DefaultParagraphFont"/>
    <w:link w:val="E-mailSignature"/>
    <w:rsid w:val="00392FBB"/>
    <w:rPr>
      <w:sz w:val="24"/>
      <w:szCs w:val="24"/>
    </w:rPr>
  </w:style>
  <w:style w:type="paragraph" w:styleId="EnvelopeAddress">
    <w:name w:val="envelope address"/>
    <w:basedOn w:val="Normal"/>
    <w:rsid w:val="00392FB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392FBB"/>
    <w:rPr>
      <w:rFonts w:ascii="Arial" w:hAnsi="Arial" w:cs="Arial"/>
      <w:sz w:val="20"/>
      <w:szCs w:val="20"/>
    </w:rPr>
  </w:style>
  <w:style w:type="paragraph" w:styleId="HTMLAddress">
    <w:name w:val="HTML Address"/>
    <w:basedOn w:val="Normal"/>
    <w:link w:val="HTMLAddressChar"/>
    <w:rsid w:val="00392FBB"/>
    <w:rPr>
      <w:i/>
      <w:iCs/>
    </w:rPr>
  </w:style>
  <w:style w:type="character" w:customStyle="1" w:styleId="HTMLAddressChar">
    <w:name w:val="HTML Address Char"/>
    <w:basedOn w:val="DefaultParagraphFont"/>
    <w:link w:val="HTMLAddress"/>
    <w:rsid w:val="00392FBB"/>
    <w:rPr>
      <w:i/>
      <w:iCs/>
      <w:sz w:val="24"/>
      <w:szCs w:val="24"/>
    </w:rPr>
  </w:style>
  <w:style w:type="paragraph" w:styleId="HTMLPreformatted">
    <w:name w:val="HTML Preformatted"/>
    <w:basedOn w:val="Normal"/>
    <w:link w:val="HTMLPreformattedChar"/>
    <w:rsid w:val="00392FBB"/>
    <w:rPr>
      <w:rFonts w:ascii="Courier New" w:hAnsi="Courier New" w:cs="Courier New"/>
      <w:sz w:val="20"/>
      <w:szCs w:val="20"/>
    </w:rPr>
  </w:style>
  <w:style w:type="character" w:customStyle="1" w:styleId="HTMLPreformattedChar">
    <w:name w:val="HTML Preformatted Char"/>
    <w:basedOn w:val="DefaultParagraphFont"/>
    <w:link w:val="HTMLPreformatted"/>
    <w:rsid w:val="00392FBB"/>
    <w:rPr>
      <w:rFonts w:ascii="Courier New" w:hAnsi="Courier New" w:cs="Courier New"/>
    </w:rPr>
  </w:style>
  <w:style w:type="paragraph" w:styleId="Index2">
    <w:name w:val="index 2"/>
    <w:basedOn w:val="Normal"/>
    <w:next w:val="Normal"/>
    <w:autoRedefine/>
    <w:rsid w:val="00392FBB"/>
    <w:pPr>
      <w:ind w:left="480" w:hanging="240"/>
    </w:pPr>
  </w:style>
  <w:style w:type="paragraph" w:styleId="Index3">
    <w:name w:val="index 3"/>
    <w:basedOn w:val="Normal"/>
    <w:next w:val="Normal"/>
    <w:autoRedefine/>
    <w:rsid w:val="00392FBB"/>
    <w:pPr>
      <w:ind w:left="720" w:hanging="240"/>
    </w:pPr>
  </w:style>
  <w:style w:type="paragraph" w:styleId="Index4">
    <w:name w:val="index 4"/>
    <w:basedOn w:val="Normal"/>
    <w:next w:val="Normal"/>
    <w:autoRedefine/>
    <w:rsid w:val="00392FBB"/>
    <w:pPr>
      <w:ind w:left="960" w:hanging="240"/>
    </w:pPr>
  </w:style>
  <w:style w:type="paragraph" w:styleId="Index5">
    <w:name w:val="index 5"/>
    <w:basedOn w:val="Normal"/>
    <w:next w:val="Normal"/>
    <w:autoRedefine/>
    <w:rsid w:val="00392FBB"/>
    <w:pPr>
      <w:ind w:left="1200" w:hanging="240"/>
    </w:pPr>
  </w:style>
  <w:style w:type="paragraph" w:styleId="Index6">
    <w:name w:val="index 6"/>
    <w:basedOn w:val="Normal"/>
    <w:next w:val="Normal"/>
    <w:autoRedefine/>
    <w:rsid w:val="00392FBB"/>
    <w:pPr>
      <w:ind w:left="1440" w:hanging="240"/>
    </w:pPr>
  </w:style>
  <w:style w:type="paragraph" w:styleId="Index7">
    <w:name w:val="index 7"/>
    <w:basedOn w:val="Normal"/>
    <w:next w:val="Normal"/>
    <w:autoRedefine/>
    <w:rsid w:val="00392FBB"/>
    <w:pPr>
      <w:ind w:left="1680" w:hanging="240"/>
    </w:pPr>
  </w:style>
  <w:style w:type="paragraph" w:styleId="Index8">
    <w:name w:val="index 8"/>
    <w:basedOn w:val="Normal"/>
    <w:next w:val="Normal"/>
    <w:autoRedefine/>
    <w:rsid w:val="00392FBB"/>
    <w:pPr>
      <w:ind w:left="1920" w:hanging="240"/>
    </w:pPr>
  </w:style>
  <w:style w:type="paragraph" w:styleId="Index9">
    <w:name w:val="index 9"/>
    <w:basedOn w:val="Normal"/>
    <w:next w:val="Normal"/>
    <w:autoRedefine/>
    <w:rsid w:val="00392FBB"/>
    <w:pPr>
      <w:ind w:left="2160" w:hanging="240"/>
    </w:pPr>
  </w:style>
  <w:style w:type="paragraph" w:styleId="IndexHeading">
    <w:name w:val="index heading"/>
    <w:basedOn w:val="Normal"/>
    <w:next w:val="Index1"/>
    <w:rsid w:val="00392FBB"/>
    <w:rPr>
      <w:rFonts w:ascii="Arial" w:hAnsi="Arial" w:cs="Arial"/>
      <w:b/>
      <w:bCs/>
    </w:rPr>
  </w:style>
  <w:style w:type="paragraph" w:styleId="List">
    <w:name w:val="List"/>
    <w:basedOn w:val="Normal"/>
    <w:rsid w:val="00392FBB"/>
    <w:pPr>
      <w:ind w:left="360" w:hanging="360"/>
    </w:pPr>
  </w:style>
  <w:style w:type="paragraph" w:styleId="List2">
    <w:name w:val="List 2"/>
    <w:basedOn w:val="Normal"/>
    <w:rsid w:val="00392FBB"/>
    <w:pPr>
      <w:ind w:left="720" w:hanging="360"/>
    </w:pPr>
  </w:style>
  <w:style w:type="paragraph" w:styleId="List3">
    <w:name w:val="List 3"/>
    <w:basedOn w:val="Normal"/>
    <w:rsid w:val="00392FBB"/>
    <w:pPr>
      <w:ind w:left="1080" w:hanging="360"/>
    </w:pPr>
  </w:style>
  <w:style w:type="paragraph" w:styleId="List4">
    <w:name w:val="List 4"/>
    <w:basedOn w:val="Normal"/>
    <w:rsid w:val="00392FBB"/>
    <w:pPr>
      <w:ind w:left="1440" w:hanging="360"/>
    </w:pPr>
  </w:style>
  <w:style w:type="paragraph" w:styleId="List5">
    <w:name w:val="List 5"/>
    <w:basedOn w:val="Normal"/>
    <w:rsid w:val="00392FBB"/>
    <w:pPr>
      <w:ind w:left="1800" w:hanging="360"/>
    </w:pPr>
  </w:style>
  <w:style w:type="paragraph" w:styleId="ListBullet">
    <w:name w:val="List Bullet"/>
    <w:basedOn w:val="Normal"/>
    <w:rsid w:val="00392FBB"/>
    <w:pPr>
      <w:numPr>
        <w:numId w:val="21"/>
      </w:numPr>
    </w:pPr>
  </w:style>
  <w:style w:type="paragraph" w:styleId="ListBullet2">
    <w:name w:val="List Bullet 2"/>
    <w:basedOn w:val="Normal"/>
    <w:rsid w:val="00392FBB"/>
    <w:pPr>
      <w:numPr>
        <w:numId w:val="22"/>
      </w:numPr>
    </w:pPr>
  </w:style>
  <w:style w:type="paragraph" w:styleId="ListBullet3">
    <w:name w:val="List Bullet 3"/>
    <w:basedOn w:val="Normal"/>
    <w:rsid w:val="00392FBB"/>
    <w:pPr>
      <w:numPr>
        <w:numId w:val="23"/>
      </w:numPr>
    </w:pPr>
  </w:style>
  <w:style w:type="paragraph" w:styleId="ListBullet4">
    <w:name w:val="List Bullet 4"/>
    <w:basedOn w:val="Normal"/>
    <w:rsid w:val="00392FBB"/>
    <w:pPr>
      <w:numPr>
        <w:numId w:val="24"/>
      </w:numPr>
    </w:pPr>
  </w:style>
  <w:style w:type="paragraph" w:styleId="ListBullet5">
    <w:name w:val="List Bullet 5"/>
    <w:basedOn w:val="Normal"/>
    <w:rsid w:val="00392FBB"/>
    <w:pPr>
      <w:numPr>
        <w:numId w:val="25"/>
      </w:numPr>
    </w:pPr>
  </w:style>
  <w:style w:type="paragraph" w:styleId="ListContinue">
    <w:name w:val="List Continue"/>
    <w:basedOn w:val="Normal"/>
    <w:rsid w:val="00392FBB"/>
    <w:pPr>
      <w:spacing w:after="120"/>
      <w:ind w:left="360"/>
    </w:pPr>
  </w:style>
  <w:style w:type="paragraph" w:styleId="ListContinue2">
    <w:name w:val="List Continue 2"/>
    <w:basedOn w:val="Normal"/>
    <w:rsid w:val="00392FBB"/>
    <w:pPr>
      <w:spacing w:after="120"/>
      <w:ind w:left="720"/>
    </w:pPr>
  </w:style>
  <w:style w:type="paragraph" w:styleId="ListContinue3">
    <w:name w:val="List Continue 3"/>
    <w:basedOn w:val="Normal"/>
    <w:rsid w:val="00392FBB"/>
    <w:pPr>
      <w:spacing w:after="120"/>
      <w:ind w:left="1080"/>
    </w:pPr>
  </w:style>
  <w:style w:type="paragraph" w:styleId="ListContinue4">
    <w:name w:val="List Continue 4"/>
    <w:basedOn w:val="Normal"/>
    <w:rsid w:val="00392FBB"/>
    <w:pPr>
      <w:spacing w:after="120"/>
      <w:ind w:left="1440"/>
    </w:pPr>
  </w:style>
  <w:style w:type="paragraph" w:styleId="ListContinue5">
    <w:name w:val="List Continue 5"/>
    <w:basedOn w:val="Normal"/>
    <w:rsid w:val="00392FBB"/>
    <w:pPr>
      <w:spacing w:after="120"/>
      <w:ind w:left="1800"/>
    </w:pPr>
  </w:style>
  <w:style w:type="paragraph" w:styleId="ListNumber">
    <w:name w:val="List Number"/>
    <w:basedOn w:val="Normal"/>
    <w:rsid w:val="00392FBB"/>
    <w:pPr>
      <w:numPr>
        <w:numId w:val="26"/>
      </w:numPr>
    </w:pPr>
  </w:style>
  <w:style w:type="paragraph" w:styleId="ListNumber2">
    <w:name w:val="List Number 2"/>
    <w:basedOn w:val="Normal"/>
    <w:rsid w:val="00392FBB"/>
    <w:pPr>
      <w:numPr>
        <w:numId w:val="27"/>
      </w:numPr>
    </w:pPr>
  </w:style>
  <w:style w:type="paragraph" w:styleId="ListNumber3">
    <w:name w:val="List Number 3"/>
    <w:basedOn w:val="Normal"/>
    <w:rsid w:val="00392FBB"/>
    <w:pPr>
      <w:numPr>
        <w:numId w:val="28"/>
      </w:numPr>
    </w:pPr>
  </w:style>
  <w:style w:type="paragraph" w:styleId="ListNumber4">
    <w:name w:val="List Number 4"/>
    <w:basedOn w:val="Normal"/>
    <w:rsid w:val="00392FBB"/>
    <w:pPr>
      <w:numPr>
        <w:numId w:val="29"/>
      </w:numPr>
    </w:pPr>
  </w:style>
  <w:style w:type="paragraph" w:styleId="ListNumber5">
    <w:name w:val="List Number 5"/>
    <w:basedOn w:val="Normal"/>
    <w:rsid w:val="00392FBB"/>
    <w:pPr>
      <w:numPr>
        <w:numId w:val="30"/>
      </w:numPr>
    </w:pPr>
  </w:style>
  <w:style w:type="paragraph" w:styleId="MacroText">
    <w:name w:val="macro"/>
    <w:link w:val="MacroTextChar"/>
    <w:rsid w:val="00392FB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392FBB"/>
    <w:rPr>
      <w:rFonts w:ascii="Courier New" w:hAnsi="Courier New" w:cs="Courier New"/>
    </w:rPr>
  </w:style>
  <w:style w:type="paragraph" w:styleId="MessageHeader">
    <w:name w:val="Message Header"/>
    <w:basedOn w:val="Normal"/>
    <w:link w:val="MessageHeaderChar"/>
    <w:rsid w:val="00392FB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392FBB"/>
    <w:rPr>
      <w:rFonts w:ascii="Arial" w:hAnsi="Arial" w:cs="Arial"/>
      <w:sz w:val="24"/>
      <w:szCs w:val="24"/>
      <w:shd w:val="pct20" w:color="auto" w:fill="auto"/>
    </w:rPr>
  </w:style>
  <w:style w:type="paragraph" w:styleId="NormalIndent">
    <w:name w:val="Normal Indent"/>
    <w:basedOn w:val="Normal"/>
    <w:rsid w:val="00392FBB"/>
    <w:pPr>
      <w:ind w:left="720"/>
    </w:pPr>
  </w:style>
  <w:style w:type="paragraph" w:styleId="NoteHeading">
    <w:name w:val="Note Heading"/>
    <w:basedOn w:val="Normal"/>
    <w:next w:val="Normal"/>
    <w:link w:val="NoteHeadingChar"/>
    <w:rsid w:val="00392FBB"/>
  </w:style>
  <w:style w:type="character" w:customStyle="1" w:styleId="NoteHeadingChar">
    <w:name w:val="Note Heading Char"/>
    <w:basedOn w:val="DefaultParagraphFont"/>
    <w:link w:val="NoteHeading"/>
    <w:rsid w:val="00392FBB"/>
    <w:rPr>
      <w:sz w:val="24"/>
      <w:szCs w:val="24"/>
    </w:rPr>
  </w:style>
  <w:style w:type="paragraph" w:styleId="PlainText">
    <w:name w:val="Plain Text"/>
    <w:basedOn w:val="Normal"/>
    <w:link w:val="PlainTextChar"/>
    <w:rsid w:val="00392FBB"/>
    <w:rPr>
      <w:rFonts w:ascii="Courier New" w:hAnsi="Courier New" w:cs="Courier New"/>
      <w:sz w:val="20"/>
      <w:szCs w:val="20"/>
    </w:rPr>
  </w:style>
  <w:style w:type="character" w:customStyle="1" w:styleId="PlainTextChar">
    <w:name w:val="Plain Text Char"/>
    <w:basedOn w:val="DefaultParagraphFont"/>
    <w:link w:val="PlainText"/>
    <w:rsid w:val="00392FBB"/>
    <w:rPr>
      <w:rFonts w:ascii="Courier New" w:hAnsi="Courier New" w:cs="Courier New"/>
    </w:rPr>
  </w:style>
  <w:style w:type="paragraph" w:styleId="Salutation">
    <w:name w:val="Salutation"/>
    <w:basedOn w:val="Normal"/>
    <w:next w:val="Normal"/>
    <w:link w:val="SalutationChar"/>
    <w:rsid w:val="00392FBB"/>
  </w:style>
  <w:style w:type="character" w:customStyle="1" w:styleId="SalutationChar">
    <w:name w:val="Salutation Char"/>
    <w:basedOn w:val="DefaultParagraphFont"/>
    <w:link w:val="Salutation"/>
    <w:rsid w:val="00392FBB"/>
    <w:rPr>
      <w:sz w:val="24"/>
      <w:szCs w:val="24"/>
    </w:rPr>
  </w:style>
  <w:style w:type="paragraph" w:styleId="Signature">
    <w:name w:val="Signature"/>
    <w:basedOn w:val="Normal"/>
    <w:link w:val="SignatureChar"/>
    <w:rsid w:val="00392FBB"/>
    <w:pPr>
      <w:ind w:left="4320"/>
    </w:pPr>
  </w:style>
  <w:style w:type="character" w:customStyle="1" w:styleId="SignatureChar">
    <w:name w:val="Signature Char"/>
    <w:basedOn w:val="DefaultParagraphFont"/>
    <w:link w:val="Signature"/>
    <w:rsid w:val="00392FBB"/>
    <w:rPr>
      <w:sz w:val="24"/>
      <w:szCs w:val="24"/>
    </w:rPr>
  </w:style>
  <w:style w:type="paragraph" w:styleId="Subtitle">
    <w:name w:val="Subtitle"/>
    <w:basedOn w:val="Normal"/>
    <w:link w:val="SubtitleChar"/>
    <w:qFormat/>
    <w:rsid w:val="00392FBB"/>
    <w:pPr>
      <w:spacing w:after="60"/>
      <w:jc w:val="center"/>
      <w:outlineLvl w:val="1"/>
    </w:pPr>
    <w:rPr>
      <w:rFonts w:ascii="Arial" w:hAnsi="Arial" w:cs="Arial"/>
    </w:rPr>
  </w:style>
  <w:style w:type="character" w:customStyle="1" w:styleId="SubtitleChar">
    <w:name w:val="Subtitle Char"/>
    <w:basedOn w:val="DefaultParagraphFont"/>
    <w:link w:val="Subtitle"/>
    <w:rsid w:val="00392FBB"/>
    <w:rPr>
      <w:rFonts w:ascii="Arial" w:hAnsi="Arial" w:cs="Arial"/>
      <w:sz w:val="24"/>
      <w:szCs w:val="24"/>
    </w:rPr>
  </w:style>
  <w:style w:type="paragraph" w:styleId="TableofAuthorities">
    <w:name w:val="table of authorities"/>
    <w:basedOn w:val="Normal"/>
    <w:next w:val="Normal"/>
    <w:rsid w:val="00392FBB"/>
    <w:pPr>
      <w:ind w:left="240" w:hanging="240"/>
    </w:pPr>
  </w:style>
  <w:style w:type="paragraph" w:styleId="TOAHeading">
    <w:name w:val="toa heading"/>
    <w:basedOn w:val="Normal"/>
    <w:next w:val="Normal"/>
    <w:rsid w:val="00392FBB"/>
    <w:pPr>
      <w:spacing w:before="120"/>
    </w:pPr>
    <w:rPr>
      <w:rFonts w:ascii="Arial" w:hAnsi="Arial" w:cs="Arial"/>
      <w:b/>
      <w:bCs/>
    </w:rPr>
  </w:style>
  <w:style w:type="paragraph" w:styleId="TOC4">
    <w:name w:val="toc 4"/>
    <w:basedOn w:val="Normal"/>
    <w:next w:val="Normal"/>
    <w:autoRedefine/>
    <w:rsid w:val="00CE6855"/>
    <w:pPr>
      <w:ind w:left="720"/>
    </w:pPr>
    <w:rPr>
      <w:rFonts w:ascii="Arial" w:hAnsi="Arial"/>
      <w:sz w:val="22"/>
    </w:rPr>
  </w:style>
  <w:style w:type="paragraph" w:styleId="TOC5">
    <w:name w:val="toc 5"/>
    <w:basedOn w:val="Normal"/>
    <w:next w:val="Normal"/>
    <w:autoRedefine/>
    <w:rsid w:val="00392FBB"/>
    <w:pPr>
      <w:ind w:left="960"/>
    </w:pPr>
  </w:style>
  <w:style w:type="paragraph" w:styleId="TOC6">
    <w:name w:val="toc 6"/>
    <w:basedOn w:val="Normal"/>
    <w:next w:val="Normal"/>
    <w:autoRedefine/>
    <w:rsid w:val="00392FBB"/>
    <w:pPr>
      <w:ind w:left="1200"/>
    </w:pPr>
  </w:style>
  <w:style w:type="paragraph" w:styleId="TOC7">
    <w:name w:val="toc 7"/>
    <w:basedOn w:val="Normal"/>
    <w:next w:val="Normal"/>
    <w:autoRedefine/>
    <w:rsid w:val="00392FBB"/>
    <w:pPr>
      <w:ind w:left="1440"/>
    </w:pPr>
  </w:style>
  <w:style w:type="paragraph" w:styleId="TOC8">
    <w:name w:val="toc 8"/>
    <w:basedOn w:val="Normal"/>
    <w:next w:val="Normal"/>
    <w:autoRedefine/>
    <w:rsid w:val="00392FBB"/>
    <w:pPr>
      <w:ind w:left="1680"/>
    </w:pPr>
  </w:style>
  <w:style w:type="paragraph" w:styleId="TOC9">
    <w:name w:val="toc 9"/>
    <w:basedOn w:val="Normal"/>
    <w:next w:val="Normal"/>
    <w:autoRedefine/>
    <w:rsid w:val="00392FBB"/>
    <w:pPr>
      <w:ind w:left="1920"/>
    </w:pPr>
  </w:style>
  <w:style w:type="paragraph" w:styleId="ListParagraph">
    <w:name w:val="List Paragraph"/>
    <w:basedOn w:val="Normal"/>
    <w:uiPriority w:val="34"/>
    <w:qFormat/>
    <w:rsid w:val="00392FBB"/>
    <w:pPr>
      <w:ind w:left="720"/>
    </w:pPr>
  </w:style>
  <w:style w:type="paragraph" w:customStyle="1" w:styleId="xl67">
    <w:name w:val="xl67"/>
    <w:basedOn w:val="Normal"/>
    <w:rsid w:val="00820A87"/>
    <w:pPr>
      <w:pBdr>
        <w:right w:val="single" w:sz="12" w:space="0" w:color="FFFFFF"/>
      </w:pBdr>
      <w:shd w:val="clear" w:color="000000" w:fill="969696"/>
      <w:spacing w:before="100" w:beforeAutospacing="1" w:after="100" w:afterAutospacing="1"/>
      <w:jc w:val="center"/>
      <w:textAlignment w:val="center"/>
    </w:pPr>
    <w:rPr>
      <w:rFonts w:ascii="Arial" w:hAnsi="Arial" w:cs="Arial"/>
    </w:rPr>
  </w:style>
  <w:style w:type="paragraph" w:customStyle="1" w:styleId="xl68">
    <w:name w:val="xl68"/>
    <w:basedOn w:val="Normal"/>
    <w:rsid w:val="00820A87"/>
    <w:pPr>
      <w:pBdr>
        <w:left w:val="single" w:sz="12" w:space="0" w:color="FFFFFF"/>
        <w:right w:val="single" w:sz="12" w:space="0" w:color="FFFFFF"/>
      </w:pBdr>
      <w:shd w:val="clear" w:color="000000" w:fill="969696"/>
      <w:spacing w:before="100" w:beforeAutospacing="1" w:after="100" w:afterAutospacing="1"/>
      <w:jc w:val="center"/>
      <w:textAlignment w:val="center"/>
    </w:pPr>
    <w:rPr>
      <w:rFonts w:ascii="Arial" w:hAnsi="Arial" w:cs="Arial"/>
    </w:rPr>
  </w:style>
  <w:style w:type="paragraph" w:customStyle="1" w:styleId="xl69">
    <w:name w:val="xl69"/>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ascii="Arial" w:hAnsi="Arial" w:cs="Arial"/>
      <w:color w:val="FFFFFF"/>
    </w:rPr>
  </w:style>
  <w:style w:type="paragraph" w:customStyle="1" w:styleId="xl70">
    <w:name w:val="xl70"/>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ascii="Arial" w:hAnsi="Arial" w:cs="Arial"/>
      <w:color w:val="FFFFFF"/>
    </w:rPr>
  </w:style>
  <w:style w:type="paragraph" w:styleId="Revision">
    <w:name w:val="Revision"/>
    <w:hidden/>
    <w:uiPriority w:val="99"/>
    <w:semiHidden/>
    <w:rsid w:val="00921780"/>
    <w:rPr>
      <w:sz w:val="24"/>
      <w:szCs w:val="24"/>
    </w:rPr>
  </w:style>
  <w:style w:type="paragraph" w:customStyle="1" w:styleId="Default">
    <w:name w:val="Default"/>
    <w:basedOn w:val="Normal"/>
    <w:rsid w:val="007E3817"/>
    <w:pPr>
      <w:autoSpaceDE w:val="0"/>
      <w:autoSpaceDN w:val="0"/>
    </w:pPr>
    <w:rPr>
      <w:rFonts w:eastAsiaTheme="minorHAnsi"/>
      <w:color w:val="000000"/>
    </w:rPr>
  </w:style>
  <w:style w:type="character" w:customStyle="1" w:styleId="EndnoteTextChar">
    <w:name w:val="Endnote Text Char"/>
    <w:link w:val="EndnoteText"/>
    <w:semiHidden/>
    <w:rsid w:val="00B624B3"/>
  </w:style>
  <w:style w:type="character" w:customStyle="1" w:styleId="Heading2Char">
    <w:name w:val="Heading 2 Char"/>
    <w:rsid w:val="00B624B3"/>
    <w:rPr>
      <w:rFonts w:ascii="Arial" w:hAnsi="Arial" w:cs="Arial"/>
      <w:b/>
      <w:bCs/>
      <w:iCs/>
      <w:noProof w:val="0"/>
      <w:sz w:val="22"/>
      <w:szCs w:val="22"/>
      <w:lang w:val="en-US" w:eastAsia="en-US" w:bidi="ar-SA"/>
    </w:rPr>
  </w:style>
  <w:style w:type="character" w:customStyle="1" w:styleId="FooterChar">
    <w:name w:val="Footer Char"/>
    <w:basedOn w:val="DefaultParagraphFont"/>
    <w:link w:val="Footer"/>
    <w:uiPriority w:val="99"/>
    <w:rsid w:val="00B624B3"/>
    <w:rPr>
      <w:sz w:val="24"/>
      <w:szCs w:val="24"/>
    </w:rPr>
  </w:style>
  <w:style w:type="character" w:customStyle="1" w:styleId="content121">
    <w:name w:val="content121"/>
    <w:rsid w:val="00E256F4"/>
    <w:rPr>
      <w:rFonts w:ascii="Arial" w:hAnsi="Arial" w:cs="Arial" w:hint="default"/>
      <w:color w:val="000000"/>
      <w:sz w:val="18"/>
    </w:rPr>
  </w:style>
  <w:style w:type="paragraph" w:customStyle="1" w:styleId="xl71">
    <w:name w:val="xl71"/>
    <w:basedOn w:val="Normal"/>
    <w:rsid w:val="00B9439D"/>
    <w:pPr>
      <w:spacing w:before="100" w:beforeAutospacing="1" w:after="100" w:afterAutospacing="1"/>
    </w:pPr>
    <w:rPr>
      <w:rFonts w:ascii="Arial" w:hAnsi="Arial" w:cs="Arial"/>
      <w:b/>
      <w:bCs/>
    </w:rPr>
  </w:style>
  <w:style w:type="paragraph" w:customStyle="1" w:styleId="xl72">
    <w:name w:val="xl72"/>
    <w:basedOn w:val="Normal"/>
    <w:rsid w:val="00B9439D"/>
    <w:pPr>
      <w:spacing w:before="100" w:beforeAutospacing="1" w:after="100" w:afterAutospacing="1"/>
      <w:jc w:val="center"/>
    </w:pPr>
    <w:rPr>
      <w:rFonts w:ascii="Arial" w:hAnsi="Arial" w:cs="Arial"/>
      <w:b/>
      <w:bCs/>
    </w:rPr>
  </w:style>
  <w:style w:type="paragraph" w:customStyle="1" w:styleId="xl73">
    <w:name w:val="xl73"/>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5">
    <w:name w:val="xl75"/>
    <w:basedOn w:val="Normal"/>
    <w:rsid w:val="00B9439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style>
  <w:style w:type="paragraph" w:customStyle="1" w:styleId="xl76">
    <w:name w:val="xl76"/>
    <w:basedOn w:val="Normal"/>
    <w:rsid w:val="00B9439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77">
    <w:name w:val="xl77"/>
    <w:basedOn w:val="Normal"/>
    <w:rsid w:val="00B9439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78">
    <w:name w:val="xl78"/>
    <w:basedOn w:val="Normal"/>
    <w:rsid w:val="00B9439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style>
  <w:style w:type="paragraph" w:customStyle="1" w:styleId="xl79">
    <w:name w:val="xl79"/>
    <w:basedOn w:val="Normal"/>
    <w:rsid w:val="00B9439D"/>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pPr>
    <w:rPr>
      <w:rFonts w:ascii="Arial" w:hAnsi="Arial" w:cs="Arial"/>
    </w:rPr>
  </w:style>
  <w:style w:type="paragraph" w:customStyle="1" w:styleId="xl80">
    <w:name w:val="xl80"/>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2">
    <w:name w:val="xl82"/>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3">
    <w:name w:val="xl83"/>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5">
    <w:name w:val="xl85"/>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86">
    <w:name w:val="xl86"/>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87">
    <w:name w:val="xl87"/>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9">
    <w:name w:val="xl89"/>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90">
    <w:name w:val="xl90"/>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92">
    <w:name w:val="xl92"/>
    <w:basedOn w:val="Normal"/>
    <w:rsid w:val="00B9439D"/>
    <w:pPr>
      <w:pBdr>
        <w:top w:val="single" w:sz="8" w:space="0" w:color="auto"/>
        <w:left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93">
    <w:name w:val="xl93"/>
    <w:basedOn w:val="Normal"/>
    <w:rsid w:val="00B9439D"/>
    <w:pPr>
      <w:pBdr>
        <w:top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94">
    <w:name w:val="xl94"/>
    <w:basedOn w:val="Normal"/>
    <w:rsid w:val="00B9439D"/>
    <w:pPr>
      <w:pBdr>
        <w:top w:val="single" w:sz="8" w:space="0" w:color="auto"/>
        <w:right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95">
    <w:name w:val="xl95"/>
    <w:basedOn w:val="Normal"/>
    <w:rsid w:val="00B9439D"/>
    <w:pPr>
      <w:pBdr>
        <w:top w:val="single" w:sz="8" w:space="0" w:color="auto"/>
        <w:left w:val="single" w:sz="8" w:space="0" w:color="auto"/>
      </w:pBdr>
      <w:shd w:val="clear" w:color="000000" w:fill="99CCFF"/>
      <w:spacing w:before="100" w:beforeAutospacing="1" w:after="100" w:afterAutospacing="1"/>
      <w:jc w:val="center"/>
    </w:pPr>
    <w:rPr>
      <w:rFonts w:ascii="Arial" w:hAnsi="Arial" w:cs="Arial"/>
      <w:b/>
      <w:bCs/>
    </w:rPr>
  </w:style>
  <w:style w:type="paragraph" w:customStyle="1" w:styleId="xl96">
    <w:name w:val="xl96"/>
    <w:basedOn w:val="Normal"/>
    <w:rsid w:val="00B9439D"/>
    <w:pPr>
      <w:pBdr>
        <w:top w:val="single" w:sz="8" w:space="0" w:color="auto"/>
      </w:pBdr>
      <w:shd w:val="clear" w:color="000000" w:fill="99CCFF"/>
      <w:spacing w:before="100" w:beforeAutospacing="1" w:after="100" w:afterAutospacing="1"/>
      <w:jc w:val="center"/>
    </w:pPr>
    <w:rPr>
      <w:rFonts w:ascii="Arial" w:hAnsi="Arial" w:cs="Arial"/>
      <w:b/>
      <w:bCs/>
    </w:rPr>
  </w:style>
  <w:style w:type="paragraph" w:customStyle="1" w:styleId="xl97">
    <w:name w:val="xl97"/>
    <w:basedOn w:val="Normal"/>
    <w:rsid w:val="00B9439D"/>
    <w:pPr>
      <w:pBdr>
        <w:top w:val="single" w:sz="8" w:space="0" w:color="auto"/>
        <w:right w:val="single" w:sz="8" w:space="0" w:color="auto"/>
      </w:pBdr>
      <w:shd w:val="clear" w:color="000000" w:fill="99CCFF"/>
      <w:spacing w:before="100" w:beforeAutospacing="1" w:after="100" w:afterAutospacing="1"/>
      <w:jc w:val="center"/>
    </w:pPr>
    <w:rPr>
      <w:rFonts w:ascii="Arial" w:hAnsi="Arial" w:cs="Arial"/>
      <w:b/>
      <w:bCs/>
    </w:rPr>
  </w:style>
  <w:style w:type="character" w:styleId="PlaceholderText">
    <w:name w:val="Placeholder Text"/>
    <w:basedOn w:val="DefaultParagraphFont"/>
    <w:uiPriority w:val="99"/>
    <w:semiHidden/>
    <w:rsid w:val="00CA54BD"/>
    <w:rPr>
      <w:color w:val="808080"/>
    </w:rPr>
  </w:style>
  <w:style w:type="character" w:customStyle="1" w:styleId="FootnoteTextChar">
    <w:name w:val="Footnote Text Char"/>
    <w:basedOn w:val="DefaultParagraphFont"/>
    <w:link w:val="FootnoteText"/>
    <w:semiHidden/>
    <w:rsid w:val="00565CE6"/>
  </w:style>
  <w:style w:type="paragraph" w:styleId="TOCHeading">
    <w:name w:val="TOC Heading"/>
    <w:basedOn w:val="Heading1"/>
    <w:next w:val="Normal"/>
    <w:uiPriority w:val="39"/>
    <w:semiHidden/>
    <w:unhideWhenUsed/>
    <w:qFormat/>
    <w:rsid w:val="00054FC2"/>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character" w:styleId="Strong">
    <w:name w:val="Strong"/>
    <w:qFormat/>
    <w:rsid w:val="003662D0"/>
    <w:rPr>
      <w:rFonts w:ascii="Arial" w:hAnsi="Arial"/>
      <w:b/>
      <w:bC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7910"/>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392FBB"/>
    <w:pPr>
      <w:keepNext/>
      <w:spacing w:before="240" w:after="60"/>
      <w:outlineLvl w:val="3"/>
    </w:pPr>
    <w:rPr>
      <w:b/>
      <w:bCs/>
      <w:sz w:val="28"/>
      <w:szCs w:val="28"/>
    </w:rPr>
  </w:style>
  <w:style w:type="paragraph" w:styleId="Heading5">
    <w:name w:val="heading 5"/>
    <w:basedOn w:val="Normal"/>
    <w:next w:val="Normal"/>
    <w:link w:val="Heading5Char"/>
    <w:qFormat/>
    <w:rsid w:val="00392FBB"/>
    <w:pPr>
      <w:spacing w:before="240" w:after="60"/>
      <w:outlineLvl w:val="4"/>
    </w:pPr>
    <w:rPr>
      <w:b/>
      <w:bCs/>
      <w:i/>
      <w:iCs/>
      <w:sz w:val="26"/>
      <w:szCs w:val="26"/>
    </w:rPr>
  </w:style>
  <w:style w:type="paragraph" w:styleId="Heading6">
    <w:name w:val="heading 6"/>
    <w:basedOn w:val="Normal"/>
    <w:next w:val="Normal"/>
    <w:link w:val="Heading6Char"/>
    <w:qFormat/>
    <w:rsid w:val="00392FBB"/>
    <w:pPr>
      <w:spacing w:before="240" w:after="60"/>
      <w:outlineLvl w:val="5"/>
    </w:pPr>
    <w:rPr>
      <w:b/>
      <w:bCs/>
      <w:sz w:val="22"/>
      <w:szCs w:val="22"/>
    </w:rPr>
  </w:style>
  <w:style w:type="paragraph" w:styleId="Heading7">
    <w:name w:val="heading 7"/>
    <w:basedOn w:val="Normal"/>
    <w:next w:val="Normal"/>
    <w:link w:val="Heading7Char"/>
    <w:qFormat/>
    <w:rsid w:val="00392FBB"/>
    <w:pPr>
      <w:spacing w:before="240" w:after="60"/>
      <w:outlineLvl w:val="6"/>
    </w:pPr>
  </w:style>
  <w:style w:type="paragraph" w:styleId="Heading8">
    <w:name w:val="heading 8"/>
    <w:basedOn w:val="Normal"/>
    <w:next w:val="Normal"/>
    <w:link w:val="Heading8Char"/>
    <w:qFormat/>
    <w:rsid w:val="00392FBB"/>
    <w:pPr>
      <w:spacing w:before="240" w:after="60"/>
      <w:outlineLvl w:val="7"/>
    </w:pPr>
    <w:rPr>
      <w:i/>
      <w:iCs/>
    </w:rPr>
  </w:style>
  <w:style w:type="paragraph" w:styleId="Heading9">
    <w:name w:val="heading 9"/>
    <w:basedOn w:val="Normal"/>
    <w:next w:val="Normal"/>
    <w:link w:val="Heading9Char"/>
    <w:qFormat/>
    <w:rsid w:val="00392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CE6855"/>
    <w:rPr>
      <w:rFonts w:ascii="Arial" w:hAnsi="Arial"/>
      <w:sz w:val="22"/>
    </w:rPr>
  </w:style>
  <w:style w:type="paragraph" w:styleId="TOC2">
    <w:name w:val="toc 2"/>
    <w:basedOn w:val="Normal"/>
    <w:next w:val="Normal"/>
    <w:autoRedefine/>
    <w:uiPriority w:val="39"/>
    <w:rsid w:val="00CE6855"/>
    <w:pPr>
      <w:ind w:left="240"/>
    </w:pPr>
    <w:rPr>
      <w:rFonts w:ascii="Arial" w:hAnsi="Arial"/>
      <w:sz w:val="22"/>
    </w:r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CE6855"/>
    <w:pPr>
      <w:ind w:left="480"/>
    </w:pPr>
    <w:rPr>
      <w:rFonts w:ascii="Arial" w:hAnsi="Arial"/>
      <w:sz w:val="22"/>
    </w:r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054FC2"/>
    <w:rPr>
      <w:rFonts w:ascii="Arial" w:hAnsi="Arial"/>
      <w:sz w:val="22"/>
    </w:rPr>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Heading4Char">
    <w:name w:val="Heading 4 Char"/>
    <w:basedOn w:val="DefaultParagraphFont"/>
    <w:link w:val="Heading4"/>
    <w:rsid w:val="00392FBB"/>
    <w:rPr>
      <w:b/>
      <w:bCs/>
      <w:sz w:val="28"/>
      <w:szCs w:val="28"/>
    </w:rPr>
  </w:style>
  <w:style w:type="character" w:customStyle="1" w:styleId="Heading5Char">
    <w:name w:val="Heading 5 Char"/>
    <w:basedOn w:val="DefaultParagraphFont"/>
    <w:link w:val="Heading5"/>
    <w:rsid w:val="00392FBB"/>
    <w:rPr>
      <w:b/>
      <w:bCs/>
      <w:i/>
      <w:iCs/>
      <w:sz w:val="26"/>
      <w:szCs w:val="26"/>
    </w:rPr>
  </w:style>
  <w:style w:type="character" w:customStyle="1" w:styleId="Heading6Char">
    <w:name w:val="Heading 6 Char"/>
    <w:basedOn w:val="DefaultParagraphFont"/>
    <w:link w:val="Heading6"/>
    <w:rsid w:val="00392FBB"/>
    <w:rPr>
      <w:b/>
      <w:bCs/>
      <w:sz w:val="22"/>
      <w:szCs w:val="22"/>
    </w:rPr>
  </w:style>
  <w:style w:type="character" w:customStyle="1" w:styleId="Heading7Char">
    <w:name w:val="Heading 7 Char"/>
    <w:basedOn w:val="DefaultParagraphFont"/>
    <w:link w:val="Heading7"/>
    <w:rsid w:val="00392FBB"/>
    <w:rPr>
      <w:sz w:val="24"/>
      <w:szCs w:val="24"/>
    </w:rPr>
  </w:style>
  <w:style w:type="character" w:customStyle="1" w:styleId="Heading8Char">
    <w:name w:val="Heading 8 Char"/>
    <w:basedOn w:val="DefaultParagraphFont"/>
    <w:link w:val="Heading8"/>
    <w:rsid w:val="00392FBB"/>
    <w:rPr>
      <w:i/>
      <w:iCs/>
      <w:sz w:val="24"/>
      <w:szCs w:val="24"/>
    </w:rPr>
  </w:style>
  <w:style w:type="character" w:customStyle="1" w:styleId="Heading9Char">
    <w:name w:val="Heading 9 Char"/>
    <w:basedOn w:val="DefaultParagraphFont"/>
    <w:link w:val="Heading9"/>
    <w:rsid w:val="00392FBB"/>
    <w:rPr>
      <w:rFonts w:ascii="Arial" w:hAnsi="Arial" w:cs="Arial"/>
      <w:sz w:val="22"/>
      <w:szCs w:val="22"/>
    </w:rPr>
  </w:style>
  <w:style w:type="paragraph" w:styleId="BodyText">
    <w:name w:val="Body Text"/>
    <w:basedOn w:val="Normal"/>
    <w:link w:val="BodyTextChar"/>
    <w:rsid w:val="00392FBB"/>
    <w:pPr>
      <w:widowControl w:val="0"/>
      <w:spacing w:after="120"/>
    </w:pPr>
    <w:rPr>
      <w:szCs w:val="20"/>
    </w:rPr>
  </w:style>
  <w:style w:type="character" w:customStyle="1" w:styleId="BodyTextChar">
    <w:name w:val="Body Text Char"/>
    <w:basedOn w:val="DefaultParagraphFont"/>
    <w:link w:val="BodyText"/>
    <w:rsid w:val="00392FBB"/>
    <w:rPr>
      <w:sz w:val="24"/>
    </w:rPr>
  </w:style>
  <w:style w:type="paragraph" w:customStyle="1" w:styleId="StyleCaptionCentered">
    <w:name w:val="Style Caption + Centered"/>
    <w:basedOn w:val="Caption"/>
    <w:rsid w:val="00392FBB"/>
    <w:pPr>
      <w:keepNext/>
      <w:jc w:val="center"/>
    </w:pPr>
  </w:style>
  <w:style w:type="character" w:customStyle="1" w:styleId="CharChar">
    <w:name w:val="Char Char"/>
    <w:basedOn w:val="DefaultParagraphFont"/>
    <w:rsid w:val="00392FBB"/>
    <w:rPr>
      <w:b/>
      <w:bCs/>
      <w:lang w:val="en-US" w:eastAsia="en-US" w:bidi="ar-SA"/>
    </w:rPr>
  </w:style>
  <w:style w:type="paragraph" w:styleId="BlockText">
    <w:name w:val="Block Text"/>
    <w:basedOn w:val="Normal"/>
    <w:rsid w:val="00392FBB"/>
    <w:pPr>
      <w:spacing w:after="120"/>
      <w:ind w:left="1440" w:right="1440"/>
    </w:pPr>
  </w:style>
  <w:style w:type="paragraph" w:styleId="BodyText2">
    <w:name w:val="Body Text 2"/>
    <w:basedOn w:val="Normal"/>
    <w:link w:val="BodyText2Char"/>
    <w:rsid w:val="00392FBB"/>
    <w:pPr>
      <w:spacing w:after="120" w:line="480" w:lineRule="auto"/>
    </w:pPr>
  </w:style>
  <w:style w:type="character" w:customStyle="1" w:styleId="BodyText2Char">
    <w:name w:val="Body Text 2 Char"/>
    <w:basedOn w:val="DefaultParagraphFont"/>
    <w:link w:val="BodyText2"/>
    <w:rsid w:val="00392FBB"/>
    <w:rPr>
      <w:sz w:val="24"/>
      <w:szCs w:val="24"/>
    </w:rPr>
  </w:style>
  <w:style w:type="paragraph" w:styleId="BodyText3">
    <w:name w:val="Body Text 3"/>
    <w:basedOn w:val="Normal"/>
    <w:link w:val="BodyText3Char"/>
    <w:rsid w:val="00392FBB"/>
    <w:pPr>
      <w:spacing w:after="120"/>
    </w:pPr>
    <w:rPr>
      <w:sz w:val="16"/>
      <w:szCs w:val="16"/>
    </w:rPr>
  </w:style>
  <w:style w:type="character" w:customStyle="1" w:styleId="BodyText3Char">
    <w:name w:val="Body Text 3 Char"/>
    <w:basedOn w:val="DefaultParagraphFont"/>
    <w:link w:val="BodyText3"/>
    <w:rsid w:val="00392FBB"/>
    <w:rPr>
      <w:sz w:val="16"/>
      <w:szCs w:val="16"/>
    </w:rPr>
  </w:style>
  <w:style w:type="paragraph" w:styleId="BodyTextFirstIndent">
    <w:name w:val="Body Text First Indent"/>
    <w:basedOn w:val="BodyText"/>
    <w:link w:val="BodyTextFirstIndentChar"/>
    <w:rsid w:val="00392FBB"/>
    <w:pPr>
      <w:widowControl/>
      <w:ind w:firstLine="210"/>
    </w:pPr>
    <w:rPr>
      <w:szCs w:val="24"/>
    </w:rPr>
  </w:style>
  <w:style w:type="character" w:customStyle="1" w:styleId="BodyTextFirstIndentChar">
    <w:name w:val="Body Text First Indent Char"/>
    <w:basedOn w:val="BodyTextChar"/>
    <w:link w:val="BodyTextFirstIndent"/>
    <w:rsid w:val="00392FBB"/>
    <w:rPr>
      <w:sz w:val="24"/>
      <w:szCs w:val="24"/>
    </w:rPr>
  </w:style>
  <w:style w:type="paragraph" w:styleId="BodyTextIndent">
    <w:name w:val="Body Text Indent"/>
    <w:basedOn w:val="Normal"/>
    <w:link w:val="BodyTextIndentChar"/>
    <w:rsid w:val="00392FBB"/>
    <w:pPr>
      <w:spacing w:after="120"/>
      <w:ind w:left="360"/>
    </w:pPr>
  </w:style>
  <w:style w:type="character" w:customStyle="1" w:styleId="BodyTextIndentChar">
    <w:name w:val="Body Text Indent Char"/>
    <w:basedOn w:val="DefaultParagraphFont"/>
    <w:link w:val="BodyTextIndent"/>
    <w:rsid w:val="00392FBB"/>
    <w:rPr>
      <w:sz w:val="24"/>
      <w:szCs w:val="24"/>
    </w:rPr>
  </w:style>
  <w:style w:type="paragraph" w:styleId="BodyTextFirstIndent2">
    <w:name w:val="Body Text First Indent 2"/>
    <w:basedOn w:val="BodyTextIndent"/>
    <w:link w:val="BodyTextFirstIndent2Char"/>
    <w:rsid w:val="00392FBB"/>
    <w:pPr>
      <w:ind w:firstLine="210"/>
    </w:pPr>
  </w:style>
  <w:style w:type="character" w:customStyle="1" w:styleId="BodyTextFirstIndent2Char">
    <w:name w:val="Body Text First Indent 2 Char"/>
    <w:basedOn w:val="BodyTextIndentChar"/>
    <w:link w:val="BodyTextFirstIndent2"/>
    <w:rsid w:val="00392FBB"/>
    <w:rPr>
      <w:sz w:val="24"/>
      <w:szCs w:val="24"/>
    </w:rPr>
  </w:style>
  <w:style w:type="paragraph" w:styleId="BodyTextIndent2">
    <w:name w:val="Body Text Indent 2"/>
    <w:basedOn w:val="Normal"/>
    <w:link w:val="BodyTextIndent2Char"/>
    <w:rsid w:val="00392FBB"/>
    <w:pPr>
      <w:spacing w:after="120" w:line="480" w:lineRule="auto"/>
      <w:ind w:left="360"/>
    </w:pPr>
  </w:style>
  <w:style w:type="character" w:customStyle="1" w:styleId="BodyTextIndent2Char">
    <w:name w:val="Body Text Indent 2 Char"/>
    <w:basedOn w:val="DefaultParagraphFont"/>
    <w:link w:val="BodyTextIndent2"/>
    <w:rsid w:val="00392FBB"/>
    <w:rPr>
      <w:sz w:val="24"/>
      <w:szCs w:val="24"/>
    </w:rPr>
  </w:style>
  <w:style w:type="paragraph" w:styleId="BodyTextIndent3">
    <w:name w:val="Body Text Indent 3"/>
    <w:basedOn w:val="Normal"/>
    <w:link w:val="BodyTextIndent3Char"/>
    <w:rsid w:val="00392FBB"/>
    <w:pPr>
      <w:spacing w:after="120"/>
      <w:ind w:left="360"/>
    </w:pPr>
    <w:rPr>
      <w:sz w:val="16"/>
      <w:szCs w:val="16"/>
    </w:rPr>
  </w:style>
  <w:style w:type="character" w:customStyle="1" w:styleId="BodyTextIndent3Char">
    <w:name w:val="Body Text Indent 3 Char"/>
    <w:basedOn w:val="DefaultParagraphFont"/>
    <w:link w:val="BodyTextIndent3"/>
    <w:rsid w:val="00392FBB"/>
    <w:rPr>
      <w:sz w:val="16"/>
      <w:szCs w:val="16"/>
    </w:rPr>
  </w:style>
  <w:style w:type="paragraph" w:styleId="Closing">
    <w:name w:val="Closing"/>
    <w:basedOn w:val="Normal"/>
    <w:link w:val="ClosingChar"/>
    <w:rsid w:val="00392FBB"/>
    <w:pPr>
      <w:ind w:left="4320"/>
    </w:pPr>
  </w:style>
  <w:style w:type="character" w:customStyle="1" w:styleId="ClosingChar">
    <w:name w:val="Closing Char"/>
    <w:basedOn w:val="DefaultParagraphFont"/>
    <w:link w:val="Closing"/>
    <w:rsid w:val="00392FBB"/>
    <w:rPr>
      <w:sz w:val="24"/>
      <w:szCs w:val="24"/>
    </w:rPr>
  </w:style>
  <w:style w:type="paragraph" w:styleId="Date">
    <w:name w:val="Date"/>
    <w:basedOn w:val="Normal"/>
    <w:next w:val="Normal"/>
    <w:link w:val="DateChar"/>
    <w:rsid w:val="00392FBB"/>
  </w:style>
  <w:style w:type="character" w:customStyle="1" w:styleId="DateChar">
    <w:name w:val="Date Char"/>
    <w:basedOn w:val="DefaultParagraphFont"/>
    <w:link w:val="Date"/>
    <w:rsid w:val="00392FBB"/>
    <w:rPr>
      <w:sz w:val="24"/>
      <w:szCs w:val="24"/>
    </w:rPr>
  </w:style>
  <w:style w:type="paragraph" w:styleId="E-mailSignature">
    <w:name w:val="E-mail Signature"/>
    <w:basedOn w:val="Normal"/>
    <w:link w:val="E-mailSignatureChar"/>
    <w:rsid w:val="00392FBB"/>
  </w:style>
  <w:style w:type="character" w:customStyle="1" w:styleId="E-mailSignatureChar">
    <w:name w:val="E-mail Signature Char"/>
    <w:basedOn w:val="DefaultParagraphFont"/>
    <w:link w:val="E-mailSignature"/>
    <w:rsid w:val="00392FBB"/>
    <w:rPr>
      <w:sz w:val="24"/>
      <w:szCs w:val="24"/>
    </w:rPr>
  </w:style>
  <w:style w:type="paragraph" w:styleId="EnvelopeAddress">
    <w:name w:val="envelope address"/>
    <w:basedOn w:val="Normal"/>
    <w:rsid w:val="00392FB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392FBB"/>
    <w:rPr>
      <w:rFonts w:ascii="Arial" w:hAnsi="Arial" w:cs="Arial"/>
      <w:sz w:val="20"/>
      <w:szCs w:val="20"/>
    </w:rPr>
  </w:style>
  <w:style w:type="paragraph" w:styleId="HTMLAddress">
    <w:name w:val="HTML Address"/>
    <w:basedOn w:val="Normal"/>
    <w:link w:val="HTMLAddressChar"/>
    <w:rsid w:val="00392FBB"/>
    <w:rPr>
      <w:i/>
      <w:iCs/>
    </w:rPr>
  </w:style>
  <w:style w:type="character" w:customStyle="1" w:styleId="HTMLAddressChar">
    <w:name w:val="HTML Address Char"/>
    <w:basedOn w:val="DefaultParagraphFont"/>
    <w:link w:val="HTMLAddress"/>
    <w:rsid w:val="00392FBB"/>
    <w:rPr>
      <w:i/>
      <w:iCs/>
      <w:sz w:val="24"/>
      <w:szCs w:val="24"/>
    </w:rPr>
  </w:style>
  <w:style w:type="paragraph" w:styleId="HTMLPreformatted">
    <w:name w:val="HTML Preformatted"/>
    <w:basedOn w:val="Normal"/>
    <w:link w:val="HTMLPreformattedChar"/>
    <w:rsid w:val="00392FBB"/>
    <w:rPr>
      <w:rFonts w:ascii="Courier New" w:hAnsi="Courier New" w:cs="Courier New"/>
      <w:sz w:val="20"/>
      <w:szCs w:val="20"/>
    </w:rPr>
  </w:style>
  <w:style w:type="character" w:customStyle="1" w:styleId="HTMLPreformattedChar">
    <w:name w:val="HTML Preformatted Char"/>
    <w:basedOn w:val="DefaultParagraphFont"/>
    <w:link w:val="HTMLPreformatted"/>
    <w:rsid w:val="00392FBB"/>
    <w:rPr>
      <w:rFonts w:ascii="Courier New" w:hAnsi="Courier New" w:cs="Courier New"/>
    </w:rPr>
  </w:style>
  <w:style w:type="paragraph" w:styleId="Index2">
    <w:name w:val="index 2"/>
    <w:basedOn w:val="Normal"/>
    <w:next w:val="Normal"/>
    <w:autoRedefine/>
    <w:rsid w:val="00392FBB"/>
    <w:pPr>
      <w:ind w:left="480" w:hanging="240"/>
    </w:pPr>
  </w:style>
  <w:style w:type="paragraph" w:styleId="Index3">
    <w:name w:val="index 3"/>
    <w:basedOn w:val="Normal"/>
    <w:next w:val="Normal"/>
    <w:autoRedefine/>
    <w:rsid w:val="00392FBB"/>
    <w:pPr>
      <w:ind w:left="720" w:hanging="240"/>
    </w:pPr>
  </w:style>
  <w:style w:type="paragraph" w:styleId="Index4">
    <w:name w:val="index 4"/>
    <w:basedOn w:val="Normal"/>
    <w:next w:val="Normal"/>
    <w:autoRedefine/>
    <w:rsid w:val="00392FBB"/>
    <w:pPr>
      <w:ind w:left="960" w:hanging="240"/>
    </w:pPr>
  </w:style>
  <w:style w:type="paragraph" w:styleId="Index5">
    <w:name w:val="index 5"/>
    <w:basedOn w:val="Normal"/>
    <w:next w:val="Normal"/>
    <w:autoRedefine/>
    <w:rsid w:val="00392FBB"/>
    <w:pPr>
      <w:ind w:left="1200" w:hanging="240"/>
    </w:pPr>
  </w:style>
  <w:style w:type="paragraph" w:styleId="Index6">
    <w:name w:val="index 6"/>
    <w:basedOn w:val="Normal"/>
    <w:next w:val="Normal"/>
    <w:autoRedefine/>
    <w:rsid w:val="00392FBB"/>
    <w:pPr>
      <w:ind w:left="1440" w:hanging="240"/>
    </w:pPr>
  </w:style>
  <w:style w:type="paragraph" w:styleId="Index7">
    <w:name w:val="index 7"/>
    <w:basedOn w:val="Normal"/>
    <w:next w:val="Normal"/>
    <w:autoRedefine/>
    <w:rsid w:val="00392FBB"/>
    <w:pPr>
      <w:ind w:left="1680" w:hanging="240"/>
    </w:pPr>
  </w:style>
  <w:style w:type="paragraph" w:styleId="Index8">
    <w:name w:val="index 8"/>
    <w:basedOn w:val="Normal"/>
    <w:next w:val="Normal"/>
    <w:autoRedefine/>
    <w:rsid w:val="00392FBB"/>
    <w:pPr>
      <w:ind w:left="1920" w:hanging="240"/>
    </w:pPr>
  </w:style>
  <w:style w:type="paragraph" w:styleId="Index9">
    <w:name w:val="index 9"/>
    <w:basedOn w:val="Normal"/>
    <w:next w:val="Normal"/>
    <w:autoRedefine/>
    <w:rsid w:val="00392FBB"/>
    <w:pPr>
      <w:ind w:left="2160" w:hanging="240"/>
    </w:pPr>
  </w:style>
  <w:style w:type="paragraph" w:styleId="IndexHeading">
    <w:name w:val="index heading"/>
    <w:basedOn w:val="Normal"/>
    <w:next w:val="Index1"/>
    <w:rsid w:val="00392FBB"/>
    <w:rPr>
      <w:rFonts w:ascii="Arial" w:hAnsi="Arial" w:cs="Arial"/>
      <w:b/>
      <w:bCs/>
    </w:rPr>
  </w:style>
  <w:style w:type="paragraph" w:styleId="List">
    <w:name w:val="List"/>
    <w:basedOn w:val="Normal"/>
    <w:rsid w:val="00392FBB"/>
    <w:pPr>
      <w:ind w:left="360" w:hanging="360"/>
    </w:pPr>
  </w:style>
  <w:style w:type="paragraph" w:styleId="List2">
    <w:name w:val="List 2"/>
    <w:basedOn w:val="Normal"/>
    <w:rsid w:val="00392FBB"/>
    <w:pPr>
      <w:ind w:left="720" w:hanging="360"/>
    </w:pPr>
  </w:style>
  <w:style w:type="paragraph" w:styleId="List3">
    <w:name w:val="List 3"/>
    <w:basedOn w:val="Normal"/>
    <w:rsid w:val="00392FBB"/>
    <w:pPr>
      <w:ind w:left="1080" w:hanging="360"/>
    </w:pPr>
  </w:style>
  <w:style w:type="paragraph" w:styleId="List4">
    <w:name w:val="List 4"/>
    <w:basedOn w:val="Normal"/>
    <w:rsid w:val="00392FBB"/>
    <w:pPr>
      <w:ind w:left="1440" w:hanging="360"/>
    </w:pPr>
  </w:style>
  <w:style w:type="paragraph" w:styleId="List5">
    <w:name w:val="List 5"/>
    <w:basedOn w:val="Normal"/>
    <w:rsid w:val="00392FBB"/>
    <w:pPr>
      <w:ind w:left="1800" w:hanging="360"/>
    </w:pPr>
  </w:style>
  <w:style w:type="paragraph" w:styleId="ListBullet">
    <w:name w:val="List Bullet"/>
    <w:basedOn w:val="Normal"/>
    <w:rsid w:val="00392FBB"/>
    <w:pPr>
      <w:numPr>
        <w:numId w:val="21"/>
      </w:numPr>
    </w:pPr>
  </w:style>
  <w:style w:type="paragraph" w:styleId="ListBullet2">
    <w:name w:val="List Bullet 2"/>
    <w:basedOn w:val="Normal"/>
    <w:rsid w:val="00392FBB"/>
    <w:pPr>
      <w:numPr>
        <w:numId w:val="22"/>
      </w:numPr>
    </w:pPr>
  </w:style>
  <w:style w:type="paragraph" w:styleId="ListBullet3">
    <w:name w:val="List Bullet 3"/>
    <w:basedOn w:val="Normal"/>
    <w:rsid w:val="00392FBB"/>
    <w:pPr>
      <w:numPr>
        <w:numId w:val="23"/>
      </w:numPr>
    </w:pPr>
  </w:style>
  <w:style w:type="paragraph" w:styleId="ListBullet4">
    <w:name w:val="List Bullet 4"/>
    <w:basedOn w:val="Normal"/>
    <w:rsid w:val="00392FBB"/>
    <w:pPr>
      <w:numPr>
        <w:numId w:val="24"/>
      </w:numPr>
    </w:pPr>
  </w:style>
  <w:style w:type="paragraph" w:styleId="ListBullet5">
    <w:name w:val="List Bullet 5"/>
    <w:basedOn w:val="Normal"/>
    <w:rsid w:val="00392FBB"/>
    <w:pPr>
      <w:numPr>
        <w:numId w:val="25"/>
      </w:numPr>
    </w:pPr>
  </w:style>
  <w:style w:type="paragraph" w:styleId="ListContinue">
    <w:name w:val="List Continue"/>
    <w:basedOn w:val="Normal"/>
    <w:rsid w:val="00392FBB"/>
    <w:pPr>
      <w:spacing w:after="120"/>
      <w:ind w:left="360"/>
    </w:pPr>
  </w:style>
  <w:style w:type="paragraph" w:styleId="ListContinue2">
    <w:name w:val="List Continue 2"/>
    <w:basedOn w:val="Normal"/>
    <w:rsid w:val="00392FBB"/>
    <w:pPr>
      <w:spacing w:after="120"/>
      <w:ind w:left="720"/>
    </w:pPr>
  </w:style>
  <w:style w:type="paragraph" w:styleId="ListContinue3">
    <w:name w:val="List Continue 3"/>
    <w:basedOn w:val="Normal"/>
    <w:rsid w:val="00392FBB"/>
    <w:pPr>
      <w:spacing w:after="120"/>
      <w:ind w:left="1080"/>
    </w:pPr>
  </w:style>
  <w:style w:type="paragraph" w:styleId="ListContinue4">
    <w:name w:val="List Continue 4"/>
    <w:basedOn w:val="Normal"/>
    <w:rsid w:val="00392FBB"/>
    <w:pPr>
      <w:spacing w:after="120"/>
      <w:ind w:left="1440"/>
    </w:pPr>
  </w:style>
  <w:style w:type="paragraph" w:styleId="ListContinue5">
    <w:name w:val="List Continue 5"/>
    <w:basedOn w:val="Normal"/>
    <w:rsid w:val="00392FBB"/>
    <w:pPr>
      <w:spacing w:after="120"/>
      <w:ind w:left="1800"/>
    </w:pPr>
  </w:style>
  <w:style w:type="paragraph" w:styleId="ListNumber">
    <w:name w:val="List Number"/>
    <w:basedOn w:val="Normal"/>
    <w:rsid w:val="00392FBB"/>
    <w:pPr>
      <w:numPr>
        <w:numId w:val="26"/>
      </w:numPr>
    </w:pPr>
  </w:style>
  <w:style w:type="paragraph" w:styleId="ListNumber2">
    <w:name w:val="List Number 2"/>
    <w:basedOn w:val="Normal"/>
    <w:rsid w:val="00392FBB"/>
    <w:pPr>
      <w:numPr>
        <w:numId w:val="27"/>
      </w:numPr>
    </w:pPr>
  </w:style>
  <w:style w:type="paragraph" w:styleId="ListNumber3">
    <w:name w:val="List Number 3"/>
    <w:basedOn w:val="Normal"/>
    <w:rsid w:val="00392FBB"/>
    <w:pPr>
      <w:numPr>
        <w:numId w:val="28"/>
      </w:numPr>
    </w:pPr>
  </w:style>
  <w:style w:type="paragraph" w:styleId="ListNumber4">
    <w:name w:val="List Number 4"/>
    <w:basedOn w:val="Normal"/>
    <w:rsid w:val="00392FBB"/>
    <w:pPr>
      <w:numPr>
        <w:numId w:val="29"/>
      </w:numPr>
    </w:pPr>
  </w:style>
  <w:style w:type="paragraph" w:styleId="ListNumber5">
    <w:name w:val="List Number 5"/>
    <w:basedOn w:val="Normal"/>
    <w:rsid w:val="00392FBB"/>
    <w:pPr>
      <w:numPr>
        <w:numId w:val="30"/>
      </w:numPr>
    </w:pPr>
  </w:style>
  <w:style w:type="paragraph" w:styleId="MacroText">
    <w:name w:val="macro"/>
    <w:link w:val="MacroTextChar"/>
    <w:rsid w:val="00392FB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392FBB"/>
    <w:rPr>
      <w:rFonts w:ascii="Courier New" w:hAnsi="Courier New" w:cs="Courier New"/>
    </w:rPr>
  </w:style>
  <w:style w:type="paragraph" w:styleId="MessageHeader">
    <w:name w:val="Message Header"/>
    <w:basedOn w:val="Normal"/>
    <w:link w:val="MessageHeaderChar"/>
    <w:rsid w:val="00392FB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392FBB"/>
    <w:rPr>
      <w:rFonts w:ascii="Arial" w:hAnsi="Arial" w:cs="Arial"/>
      <w:sz w:val="24"/>
      <w:szCs w:val="24"/>
      <w:shd w:val="pct20" w:color="auto" w:fill="auto"/>
    </w:rPr>
  </w:style>
  <w:style w:type="paragraph" w:styleId="NormalIndent">
    <w:name w:val="Normal Indent"/>
    <w:basedOn w:val="Normal"/>
    <w:rsid w:val="00392FBB"/>
    <w:pPr>
      <w:ind w:left="720"/>
    </w:pPr>
  </w:style>
  <w:style w:type="paragraph" w:styleId="NoteHeading">
    <w:name w:val="Note Heading"/>
    <w:basedOn w:val="Normal"/>
    <w:next w:val="Normal"/>
    <w:link w:val="NoteHeadingChar"/>
    <w:rsid w:val="00392FBB"/>
  </w:style>
  <w:style w:type="character" w:customStyle="1" w:styleId="NoteHeadingChar">
    <w:name w:val="Note Heading Char"/>
    <w:basedOn w:val="DefaultParagraphFont"/>
    <w:link w:val="NoteHeading"/>
    <w:rsid w:val="00392FBB"/>
    <w:rPr>
      <w:sz w:val="24"/>
      <w:szCs w:val="24"/>
    </w:rPr>
  </w:style>
  <w:style w:type="paragraph" w:styleId="PlainText">
    <w:name w:val="Plain Text"/>
    <w:basedOn w:val="Normal"/>
    <w:link w:val="PlainTextChar"/>
    <w:rsid w:val="00392FBB"/>
    <w:rPr>
      <w:rFonts w:ascii="Courier New" w:hAnsi="Courier New" w:cs="Courier New"/>
      <w:sz w:val="20"/>
      <w:szCs w:val="20"/>
    </w:rPr>
  </w:style>
  <w:style w:type="character" w:customStyle="1" w:styleId="PlainTextChar">
    <w:name w:val="Plain Text Char"/>
    <w:basedOn w:val="DefaultParagraphFont"/>
    <w:link w:val="PlainText"/>
    <w:rsid w:val="00392FBB"/>
    <w:rPr>
      <w:rFonts w:ascii="Courier New" w:hAnsi="Courier New" w:cs="Courier New"/>
    </w:rPr>
  </w:style>
  <w:style w:type="paragraph" w:styleId="Salutation">
    <w:name w:val="Salutation"/>
    <w:basedOn w:val="Normal"/>
    <w:next w:val="Normal"/>
    <w:link w:val="SalutationChar"/>
    <w:rsid w:val="00392FBB"/>
  </w:style>
  <w:style w:type="character" w:customStyle="1" w:styleId="SalutationChar">
    <w:name w:val="Salutation Char"/>
    <w:basedOn w:val="DefaultParagraphFont"/>
    <w:link w:val="Salutation"/>
    <w:rsid w:val="00392FBB"/>
    <w:rPr>
      <w:sz w:val="24"/>
      <w:szCs w:val="24"/>
    </w:rPr>
  </w:style>
  <w:style w:type="paragraph" w:styleId="Signature">
    <w:name w:val="Signature"/>
    <w:basedOn w:val="Normal"/>
    <w:link w:val="SignatureChar"/>
    <w:rsid w:val="00392FBB"/>
    <w:pPr>
      <w:ind w:left="4320"/>
    </w:pPr>
  </w:style>
  <w:style w:type="character" w:customStyle="1" w:styleId="SignatureChar">
    <w:name w:val="Signature Char"/>
    <w:basedOn w:val="DefaultParagraphFont"/>
    <w:link w:val="Signature"/>
    <w:rsid w:val="00392FBB"/>
    <w:rPr>
      <w:sz w:val="24"/>
      <w:szCs w:val="24"/>
    </w:rPr>
  </w:style>
  <w:style w:type="paragraph" w:styleId="Subtitle">
    <w:name w:val="Subtitle"/>
    <w:basedOn w:val="Normal"/>
    <w:link w:val="SubtitleChar"/>
    <w:qFormat/>
    <w:rsid w:val="00392FBB"/>
    <w:pPr>
      <w:spacing w:after="60"/>
      <w:jc w:val="center"/>
      <w:outlineLvl w:val="1"/>
    </w:pPr>
    <w:rPr>
      <w:rFonts w:ascii="Arial" w:hAnsi="Arial" w:cs="Arial"/>
    </w:rPr>
  </w:style>
  <w:style w:type="character" w:customStyle="1" w:styleId="SubtitleChar">
    <w:name w:val="Subtitle Char"/>
    <w:basedOn w:val="DefaultParagraphFont"/>
    <w:link w:val="Subtitle"/>
    <w:rsid w:val="00392FBB"/>
    <w:rPr>
      <w:rFonts w:ascii="Arial" w:hAnsi="Arial" w:cs="Arial"/>
      <w:sz w:val="24"/>
      <w:szCs w:val="24"/>
    </w:rPr>
  </w:style>
  <w:style w:type="paragraph" w:styleId="TableofAuthorities">
    <w:name w:val="table of authorities"/>
    <w:basedOn w:val="Normal"/>
    <w:next w:val="Normal"/>
    <w:rsid w:val="00392FBB"/>
    <w:pPr>
      <w:ind w:left="240" w:hanging="240"/>
    </w:pPr>
  </w:style>
  <w:style w:type="paragraph" w:styleId="TOAHeading">
    <w:name w:val="toa heading"/>
    <w:basedOn w:val="Normal"/>
    <w:next w:val="Normal"/>
    <w:rsid w:val="00392FBB"/>
    <w:pPr>
      <w:spacing w:before="120"/>
    </w:pPr>
    <w:rPr>
      <w:rFonts w:ascii="Arial" w:hAnsi="Arial" w:cs="Arial"/>
      <w:b/>
      <w:bCs/>
    </w:rPr>
  </w:style>
  <w:style w:type="paragraph" w:styleId="TOC4">
    <w:name w:val="toc 4"/>
    <w:basedOn w:val="Normal"/>
    <w:next w:val="Normal"/>
    <w:autoRedefine/>
    <w:rsid w:val="00CE6855"/>
    <w:pPr>
      <w:ind w:left="720"/>
    </w:pPr>
    <w:rPr>
      <w:rFonts w:ascii="Arial" w:hAnsi="Arial"/>
      <w:sz w:val="22"/>
    </w:rPr>
  </w:style>
  <w:style w:type="paragraph" w:styleId="TOC5">
    <w:name w:val="toc 5"/>
    <w:basedOn w:val="Normal"/>
    <w:next w:val="Normal"/>
    <w:autoRedefine/>
    <w:rsid w:val="00392FBB"/>
    <w:pPr>
      <w:ind w:left="960"/>
    </w:pPr>
  </w:style>
  <w:style w:type="paragraph" w:styleId="TOC6">
    <w:name w:val="toc 6"/>
    <w:basedOn w:val="Normal"/>
    <w:next w:val="Normal"/>
    <w:autoRedefine/>
    <w:rsid w:val="00392FBB"/>
    <w:pPr>
      <w:ind w:left="1200"/>
    </w:pPr>
  </w:style>
  <w:style w:type="paragraph" w:styleId="TOC7">
    <w:name w:val="toc 7"/>
    <w:basedOn w:val="Normal"/>
    <w:next w:val="Normal"/>
    <w:autoRedefine/>
    <w:rsid w:val="00392FBB"/>
    <w:pPr>
      <w:ind w:left="1440"/>
    </w:pPr>
  </w:style>
  <w:style w:type="paragraph" w:styleId="TOC8">
    <w:name w:val="toc 8"/>
    <w:basedOn w:val="Normal"/>
    <w:next w:val="Normal"/>
    <w:autoRedefine/>
    <w:rsid w:val="00392FBB"/>
    <w:pPr>
      <w:ind w:left="1680"/>
    </w:pPr>
  </w:style>
  <w:style w:type="paragraph" w:styleId="TOC9">
    <w:name w:val="toc 9"/>
    <w:basedOn w:val="Normal"/>
    <w:next w:val="Normal"/>
    <w:autoRedefine/>
    <w:rsid w:val="00392FBB"/>
    <w:pPr>
      <w:ind w:left="1920"/>
    </w:pPr>
  </w:style>
  <w:style w:type="paragraph" w:styleId="ListParagraph">
    <w:name w:val="List Paragraph"/>
    <w:basedOn w:val="Normal"/>
    <w:uiPriority w:val="34"/>
    <w:qFormat/>
    <w:rsid w:val="00392FBB"/>
    <w:pPr>
      <w:ind w:left="720"/>
    </w:pPr>
  </w:style>
  <w:style w:type="paragraph" w:customStyle="1" w:styleId="xl67">
    <w:name w:val="xl67"/>
    <w:basedOn w:val="Normal"/>
    <w:rsid w:val="00820A87"/>
    <w:pPr>
      <w:pBdr>
        <w:right w:val="single" w:sz="12" w:space="0" w:color="FFFFFF"/>
      </w:pBdr>
      <w:shd w:val="clear" w:color="000000" w:fill="969696"/>
      <w:spacing w:before="100" w:beforeAutospacing="1" w:after="100" w:afterAutospacing="1"/>
      <w:jc w:val="center"/>
      <w:textAlignment w:val="center"/>
    </w:pPr>
    <w:rPr>
      <w:rFonts w:ascii="Arial" w:hAnsi="Arial" w:cs="Arial"/>
    </w:rPr>
  </w:style>
  <w:style w:type="paragraph" w:customStyle="1" w:styleId="xl68">
    <w:name w:val="xl68"/>
    <w:basedOn w:val="Normal"/>
    <w:rsid w:val="00820A87"/>
    <w:pPr>
      <w:pBdr>
        <w:left w:val="single" w:sz="12" w:space="0" w:color="FFFFFF"/>
        <w:right w:val="single" w:sz="12" w:space="0" w:color="FFFFFF"/>
      </w:pBdr>
      <w:shd w:val="clear" w:color="000000" w:fill="969696"/>
      <w:spacing w:before="100" w:beforeAutospacing="1" w:after="100" w:afterAutospacing="1"/>
      <w:jc w:val="center"/>
      <w:textAlignment w:val="center"/>
    </w:pPr>
    <w:rPr>
      <w:rFonts w:ascii="Arial" w:hAnsi="Arial" w:cs="Arial"/>
    </w:rPr>
  </w:style>
  <w:style w:type="paragraph" w:customStyle="1" w:styleId="xl69">
    <w:name w:val="xl69"/>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ascii="Arial" w:hAnsi="Arial" w:cs="Arial"/>
      <w:color w:val="FFFFFF"/>
    </w:rPr>
  </w:style>
  <w:style w:type="paragraph" w:customStyle="1" w:styleId="xl70">
    <w:name w:val="xl70"/>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ascii="Arial" w:hAnsi="Arial" w:cs="Arial"/>
      <w:color w:val="FFFFFF"/>
    </w:rPr>
  </w:style>
  <w:style w:type="paragraph" w:styleId="Revision">
    <w:name w:val="Revision"/>
    <w:hidden/>
    <w:uiPriority w:val="99"/>
    <w:semiHidden/>
    <w:rsid w:val="00921780"/>
    <w:rPr>
      <w:sz w:val="24"/>
      <w:szCs w:val="24"/>
    </w:rPr>
  </w:style>
  <w:style w:type="paragraph" w:customStyle="1" w:styleId="Default">
    <w:name w:val="Default"/>
    <w:basedOn w:val="Normal"/>
    <w:rsid w:val="007E3817"/>
    <w:pPr>
      <w:autoSpaceDE w:val="0"/>
      <w:autoSpaceDN w:val="0"/>
    </w:pPr>
    <w:rPr>
      <w:rFonts w:eastAsiaTheme="minorHAnsi"/>
      <w:color w:val="000000"/>
    </w:rPr>
  </w:style>
  <w:style w:type="character" w:customStyle="1" w:styleId="EndnoteTextChar">
    <w:name w:val="Endnote Text Char"/>
    <w:link w:val="EndnoteText"/>
    <w:semiHidden/>
    <w:rsid w:val="00B624B3"/>
  </w:style>
  <w:style w:type="character" w:customStyle="1" w:styleId="Heading2Char">
    <w:name w:val="Heading 2 Char"/>
    <w:rsid w:val="00B624B3"/>
    <w:rPr>
      <w:rFonts w:ascii="Arial" w:hAnsi="Arial" w:cs="Arial"/>
      <w:b/>
      <w:bCs/>
      <w:iCs/>
      <w:noProof w:val="0"/>
      <w:sz w:val="22"/>
      <w:szCs w:val="22"/>
      <w:lang w:val="en-US" w:eastAsia="en-US" w:bidi="ar-SA"/>
    </w:rPr>
  </w:style>
  <w:style w:type="character" w:customStyle="1" w:styleId="FooterChar">
    <w:name w:val="Footer Char"/>
    <w:basedOn w:val="DefaultParagraphFont"/>
    <w:link w:val="Footer"/>
    <w:uiPriority w:val="99"/>
    <w:rsid w:val="00B624B3"/>
    <w:rPr>
      <w:sz w:val="24"/>
      <w:szCs w:val="24"/>
    </w:rPr>
  </w:style>
  <w:style w:type="character" w:customStyle="1" w:styleId="content121">
    <w:name w:val="content121"/>
    <w:rsid w:val="00E256F4"/>
    <w:rPr>
      <w:rFonts w:ascii="Arial" w:hAnsi="Arial" w:cs="Arial" w:hint="default"/>
      <w:color w:val="000000"/>
      <w:sz w:val="18"/>
    </w:rPr>
  </w:style>
  <w:style w:type="paragraph" w:customStyle="1" w:styleId="xl71">
    <w:name w:val="xl71"/>
    <w:basedOn w:val="Normal"/>
    <w:rsid w:val="00B9439D"/>
    <w:pPr>
      <w:spacing w:before="100" w:beforeAutospacing="1" w:after="100" w:afterAutospacing="1"/>
    </w:pPr>
    <w:rPr>
      <w:rFonts w:ascii="Arial" w:hAnsi="Arial" w:cs="Arial"/>
      <w:b/>
      <w:bCs/>
    </w:rPr>
  </w:style>
  <w:style w:type="paragraph" w:customStyle="1" w:styleId="xl72">
    <w:name w:val="xl72"/>
    <w:basedOn w:val="Normal"/>
    <w:rsid w:val="00B9439D"/>
    <w:pPr>
      <w:spacing w:before="100" w:beforeAutospacing="1" w:after="100" w:afterAutospacing="1"/>
      <w:jc w:val="center"/>
    </w:pPr>
    <w:rPr>
      <w:rFonts w:ascii="Arial" w:hAnsi="Arial" w:cs="Arial"/>
      <w:b/>
      <w:bCs/>
    </w:rPr>
  </w:style>
  <w:style w:type="paragraph" w:customStyle="1" w:styleId="xl73">
    <w:name w:val="xl73"/>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5">
    <w:name w:val="xl75"/>
    <w:basedOn w:val="Normal"/>
    <w:rsid w:val="00B9439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style>
  <w:style w:type="paragraph" w:customStyle="1" w:styleId="xl76">
    <w:name w:val="xl76"/>
    <w:basedOn w:val="Normal"/>
    <w:rsid w:val="00B9439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77">
    <w:name w:val="xl77"/>
    <w:basedOn w:val="Normal"/>
    <w:rsid w:val="00B9439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78">
    <w:name w:val="xl78"/>
    <w:basedOn w:val="Normal"/>
    <w:rsid w:val="00B9439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style>
  <w:style w:type="paragraph" w:customStyle="1" w:styleId="xl79">
    <w:name w:val="xl79"/>
    <w:basedOn w:val="Normal"/>
    <w:rsid w:val="00B9439D"/>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pPr>
    <w:rPr>
      <w:rFonts w:ascii="Arial" w:hAnsi="Arial" w:cs="Arial"/>
    </w:rPr>
  </w:style>
  <w:style w:type="paragraph" w:customStyle="1" w:styleId="xl80">
    <w:name w:val="xl80"/>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2">
    <w:name w:val="xl82"/>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3">
    <w:name w:val="xl83"/>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5">
    <w:name w:val="xl85"/>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86">
    <w:name w:val="xl86"/>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87">
    <w:name w:val="xl87"/>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9">
    <w:name w:val="xl89"/>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90">
    <w:name w:val="xl90"/>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92">
    <w:name w:val="xl92"/>
    <w:basedOn w:val="Normal"/>
    <w:rsid w:val="00B9439D"/>
    <w:pPr>
      <w:pBdr>
        <w:top w:val="single" w:sz="8" w:space="0" w:color="auto"/>
        <w:left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93">
    <w:name w:val="xl93"/>
    <w:basedOn w:val="Normal"/>
    <w:rsid w:val="00B9439D"/>
    <w:pPr>
      <w:pBdr>
        <w:top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94">
    <w:name w:val="xl94"/>
    <w:basedOn w:val="Normal"/>
    <w:rsid w:val="00B9439D"/>
    <w:pPr>
      <w:pBdr>
        <w:top w:val="single" w:sz="8" w:space="0" w:color="auto"/>
        <w:right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95">
    <w:name w:val="xl95"/>
    <w:basedOn w:val="Normal"/>
    <w:rsid w:val="00B9439D"/>
    <w:pPr>
      <w:pBdr>
        <w:top w:val="single" w:sz="8" w:space="0" w:color="auto"/>
        <w:left w:val="single" w:sz="8" w:space="0" w:color="auto"/>
      </w:pBdr>
      <w:shd w:val="clear" w:color="000000" w:fill="99CCFF"/>
      <w:spacing w:before="100" w:beforeAutospacing="1" w:after="100" w:afterAutospacing="1"/>
      <w:jc w:val="center"/>
    </w:pPr>
    <w:rPr>
      <w:rFonts w:ascii="Arial" w:hAnsi="Arial" w:cs="Arial"/>
      <w:b/>
      <w:bCs/>
    </w:rPr>
  </w:style>
  <w:style w:type="paragraph" w:customStyle="1" w:styleId="xl96">
    <w:name w:val="xl96"/>
    <w:basedOn w:val="Normal"/>
    <w:rsid w:val="00B9439D"/>
    <w:pPr>
      <w:pBdr>
        <w:top w:val="single" w:sz="8" w:space="0" w:color="auto"/>
      </w:pBdr>
      <w:shd w:val="clear" w:color="000000" w:fill="99CCFF"/>
      <w:spacing w:before="100" w:beforeAutospacing="1" w:after="100" w:afterAutospacing="1"/>
      <w:jc w:val="center"/>
    </w:pPr>
    <w:rPr>
      <w:rFonts w:ascii="Arial" w:hAnsi="Arial" w:cs="Arial"/>
      <w:b/>
      <w:bCs/>
    </w:rPr>
  </w:style>
  <w:style w:type="paragraph" w:customStyle="1" w:styleId="xl97">
    <w:name w:val="xl97"/>
    <w:basedOn w:val="Normal"/>
    <w:rsid w:val="00B9439D"/>
    <w:pPr>
      <w:pBdr>
        <w:top w:val="single" w:sz="8" w:space="0" w:color="auto"/>
        <w:right w:val="single" w:sz="8" w:space="0" w:color="auto"/>
      </w:pBdr>
      <w:shd w:val="clear" w:color="000000" w:fill="99CCFF"/>
      <w:spacing w:before="100" w:beforeAutospacing="1" w:after="100" w:afterAutospacing="1"/>
      <w:jc w:val="center"/>
    </w:pPr>
    <w:rPr>
      <w:rFonts w:ascii="Arial" w:hAnsi="Arial" w:cs="Arial"/>
      <w:b/>
      <w:bCs/>
    </w:rPr>
  </w:style>
  <w:style w:type="character" w:styleId="PlaceholderText">
    <w:name w:val="Placeholder Text"/>
    <w:basedOn w:val="DefaultParagraphFont"/>
    <w:uiPriority w:val="99"/>
    <w:semiHidden/>
    <w:rsid w:val="00CA54BD"/>
    <w:rPr>
      <w:color w:val="808080"/>
    </w:rPr>
  </w:style>
  <w:style w:type="character" w:customStyle="1" w:styleId="FootnoteTextChar">
    <w:name w:val="Footnote Text Char"/>
    <w:basedOn w:val="DefaultParagraphFont"/>
    <w:link w:val="FootnoteText"/>
    <w:semiHidden/>
    <w:rsid w:val="00565CE6"/>
  </w:style>
  <w:style w:type="paragraph" w:styleId="TOCHeading">
    <w:name w:val="TOC Heading"/>
    <w:basedOn w:val="Heading1"/>
    <w:next w:val="Normal"/>
    <w:uiPriority w:val="39"/>
    <w:semiHidden/>
    <w:unhideWhenUsed/>
    <w:qFormat/>
    <w:rsid w:val="00054FC2"/>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character" w:styleId="Strong">
    <w:name w:val="Strong"/>
    <w:qFormat/>
    <w:rsid w:val="003662D0"/>
    <w:rPr>
      <w:rFonts w:ascii="Arial" w:hAnsi="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044">
      <w:bodyDiv w:val="1"/>
      <w:marLeft w:val="0"/>
      <w:marRight w:val="0"/>
      <w:marTop w:val="0"/>
      <w:marBottom w:val="0"/>
      <w:divBdr>
        <w:top w:val="none" w:sz="0" w:space="0" w:color="auto"/>
        <w:left w:val="none" w:sz="0" w:space="0" w:color="auto"/>
        <w:bottom w:val="none" w:sz="0" w:space="0" w:color="auto"/>
        <w:right w:val="none" w:sz="0" w:space="0" w:color="auto"/>
      </w:divBdr>
    </w:div>
    <w:div w:id="205215962">
      <w:bodyDiv w:val="1"/>
      <w:marLeft w:val="0"/>
      <w:marRight w:val="0"/>
      <w:marTop w:val="0"/>
      <w:marBottom w:val="0"/>
      <w:divBdr>
        <w:top w:val="none" w:sz="0" w:space="0" w:color="auto"/>
        <w:left w:val="none" w:sz="0" w:space="0" w:color="auto"/>
        <w:bottom w:val="none" w:sz="0" w:space="0" w:color="auto"/>
        <w:right w:val="none" w:sz="0" w:space="0" w:color="auto"/>
      </w:divBdr>
    </w:div>
    <w:div w:id="275063873">
      <w:bodyDiv w:val="1"/>
      <w:marLeft w:val="0"/>
      <w:marRight w:val="0"/>
      <w:marTop w:val="0"/>
      <w:marBottom w:val="0"/>
      <w:divBdr>
        <w:top w:val="none" w:sz="0" w:space="0" w:color="auto"/>
        <w:left w:val="none" w:sz="0" w:space="0" w:color="auto"/>
        <w:bottom w:val="none" w:sz="0" w:space="0" w:color="auto"/>
        <w:right w:val="none" w:sz="0" w:space="0" w:color="auto"/>
      </w:divBdr>
    </w:div>
    <w:div w:id="282033255">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299457370">
      <w:bodyDiv w:val="1"/>
      <w:marLeft w:val="0"/>
      <w:marRight w:val="0"/>
      <w:marTop w:val="0"/>
      <w:marBottom w:val="0"/>
      <w:divBdr>
        <w:top w:val="none" w:sz="0" w:space="0" w:color="auto"/>
        <w:left w:val="none" w:sz="0" w:space="0" w:color="auto"/>
        <w:bottom w:val="none" w:sz="0" w:space="0" w:color="auto"/>
        <w:right w:val="none" w:sz="0" w:space="0" w:color="auto"/>
      </w:divBdr>
    </w:div>
    <w:div w:id="368575432">
      <w:bodyDiv w:val="1"/>
      <w:marLeft w:val="0"/>
      <w:marRight w:val="0"/>
      <w:marTop w:val="0"/>
      <w:marBottom w:val="0"/>
      <w:divBdr>
        <w:top w:val="none" w:sz="0" w:space="0" w:color="auto"/>
        <w:left w:val="none" w:sz="0" w:space="0" w:color="auto"/>
        <w:bottom w:val="none" w:sz="0" w:space="0" w:color="auto"/>
        <w:right w:val="none" w:sz="0" w:space="0" w:color="auto"/>
      </w:divBdr>
    </w:div>
    <w:div w:id="430977943">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17702799">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81655274">
      <w:bodyDiv w:val="1"/>
      <w:marLeft w:val="0"/>
      <w:marRight w:val="0"/>
      <w:marTop w:val="0"/>
      <w:marBottom w:val="0"/>
      <w:divBdr>
        <w:top w:val="none" w:sz="0" w:space="0" w:color="auto"/>
        <w:left w:val="none" w:sz="0" w:space="0" w:color="auto"/>
        <w:bottom w:val="none" w:sz="0" w:space="0" w:color="auto"/>
        <w:right w:val="none" w:sz="0" w:space="0" w:color="auto"/>
      </w:divBdr>
    </w:div>
    <w:div w:id="852495648">
      <w:bodyDiv w:val="1"/>
      <w:marLeft w:val="0"/>
      <w:marRight w:val="0"/>
      <w:marTop w:val="0"/>
      <w:marBottom w:val="0"/>
      <w:divBdr>
        <w:top w:val="none" w:sz="0" w:space="0" w:color="auto"/>
        <w:left w:val="none" w:sz="0" w:space="0" w:color="auto"/>
        <w:bottom w:val="none" w:sz="0" w:space="0" w:color="auto"/>
        <w:right w:val="none" w:sz="0" w:space="0" w:color="auto"/>
      </w:divBdr>
    </w:div>
    <w:div w:id="950824384">
      <w:bodyDiv w:val="1"/>
      <w:marLeft w:val="0"/>
      <w:marRight w:val="0"/>
      <w:marTop w:val="0"/>
      <w:marBottom w:val="0"/>
      <w:divBdr>
        <w:top w:val="none" w:sz="0" w:space="0" w:color="auto"/>
        <w:left w:val="none" w:sz="0" w:space="0" w:color="auto"/>
        <w:bottom w:val="none" w:sz="0" w:space="0" w:color="auto"/>
        <w:right w:val="none" w:sz="0" w:space="0" w:color="auto"/>
      </w:divBdr>
    </w:div>
    <w:div w:id="961883203">
      <w:bodyDiv w:val="1"/>
      <w:marLeft w:val="0"/>
      <w:marRight w:val="0"/>
      <w:marTop w:val="0"/>
      <w:marBottom w:val="0"/>
      <w:divBdr>
        <w:top w:val="none" w:sz="0" w:space="0" w:color="auto"/>
        <w:left w:val="none" w:sz="0" w:space="0" w:color="auto"/>
        <w:bottom w:val="none" w:sz="0" w:space="0" w:color="auto"/>
        <w:right w:val="none" w:sz="0" w:space="0" w:color="auto"/>
      </w:divBdr>
    </w:div>
    <w:div w:id="1174078430">
      <w:bodyDiv w:val="1"/>
      <w:marLeft w:val="0"/>
      <w:marRight w:val="0"/>
      <w:marTop w:val="0"/>
      <w:marBottom w:val="0"/>
      <w:divBdr>
        <w:top w:val="none" w:sz="0" w:space="0" w:color="auto"/>
        <w:left w:val="none" w:sz="0" w:space="0" w:color="auto"/>
        <w:bottom w:val="none" w:sz="0" w:space="0" w:color="auto"/>
        <w:right w:val="none" w:sz="0" w:space="0" w:color="auto"/>
      </w:divBdr>
    </w:div>
    <w:div w:id="1190606341">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36689626">
      <w:bodyDiv w:val="1"/>
      <w:marLeft w:val="0"/>
      <w:marRight w:val="0"/>
      <w:marTop w:val="0"/>
      <w:marBottom w:val="0"/>
      <w:divBdr>
        <w:top w:val="none" w:sz="0" w:space="0" w:color="auto"/>
        <w:left w:val="none" w:sz="0" w:space="0" w:color="auto"/>
        <w:bottom w:val="none" w:sz="0" w:space="0" w:color="auto"/>
        <w:right w:val="none" w:sz="0" w:space="0" w:color="auto"/>
      </w:divBdr>
    </w:div>
    <w:div w:id="1365061217">
      <w:bodyDiv w:val="1"/>
      <w:marLeft w:val="0"/>
      <w:marRight w:val="0"/>
      <w:marTop w:val="0"/>
      <w:marBottom w:val="0"/>
      <w:divBdr>
        <w:top w:val="none" w:sz="0" w:space="0" w:color="auto"/>
        <w:left w:val="none" w:sz="0" w:space="0" w:color="auto"/>
        <w:bottom w:val="none" w:sz="0" w:space="0" w:color="auto"/>
        <w:right w:val="none" w:sz="0" w:space="0" w:color="auto"/>
      </w:divBdr>
    </w:div>
    <w:div w:id="1386179862">
      <w:bodyDiv w:val="1"/>
      <w:marLeft w:val="0"/>
      <w:marRight w:val="0"/>
      <w:marTop w:val="0"/>
      <w:marBottom w:val="0"/>
      <w:divBdr>
        <w:top w:val="none" w:sz="0" w:space="0" w:color="auto"/>
        <w:left w:val="none" w:sz="0" w:space="0" w:color="auto"/>
        <w:bottom w:val="none" w:sz="0" w:space="0" w:color="auto"/>
        <w:right w:val="none" w:sz="0" w:space="0" w:color="auto"/>
      </w:divBdr>
    </w:div>
    <w:div w:id="1447582659">
      <w:bodyDiv w:val="1"/>
      <w:marLeft w:val="0"/>
      <w:marRight w:val="0"/>
      <w:marTop w:val="0"/>
      <w:marBottom w:val="0"/>
      <w:divBdr>
        <w:top w:val="none" w:sz="0" w:space="0" w:color="auto"/>
        <w:left w:val="none" w:sz="0" w:space="0" w:color="auto"/>
        <w:bottom w:val="none" w:sz="0" w:space="0" w:color="auto"/>
        <w:right w:val="none" w:sz="0" w:space="0" w:color="auto"/>
      </w:divBdr>
    </w:div>
    <w:div w:id="1460222414">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78900684">
      <w:bodyDiv w:val="1"/>
      <w:marLeft w:val="0"/>
      <w:marRight w:val="0"/>
      <w:marTop w:val="0"/>
      <w:marBottom w:val="0"/>
      <w:divBdr>
        <w:top w:val="none" w:sz="0" w:space="0" w:color="auto"/>
        <w:left w:val="none" w:sz="0" w:space="0" w:color="auto"/>
        <w:bottom w:val="none" w:sz="0" w:space="0" w:color="auto"/>
        <w:right w:val="none" w:sz="0" w:space="0" w:color="auto"/>
      </w:divBdr>
    </w:div>
    <w:div w:id="160353790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29956310">
      <w:bodyDiv w:val="1"/>
      <w:marLeft w:val="0"/>
      <w:marRight w:val="0"/>
      <w:marTop w:val="0"/>
      <w:marBottom w:val="0"/>
      <w:divBdr>
        <w:top w:val="none" w:sz="0" w:space="0" w:color="auto"/>
        <w:left w:val="none" w:sz="0" w:space="0" w:color="auto"/>
        <w:bottom w:val="none" w:sz="0" w:space="0" w:color="auto"/>
        <w:right w:val="none" w:sz="0" w:space="0" w:color="auto"/>
      </w:divBdr>
    </w:div>
    <w:div w:id="1745493023">
      <w:bodyDiv w:val="1"/>
      <w:marLeft w:val="0"/>
      <w:marRight w:val="0"/>
      <w:marTop w:val="0"/>
      <w:marBottom w:val="0"/>
      <w:divBdr>
        <w:top w:val="none" w:sz="0" w:space="0" w:color="auto"/>
        <w:left w:val="none" w:sz="0" w:space="0" w:color="auto"/>
        <w:bottom w:val="none" w:sz="0" w:space="0" w:color="auto"/>
        <w:right w:val="none" w:sz="0" w:space="0" w:color="auto"/>
      </w:divBdr>
    </w:div>
    <w:div w:id="1772623566">
      <w:bodyDiv w:val="1"/>
      <w:marLeft w:val="0"/>
      <w:marRight w:val="0"/>
      <w:marTop w:val="0"/>
      <w:marBottom w:val="0"/>
      <w:divBdr>
        <w:top w:val="none" w:sz="0" w:space="0" w:color="auto"/>
        <w:left w:val="none" w:sz="0" w:space="0" w:color="auto"/>
        <w:bottom w:val="none" w:sz="0" w:space="0" w:color="auto"/>
        <w:right w:val="none" w:sz="0" w:space="0" w:color="auto"/>
      </w:divBdr>
    </w:div>
    <w:div w:id="1784300785">
      <w:bodyDiv w:val="1"/>
      <w:marLeft w:val="0"/>
      <w:marRight w:val="0"/>
      <w:marTop w:val="0"/>
      <w:marBottom w:val="0"/>
      <w:divBdr>
        <w:top w:val="none" w:sz="0" w:space="0" w:color="auto"/>
        <w:left w:val="none" w:sz="0" w:space="0" w:color="auto"/>
        <w:bottom w:val="none" w:sz="0" w:space="0" w:color="auto"/>
        <w:right w:val="none" w:sz="0" w:space="0" w:color="auto"/>
      </w:divBdr>
    </w:div>
    <w:div w:id="180349764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92961167">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01157295">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76929477">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 w:id="213185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file:///C:\Users\d9s7\Desktop\Workpaper%20Master%20Directory\EDRS%20RC2\Workpapers%20to%20be%20updated%20per%20supervisor%20comments\PGE3PREF128_Medium%20Temp%20Open%20Case%20Retrofit_R2.docx"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2.wmf"/><Relationship Id="rId33" Type="http://schemas.openxmlformats.org/officeDocument/2006/relationships/hyperlink" Target="http://eega.cpus.ca.gov/deer"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wmf"/><Relationship Id="rId28" Type="http://schemas.openxmlformats.org/officeDocument/2006/relationships/oleObject" Target="embeddings/oleObject3.bin"/><Relationship Id="rId10" Type="http://schemas.openxmlformats.org/officeDocument/2006/relationships/footnotes" Target="footnotes.xml"/><Relationship Id="rId19" Type="http://schemas.openxmlformats.org/officeDocument/2006/relationships/hyperlink" Target="file:///C:\Users\d9s7\Desktop\Workpaper%20Master%20Directory\EDRS%20RC2\Workpapers%20to%20be%20updated%20per%20supervisor%20comments\PGE3PREF128_Medium%20Temp%20Open%20Case%20Retrofit_R2.docx" TargetMode="Externa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deeresources.com" TargetMode="External"/><Relationship Id="rId27" Type="http://schemas.openxmlformats.org/officeDocument/2006/relationships/image" Target="media/image3.wmf"/><Relationship Id="rId30" Type="http://schemas.openxmlformats.org/officeDocument/2006/relationships/oleObject" Target="embeddings/oleObject4.bin"/><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13CD36B6-2984-444B-BBD4-C470634BE616}">
  <ds:schemaRefs>
    <ds:schemaRef ds:uri="http://schemas.microsoft.com/office/2006/metadata/properties"/>
    <ds:schemaRef ds:uri="http://schemas.microsoft.com/office/2006/documentManagement/types"/>
    <ds:schemaRef ds:uri="http://purl.org/dc/dcmitype/"/>
    <ds:schemaRef ds:uri="http://purl.org/dc/terms/"/>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301AEC5-E764-4CF1-833B-013573C6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FC3C735-4E92-4D6F-AF7A-947D7FD44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16</Pages>
  <Words>3429</Words>
  <Characters>19548</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22932</CharactersWithSpaces>
  <SharedDoc>false</SharedDoc>
  <HLinks>
    <vt:vector size="192" baseType="variant">
      <vt:variant>
        <vt:i4>1572920</vt:i4>
      </vt:variant>
      <vt:variant>
        <vt:i4>194</vt:i4>
      </vt:variant>
      <vt:variant>
        <vt:i4>0</vt:i4>
      </vt:variant>
      <vt:variant>
        <vt:i4>5</vt:i4>
      </vt:variant>
      <vt:variant>
        <vt:lpwstr/>
      </vt:variant>
      <vt:variant>
        <vt:lpwstr>_Toc174189507</vt:lpwstr>
      </vt:variant>
      <vt:variant>
        <vt:i4>1572920</vt:i4>
      </vt:variant>
      <vt:variant>
        <vt:i4>188</vt:i4>
      </vt:variant>
      <vt:variant>
        <vt:i4>0</vt:i4>
      </vt:variant>
      <vt:variant>
        <vt:i4>5</vt:i4>
      </vt:variant>
      <vt:variant>
        <vt:lpwstr/>
      </vt:variant>
      <vt:variant>
        <vt:lpwstr>_Toc174189506</vt:lpwstr>
      </vt:variant>
      <vt:variant>
        <vt:i4>1441840</vt:i4>
      </vt:variant>
      <vt:variant>
        <vt:i4>179</vt:i4>
      </vt:variant>
      <vt:variant>
        <vt:i4>0</vt:i4>
      </vt:variant>
      <vt:variant>
        <vt:i4>5</vt:i4>
      </vt:variant>
      <vt:variant>
        <vt:lpwstr/>
      </vt:variant>
      <vt:variant>
        <vt:lpwstr>_Toc184119412</vt:lpwstr>
      </vt:variant>
      <vt:variant>
        <vt:i4>1900597</vt:i4>
      </vt:variant>
      <vt:variant>
        <vt:i4>170</vt:i4>
      </vt:variant>
      <vt:variant>
        <vt:i4>0</vt:i4>
      </vt:variant>
      <vt:variant>
        <vt:i4>5</vt:i4>
      </vt:variant>
      <vt:variant>
        <vt:lpwstr/>
      </vt:variant>
      <vt:variant>
        <vt:lpwstr>_Toc304800222</vt:lpwstr>
      </vt:variant>
      <vt:variant>
        <vt:i4>1900597</vt:i4>
      </vt:variant>
      <vt:variant>
        <vt:i4>164</vt:i4>
      </vt:variant>
      <vt:variant>
        <vt:i4>0</vt:i4>
      </vt:variant>
      <vt:variant>
        <vt:i4>5</vt:i4>
      </vt:variant>
      <vt:variant>
        <vt:lpwstr/>
      </vt:variant>
      <vt:variant>
        <vt:lpwstr>_Toc304800221</vt:lpwstr>
      </vt:variant>
      <vt:variant>
        <vt:i4>1900597</vt:i4>
      </vt:variant>
      <vt:variant>
        <vt:i4>158</vt:i4>
      </vt:variant>
      <vt:variant>
        <vt:i4>0</vt:i4>
      </vt:variant>
      <vt:variant>
        <vt:i4>5</vt:i4>
      </vt:variant>
      <vt:variant>
        <vt:lpwstr/>
      </vt:variant>
      <vt:variant>
        <vt:lpwstr>_Toc304800220</vt:lpwstr>
      </vt:variant>
      <vt:variant>
        <vt:i4>1966133</vt:i4>
      </vt:variant>
      <vt:variant>
        <vt:i4>152</vt:i4>
      </vt:variant>
      <vt:variant>
        <vt:i4>0</vt:i4>
      </vt:variant>
      <vt:variant>
        <vt:i4>5</vt:i4>
      </vt:variant>
      <vt:variant>
        <vt:lpwstr/>
      </vt:variant>
      <vt:variant>
        <vt:lpwstr>_Toc304800219</vt:lpwstr>
      </vt:variant>
      <vt:variant>
        <vt:i4>1966133</vt:i4>
      </vt:variant>
      <vt:variant>
        <vt:i4>146</vt:i4>
      </vt:variant>
      <vt:variant>
        <vt:i4>0</vt:i4>
      </vt:variant>
      <vt:variant>
        <vt:i4>5</vt:i4>
      </vt:variant>
      <vt:variant>
        <vt:lpwstr/>
      </vt:variant>
      <vt:variant>
        <vt:lpwstr>_Toc304800218</vt:lpwstr>
      </vt:variant>
      <vt:variant>
        <vt:i4>1966133</vt:i4>
      </vt:variant>
      <vt:variant>
        <vt:i4>140</vt:i4>
      </vt:variant>
      <vt:variant>
        <vt:i4>0</vt:i4>
      </vt:variant>
      <vt:variant>
        <vt:i4>5</vt:i4>
      </vt:variant>
      <vt:variant>
        <vt:lpwstr/>
      </vt:variant>
      <vt:variant>
        <vt:lpwstr>_Toc304800217</vt:lpwstr>
      </vt:variant>
      <vt:variant>
        <vt:i4>1966133</vt:i4>
      </vt:variant>
      <vt:variant>
        <vt:i4>134</vt:i4>
      </vt:variant>
      <vt:variant>
        <vt:i4>0</vt:i4>
      </vt:variant>
      <vt:variant>
        <vt:i4>5</vt:i4>
      </vt:variant>
      <vt:variant>
        <vt:lpwstr/>
      </vt:variant>
      <vt:variant>
        <vt:lpwstr>_Toc304800216</vt:lpwstr>
      </vt:variant>
      <vt:variant>
        <vt:i4>1966133</vt:i4>
      </vt:variant>
      <vt:variant>
        <vt:i4>128</vt:i4>
      </vt:variant>
      <vt:variant>
        <vt:i4>0</vt:i4>
      </vt:variant>
      <vt:variant>
        <vt:i4>5</vt:i4>
      </vt:variant>
      <vt:variant>
        <vt:lpwstr/>
      </vt:variant>
      <vt:variant>
        <vt:lpwstr>_Toc304800215</vt:lpwstr>
      </vt:variant>
      <vt:variant>
        <vt:i4>1966133</vt:i4>
      </vt:variant>
      <vt:variant>
        <vt:i4>122</vt:i4>
      </vt:variant>
      <vt:variant>
        <vt:i4>0</vt:i4>
      </vt:variant>
      <vt:variant>
        <vt:i4>5</vt:i4>
      </vt:variant>
      <vt:variant>
        <vt:lpwstr/>
      </vt:variant>
      <vt:variant>
        <vt:lpwstr>_Toc304800214</vt:lpwstr>
      </vt:variant>
      <vt:variant>
        <vt:i4>1966133</vt:i4>
      </vt:variant>
      <vt:variant>
        <vt:i4>116</vt:i4>
      </vt:variant>
      <vt:variant>
        <vt:i4>0</vt:i4>
      </vt:variant>
      <vt:variant>
        <vt:i4>5</vt:i4>
      </vt:variant>
      <vt:variant>
        <vt:lpwstr/>
      </vt:variant>
      <vt:variant>
        <vt:lpwstr>_Toc304800213</vt:lpwstr>
      </vt:variant>
      <vt:variant>
        <vt:i4>1966133</vt:i4>
      </vt:variant>
      <vt:variant>
        <vt:i4>110</vt:i4>
      </vt:variant>
      <vt:variant>
        <vt:i4>0</vt:i4>
      </vt:variant>
      <vt:variant>
        <vt:i4>5</vt:i4>
      </vt:variant>
      <vt:variant>
        <vt:lpwstr/>
      </vt:variant>
      <vt:variant>
        <vt:lpwstr>_Toc304800212</vt:lpwstr>
      </vt:variant>
      <vt:variant>
        <vt:i4>1966133</vt:i4>
      </vt:variant>
      <vt:variant>
        <vt:i4>104</vt:i4>
      </vt:variant>
      <vt:variant>
        <vt:i4>0</vt:i4>
      </vt:variant>
      <vt:variant>
        <vt:i4>5</vt:i4>
      </vt:variant>
      <vt:variant>
        <vt:lpwstr/>
      </vt:variant>
      <vt:variant>
        <vt:lpwstr>_Toc304800211</vt:lpwstr>
      </vt:variant>
      <vt:variant>
        <vt:i4>1966133</vt:i4>
      </vt:variant>
      <vt:variant>
        <vt:i4>98</vt:i4>
      </vt:variant>
      <vt:variant>
        <vt:i4>0</vt:i4>
      </vt:variant>
      <vt:variant>
        <vt:i4>5</vt:i4>
      </vt:variant>
      <vt:variant>
        <vt:lpwstr/>
      </vt:variant>
      <vt:variant>
        <vt:lpwstr>_Toc304800210</vt:lpwstr>
      </vt:variant>
      <vt:variant>
        <vt:i4>2031669</vt:i4>
      </vt:variant>
      <vt:variant>
        <vt:i4>92</vt:i4>
      </vt:variant>
      <vt:variant>
        <vt:i4>0</vt:i4>
      </vt:variant>
      <vt:variant>
        <vt:i4>5</vt:i4>
      </vt:variant>
      <vt:variant>
        <vt:lpwstr/>
      </vt:variant>
      <vt:variant>
        <vt:lpwstr>_Toc304800209</vt:lpwstr>
      </vt:variant>
      <vt:variant>
        <vt:i4>2031669</vt:i4>
      </vt:variant>
      <vt:variant>
        <vt:i4>86</vt:i4>
      </vt:variant>
      <vt:variant>
        <vt:i4>0</vt:i4>
      </vt:variant>
      <vt:variant>
        <vt:i4>5</vt:i4>
      </vt:variant>
      <vt:variant>
        <vt:lpwstr/>
      </vt:variant>
      <vt:variant>
        <vt:lpwstr>_Toc304800208</vt:lpwstr>
      </vt:variant>
      <vt:variant>
        <vt:i4>2031669</vt:i4>
      </vt:variant>
      <vt:variant>
        <vt:i4>80</vt:i4>
      </vt:variant>
      <vt:variant>
        <vt:i4>0</vt:i4>
      </vt:variant>
      <vt:variant>
        <vt:i4>5</vt:i4>
      </vt:variant>
      <vt:variant>
        <vt:lpwstr/>
      </vt:variant>
      <vt:variant>
        <vt:lpwstr>_Toc304800207</vt:lpwstr>
      </vt:variant>
      <vt:variant>
        <vt:i4>2031669</vt:i4>
      </vt:variant>
      <vt:variant>
        <vt:i4>74</vt:i4>
      </vt:variant>
      <vt:variant>
        <vt:i4>0</vt:i4>
      </vt:variant>
      <vt:variant>
        <vt:i4>5</vt:i4>
      </vt:variant>
      <vt:variant>
        <vt:lpwstr/>
      </vt:variant>
      <vt:variant>
        <vt:lpwstr>_Toc304800206</vt:lpwstr>
      </vt:variant>
      <vt:variant>
        <vt:i4>2031669</vt:i4>
      </vt:variant>
      <vt:variant>
        <vt:i4>68</vt:i4>
      </vt:variant>
      <vt:variant>
        <vt:i4>0</vt:i4>
      </vt:variant>
      <vt:variant>
        <vt:i4>5</vt:i4>
      </vt:variant>
      <vt:variant>
        <vt:lpwstr/>
      </vt:variant>
      <vt:variant>
        <vt:lpwstr>_Toc304800205</vt:lpwstr>
      </vt:variant>
      <vt:variant>
        <vt:i4>2031669</vt:i4>
      </vt:variant>
      <vt:variant>
        <vt:i4>62</vt:i4>
      </vt:variant>
      <vt:variant>
        <vt:i4>0</vt:i4>
      </vt:variant>
      <vt:variant>
        <vt:i4>5</vt:i4>
      </vt:variant>
      <vt:variant>
        <vt:lpwstr/>
      </vt:variant>
      <vt:variant>
        <vt:lpwstr>_Toc304800204</vt:lpwstr>
      </vt:variant>
      <vt:variant>
        <vt:i4>2031669</vt:i4>
      </vt:variant>
      <vt:variant>
        <vt:i4>56</vt:i4>
      </vt:variant>
      <vt:variant>
        <vt:i4>0</vt:i4>
      </vt:variant>
      <vt:variant>
        <vt:i4>5</vt:i4>
      </vt:variant>
      <vt:variant>
        <vt:lpwstr/>
      </vt:variant>
      <vt:variant>
        <vt:lpwstr>_Toc304800203</vt:lpwstr>
      </vt:variant>
      <vt:variant>
        <vt:i4>2031669</vt:i4>
      </vt:variant>
      <vt:variant>
        <vt:i4>50</vt:i4>
      </vt:variant>
      <vt:variant>
        <vt:i4>0</vt:i4>
      </vt:variant>
      <vt:variant>
        <vt:i4>5</vt:i4>
      </vt:variant>
      <vt:variant>
        <vt:lpwstr/>
      </vt:variant>
      <vt:variant>
        <vt:lpwstr>_Toc304800202</vt:lpwstr>
      </vt:variant>
      <vt:variant>
        <vt:i4>2031669</vt:i4>
      </vt:variant>
      <vt:variant>
        <vt:i4>44</vt:i4>
      </vt:variant>
      <vt:variant>
        <vt:i4>0</vt:i4>
      </vt:variant>
      <vt:variant>
        <vt:i4>5</vt:i4>
      </vt:variant>
      <vt:variant>
        <vt:lpwstr/>
      </vt:variant>
      <vt:variant>
        <vt:lpwstr>_Toc304800201</vt:lpwstr>
      </vt:variant>
      <vt:variant>
        <vt:i4>2031669</vt:i4>
      </vt:variant>
      <vt:variant>
        <vt:i4>38</vt:i4>
      </vt:variant>
      <vt:variant>
        <vt:i4>0</vt:i4>
      </vt:variant>
      <vt:variant>
        <vt:i4>5</vt:i4>
      </vt:variant>
      <vt:variant>
        <vt:lpwstr/>
      </vt:variant>
      <vt:variant>
        <vt:lpwstr>_Toc304800200</vt:lpwstr>
      </vt:variant>
      <vt:variant>
        <vt:i4>1441846</vt:i4>
      </vt:variant>
      <vt:variant>
        <vt:i4>32</vt:i4>
      </vt:variant>
      <vt:variant>
        <vt:i4>0</vt:i4>
      </vt:variant>
      <vt:variant>
        <vt:i4>5</vt:i4>
      </vt:variant>
      <vt:variant>
        <vt:lpwstr/>
      </vt:variant>
      <vt:variant>
        <vt:lpwstr>_Toc304800199</vt:lpwstr>
      </vt:variant>
      <vt:variant>
        <vt:i4>1441846</vt:i4>
      </vt:variant>
      <vt:variant>
        <vt:i4>26</vt:i4>
      </vt:variant>
      <vt:variant>
        <vt:i4>0</vt:i4>
      </vt:variant>
      <vt:variant>
        <vt:i4>5</vt:i4>
      </vt:variant>
      <vt:variant>
        <vt:lpwstr/>
      </vt:variant>
      <vt:variant>
        <vt:lpwstr>_Toc304800198</vt:lpwstr>
      </vt:variant>
      <vt:variant>
        <vt:i4>1441846</vt:i4>
      </vt:variant>
      <vt:variant>
        <vt:i4>20</vt:i4>
      </vt:variant>
      <vt:variant>
        <vt:i4>0</vt:i4>
      </vt:variant>
      <vt:variant>
        <vt:i4>5</vt:i4>
      </vt:variant>
      <vt:variant>
        <vt:lpwstr/>
      </vt:variant>
      <vt:variant>
        <vt:lpwstr>_Toc304800196</vt:lpwstr>
      </vt:variant>
      <vt:variant>
        <vt:i4>1441846</vt:i4>
      </vt:variant>
      <vt:variant>
        <vt:i4>14</vt:i4>
      </vt:variant>
      <vt:variant>
        <vt:i4>0</vt:i4>
      </vt:variant>
      <vt:variant>
        <vt:i4>5</vt:i4>
      </vt:variant>
      <vt:variant>
        <vt:lpwstr/>
      </vt:variant>
      <vt:variant>
        <vt:lpwstr>_Toc304800195</vt:lpwstr>
      </vt:variant>
      <vt:variant>
        <vt:i4>1441846</vt:i4>
      </vt:variant>
      <vt:variant>
        <vt:i4>8</vt:i4>
      </vt:variant>
      <vt:variant>
        <vt:i4>0</vt:i4>
      </vt:variant>
      <vt:variant>
        <vt:i4>5</vt:i4>
      </vt:variant>
      <vt:variant>
        <vt:lpwstr/>
      </vt:variant>
      <vt:variant>
        <vt:lpwstr>_Toc304800194</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2014-06-11T15:33:00Z</dcterms:created>
  <dcterms:modified xsi:type="dcterms:W3CDTF">2014-06-11T15:33:00Z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