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B347F4" w:rsidRDefault="003129E8" w:rsidP="00DD6B5E">
      <w:pPr>
        <w:jc w:val="right"/>
        <w:rPr>
          <w:rFonts w:ascii="Arial" w:hAnsi="Arial" w:cs="Arial"/>
          <w:b/>
          <w:sz w:val="48"/>
          <w:szCs w:val="48"/>
        </w:rPr>
      </w:pPr>
      <w:bookmarkStart w:id="0" w:name="_Toc153189646"/>
      <w:bookmarkStart w:id="1" w:name="_GoBack"/>
      <w:bookmarkEnd w:id="1"/>
      <w:r w:rsidRPr="002E0043">
        <w:rPr>
          <w:rFonts w:ascii="Arial" w:hAnsi="Arial" w:cs="Arial"/>
          <w:b/>
          <w:sz w:val="48"/>
          <w:szCs w:val="48"/>
        </w:rPr>
        <w:t xml:space="preserve">Work Paper </w:t>
      </w:r>
      <w:bookmarkEnd w:id="0"/>
      <w:r w:rsidR="00480C7E" w:rsidRPr="00B347F4">
        <w:rPr>
          <w:rFonts w:ascii="Arial" w:hAnsi="Arial" w:cs="Arial"/>
          <w:b/>
          <w:sz w:val="48"/>
          <w:szCs w:val="48"/>
        </w:rPr>
        <w:t>PGE</w:t>
      </w:r>
      <w:r w:rsidR="00996898" w:rsidRPr="00B347F4">
        <w:rPr>
          <w:rFonts w:ascii="Arial" w:hAnsi="Arial" w:cs="Arial"/>
          <w:b/>
          <w:sz w:val="48"/>
          <w:szCs w:val="48"/>
        </w:rPr>
        <w:t>3P</w:t>
      </w:r>
      <w:r w:rsidR="004602BA">
        <w:rPr>
          <w:rFonts w:ascii="Arial" w:hAnsi="Arial" w:cs="Arial"/>
          <w:b/>
          <w:sz w:val="48"/>
          <w:szCs w:val="48"/>
        </w:rPr>
        <w:t>REF</w:t>
      </w:r>
      <w:r w:rsidR="00FE2969">
        <w:rPr>
          <w:rFonts w:ascii="Arial" w:hAnsi="Arial" w:cs="Arial"/>
          <w:b/>
          <w:sz w:val="48"/>
          <w:szCs w:val="48"/>
        </w:rPr>
        <w:t>127</w:t>
      </w:r>
    </w:p>
    <w:p w:rsidR="00A167EC" w:rsidRPr="00B347F4" w:rsidRDefault="00F10A99" w:rsidP="00A167EC">
      <w:pPr>
        <w:jc w:val="right"/>
        <w:rPr>
          <w:rFonts w:ascii="Arial" w:hAnsi="Arial" w:cs="Arial"/>
          <w:b/>
          <w:sz w:val="48"/>
          <w:szCs w:val="48"/>
        </w:rPr>
      </w:pPr>
      <w:r w:rsidRPr="00B347F4">
        <w:rPr>
          <w:rFonts w:ascii="Arial" w:hAnsi="Arial" w:cs="Arial"/>
          <w:b/>
          <w:sz w:val="48"/>
          <w:szCs w:val="48"/>
        </w:rPr>
        <w:t xml:space="preserve"> </w:t>
      </w:r>
      <w:r w:rsidR="00F732AD" w:rsidRPr="00B347F4">
        <w:rPr>
          <w:rFonts w:ascii="Arial" w:hAnsi="Arial" w:cs="Arial"/>
          <w:b/>
          <w:sz w:val="48"/>
          <w:szCs w:val="48"/>
        </w:rPr>
        <w:t xml:space="preserve">Add Doors to </w:t>
      </w:r>
      <w:r w:rsidR="00AB3853">
        <w:rPr>
          <w:rFonts w:ascii="Arial" w:hAnsi="Arial" w:cs="Arial"/>
          <w:b/>
          <w:sz w:val="48"/>
          <w:szCs w:val="48"/>
        </w:rPr>
        <w:t xml:space="preserve">Open </w:t>
      </w:r>
      <w:r w:rsidR="00F732AD" w:rsidRPr="00B347F4">
        <w:rPr>
          <w:rFonts w:ascii="Arial" w:hAnsi="Arial" w:cs="Arial"/>
          <w:b/>
          <w:sz w:val="48"/>
          <w:szCs w:val="48"/>
        </w:rPr>
        <w:t>Walk-in</w:t>
      </w:r>
      <w:r w:rsidR="00FE2969">
        <w:rPr>
          <w:rFonts w:ascii="Arial" w:hAnsi="Arial" w:cs="Arial"/>
          <w:b/>
          <w:sz w:val="48"/>
          <w:szCs w:val="48"/>
        </w:rPr>
        <w:t xml:space="preserve"> Cooler</w:t>
      </w:r>
    </w:p>
    <w:p w:rsidR="003129E8" w:rsidRPr="002E0043" w:rsidRDefault="003129E8" w:rsidP="002E0043">
      <w:pPr>
        <w:jc w:val="right"/>
        <w:rPr>
          <w:rFonts w:ascii="Arial" w:hAnsi="Arial" w:cs="Arial"/>
          <w:b/>
          <w:sz w:val="48"/>
          <w:szCs w:val="48"/>
        </w:rPr>
      </w:pPr>
      <w:bookmarkStart w:id="2" w:name="_Toc153189647"/>
      <w:r w:rsidRPr="00B347F4">
        <w:rPr>
          <w:rFonts w:ascii="Arial" w:hAnsi="Arial" w:cs="Arial"/>
          <w:b/>
          <w:sz w:val="48"/>
          <w:szCs w:val="48"/>
        </w:rPr>
        <w:t>Revision #</w:t>
      </w:r>
      <w:bookmarkEnd w:id="2"/>
      <w:r w:rsidR="00D7047A" w:rsidRPr="00B347F4">
        <w:rPr>
          <w:rFonts w:ascii="Arial" w:hAnsi="Arial" w:cs="Arial"/>
          <w:b/>
          <w:sz w:val="48"/>
          <w:szCs w:val="48"/>
        </w:rPr>
        <w:t xml:space="preserve"> </w:t>
      </w:r>
      <w:r w:rsidR="00AE2598">
        <w:rPr>
          <w:rFonts w:ascii="Arial" w:hAnsi="Arial" w:cs="Arial"/>
          <w:b/>
          <w:sz w:val="48"/>
          <w:szCs w:val="48"/>
        </w:rPr>
        <w:t>3</w:t>
      </w:r>
    </w:p>
    <w:p w:rsidR="003129E8" w:rsidRDefault="003129E8" w:rsidP="003129E8"/>
    <w:p w:rsidR="00D7047A" w:rsidRPr="002E0043" w:rsidRDefault="00FE2969" w:rsidP="00D7047A">
      <w:pPr>
        <w:pBdr>
          <w:bottom w:val="single" w:sz="4" w:space="1" w:color="auto"/>
        </w:pBdr>
        <w:rPr>
          <w:rFonts w:ascii="Arial" w:hAnsi="Arial" w:cs="Arial"/>
          <w:b/>
          <w:sz w:val="36"/>
          <w:szCs w:val="36"/>
        </w:rPr>
      </w:pPr>
      <w:r>
        <w:rPr>
          <w:rFonts w:ascii="Arial" w:hAnsi="Arial" w:cs="Arial"/>
          <w:b/>
          <w:sz w:val="36"/>
          <w:szCs w:val="36"/>
        </w:rPr>
        <w:t>PECI</w:t>
      </w:r>
    </w:p>
    <w:p w:rsidR="00D7047A" w:rsidRPr="002E0043" w:rsidRDefault="00FE2969" w:rsidP="00D7047A">
      <w:pPr>
        <w:rPr>
          <w:rFonts w:ascii="Arial" w:hAnsi="Arial" w:cs="Arial"/>
          <w:b/>
          <w:sz w:val="32"/>
          <w:szCs w:val="32"/>
        </w:rPr>
      </w:pPr>
      <w:proofErr w:type="spellStart"/>
      <w:r>
        <w:rPr>
          <w:rFonts w:ascii="Arial" w:hAnsi="Arial" w:cs="Arial"/>
          <w:b/>
          <w:sz w:val="32"/>
          <w:szCs w:val="32"/>
        </w:rPr>
        <w:t>EnergySmart</w:t>
      </w:r>
      <w:proofErr w:type="spellEnd"/>
      <w:r>
        <w:rPr>
          <w:rFonts w:ascii="Arial" w:hAnsi="Arial" w:cs="Arial"/>
          <w:b/>
          <w:sz w:val="32"/>
          <w:szCs w:val="32"/>
        </w:rPr>
        <w:t xml:space="preserve"> Grocer</w:t>
      </w:r>
    </w:p>
    <w:p w:rsidR="00996898" w:rsidRDefault="00996898" w:rsidP="00A167EC">
      <w:pPr>
        <w:ind w:right="-720"/>
        <w:rPr>
          <w:rFonts w:ascii="Arial" w:hAnsi="Arial" w:cs="Arial"/>
          <w:b/>
          <w:color w:val="FF0000"/>
          <w:sz w:val="72"/>
          <w:szCs w:val="72"/>
        </w:rPr>
      </w:pPr>
    </w:p>
    <w:p w:rsidR="00324D0F" w:rsidRPr="00B347F4" w:rsidRDefault="005511A5" w:rsidP="00A167EC">
      <w:pPr>
        <w:ind w:right="-720"/>
        <w:rPr>
          <w:rFonts w:ascii="Arial" w:hAnsi="Arial" w:cs="Arial"/>
          <w:b/>
        </w:rPr>
      </w:pPr>
      <w:r w:rsidRPr="00B347F4">
        <w:rPr>
          <w:rFonts w:ascii="Arial" w:hAnsi="Arial" w:cs="Arial"/>
          <w:b/>
          <w:sz w:val="72"/>
          <w:szCs w:val="72"/>
        </w:rPr>
        <w:t>Add Doors to</w:t>
      </w:r>
      <w:r w:rsidR="00FE2969">
        <w:rPr>
          <w:rFonts w:ascii="Arial" w:hAnsi="Arial" w:cs="Arial"/>
          <w:b/>
          <w:sz w:val="72"/>
          <w:szCs w:val="72"/>
        </w:rPr>
        <w:t xml:space="preserve"> Open</w:t>
      </w:r>
      <w:r w:rsidRPr="00B347F4">
        <w:rPr>
          <w:rFonts w:ascii="Arial" w:hAnsi="Arial" w:cs="Arial"/>
          <w:b/>
          <w:sz w:val="72"/>
          <w:szCs w:val="72"/>
        </w:rPr>
        <w:t xml:space="preserve"> Walk-in</w:t>
      </w:r>
      <w:r w:rsidR="00FE2969">
        <w:rPr>
          <w:rFonts w:ascii="Arial" w:hAnsi="Arial" w:cs="Arial"/>
          <w:b/>
          <w:sz w:val="72"/>
          <w:szCs w:val="72"/>
        </w:rPr>
        <w:t xml:space="preserve"> Cooler</w:t>
      </w:r>
    </w:p>
    <w:p w:rsidR="00B421F2" w:rsidRPr="00B347F4" w:rsidRDefault="00FE2969" w:rsidP="002D4621">
      <w:pPr>
        <w:ind w:right="-720"/>
        <w:rPr>
          <w:rFonts w:ascii="Arial" w:hAnsi="Arial" w:cs="Arial"/>
          <w:b/>
        </w:rPr>
      </w:pPr>
      <w:r>
        <w:rPr>
          <w:rFonts w:ascii="Arial" w:hAnsi="Arial" w:cs="Arial"/>
          <w:b/>
        </w:rPr>
        <w:t>Measure Code</w:t>
      </w:r>
      <w:r w:rsidR="00A167EC" w:rsidRPr="00B347F4">
        <w:rPr>
          <w:rFonts w:ascii="Arial" w:hAnsi="Arial" w:cs="Arial"/>
          <w:b/>
        </w:rPr>
        <w:t xml:space="preserve"> </w:t>
      </w:r>
      <w:r w:rsidR="006B4310" w:rsidRPr="00B347F4">
        <w:rPr>
          <w:rFonts w:ascii="Arial" w:hAnsi="Arial" w:cs="Arial"/>
          <w:b/>
        </w:rPr>
        <w:t>R160</w:t>
      </w:r>
      <w:r w:rsidR="003A207F">
        <w:rPr>
          <w:rFonts w:ascii="Arial" w:hAnsi="Arial" w:cs="Arial"/>
          <w:b/>
        </w:rPr>
        <w:t>, HB30</w:t>
      </w:r>
    </w:p>
    <w:p w:rsidR="00E84DBD" w:rsidRPr="00B421F2" w:rsidRDefault="00FE2969" w:rsidP="00DA5BBE">
      <w:pPr>
        <w:ind w:right="-720"/>
        <w:rPr>
          <w:rFonts w:ascii="Arial" w:hAnsi="Arial" w:cs="Arial"/>
          <w:b/>
        </w:rPr>
        <w:sectPr w:rsidR="00E84DBD" w:rsidRPr="00B421F2"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roofErr w:type="spellStart"/>
      <w:r>
        <w:rPr>
          <w:rFonts w:ascii="Arial" w:hAnsi="Arial" w:cs="Arial"/>
          <w:b/>
        </w:rPr>
        <w:t>EnergySmart</w:t>
      </w:r>
      <w:proofErr w:type="spellEnd"/>
      <w:r>
        <w:rPr>
          <w:rFonts w:ascii="Arial" w:hAnsi="Arial" w:cs="Arial"/>
          <w:b/>
        </w:rPr>
        <w:t xml:space="preserve"> Grocer, PECI</w:t>
      </w:r>
    </w:p>
    <w:p w:rsidR="00E71EF1" w:rsidRDefault="00E731C6" w:rsidP="00E71EF1">
      <w:pPr>
        <w:pStyle w:val="Heading1"/>
      </w:pPr>
      <w:bookmarkStart w:id="3" w:name="_Toc387914041"/>
      <w:bookmarkStart w:id="4" w:name="_Toc390349978"/>
      <w:r>
        <w:lastRenderedPageBreak/>
        <w:t>At-</w:t>
      </w:r>
      <w:r w:rsidR="00E71EF1">
        <w:t>a</w:t>
      </w:r>
      <w:r>
        <w:t>-</w:t>
      </w:r>
      <w:r w:rsidR="00E71EF1">
        <w:t>Glance Summary</w:t>
      </w:r>
      <w:bookmarkEnd w:id="3"/>
      <w:bookmarkEnd w:id="4"/>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F732AD" w:rsidRPr="00783DAC" w:rsidTr="00480C44">
        <w:trPr>
          <w:trHeight w:val="465"/>
        </w:trPr>
        <w:tc>
          <w:tcPr>
            <w:tcW w:w="4161" w:type="dxa"/>
            <w:shd w:val="pct20" w:color="000000" w:fill="FFFFFF"/>
          </w:tcPr>
          <w:p w:rsidR="00F732AD" w:rsidRPr="00C27D3B" w:rsidRDefault="00F732AD" w:rsidP="0028709C">
            <w:pPr>
              <w:rPr>
                <w:rFonts w:ascii="Arial" w:hAnsi="Arial" w:cs="Arial"/>
                <w:b/>
                <w:bCs/>
                <w:sz w:val="22"/>
                <w:szCs w:val="22"/>
              </w:rPr>
            </w:pPr>
            <w:r w:rsidRPr="00C27D3B">
              <w:rPr>
                <w:rFonts w:ascii="Arial" w:hAnsi="Arial" w:cs="Arial"/>
                <w:b/>
                <w:bCs/>
                <w:sz w:val="22"/>
                <w:szCs w:val="22"/>
              </w:rPr>
              <w:t>Applicable Measure Codes:</w:t>
            </w:r>
          </w:p>
        </w:tc>
        <w:tc>
          <w:tcPr>
            <w:tcW w:w="5487" w:type="dxa"/>
            <w:shd w:val="pct20" w:color="000000" w:fill="FFFFFF"/>
          </w:tcPr>
          <w:p w:rsidR="00F732AD" w:rsidRPr="00C27D3B" w:rsidRDefault="00663896" w:rsidP="00F732AD">
            <w:pPr>
              <w:rPr>
                <w:rFonts w:ascii="Arial" w:hAnsi="Arial" w:cs="Arial"/>
                <w:b/>
                <w:bCs/>
                <w:sz w:val="20"/>
                <w:szCs w:val="20"/>
              </w:rPr>
            </w:pPr>
            <w:r>
              <w:rPr>
                <w:rFonts w:ascii="Arial" w:hAnsi="Arial" w:cs="Arial"/>
                <w:b/>
                <w:bCs/>
                <w:sz w:val="20"/>
                <w:szCs w:val="20"/>
              </w:rPr>
              <w:t>R160, HB30</w:t>
            </w:r>
          </w:p>
        </w:tc>
      </w:tr>
      <w:tr w:rsidR="000571F6" w:rsidRPr="00783DAC" w:rsidTr="00783DAC">
        <w:trPr>
          <w:trHeight w:val="465"/>
        </w:trPr>
        <w:tc>
          <w:tcPr>
            <w:tcW w:w="4161" w:type="dxa"/>
            <w:shd w:val="pct5" w:color="000000" w:fill="FFFFFF"/>
          </w:tcPr>
          <w:p w:rsidR="000571F6" w:rsidRPr="00C27D3B" w:rsidRDefault="00C63D95" w:rsidP="0028709C">
            <w:pPr>
              <w:rPr>
                <w:rFonts w:ascii="Arial" w:hAnsi="Arial" w:cs="Arial"/>
                <w:b/>
                <w:sz w:val="22"/>
                <w:szCs w:val="22"/>
              </w:rPr>
            </w:pPr>
            <w:r w:rsidRPr="00C27D3B">
              <w:rPr>
                <w:rFonts w:ascii="Arial" w:hAnsi="Arial" w:cs="Arial"/>
                <w:b/>
                <w:sz w:val="22"/>
                <w:szCs w:val="22"/>
              </w:rPr>
              <w:t>Measure Description</w:t>
            </w:r>
            <w:r w:rsidR="000571F6" w:rsidRPr="00C27D3B">
              <w:rPr>
                <w:rFonts w:ascii="Arial" w:hAnsi="Arial" w:cs="Arial"/>
                <w:b/>
                <w:sz w:val="22"/>
                <w:szCs w:val="22"/>
              </w:rPr>
              <w:t xml:space="preserve">: </w:t>
            </w:r>
          </w:p>
        </w:tc>
        <w:tc>
          <w:tcPr>
            <w:tcW w:w="5487" w:type="dxa"/>
            <w:shd w:val="pct5" w:color="000000" w:fill="FFFFFF"/>
          </w:tcPr>
          <w:p w:rsidR="000571F6" w:rsidRPr="00C27D3B" w:rsidRDefault="009B7DF4" w:rsidP="0028709C">
            <w:pPr>
              <w:rPr>
                <w:rFonts w:ascii="Arial" w:hAnsi="Arial" w:cs="Arial"/>
                <w:sz w:val="20"/>
                <w:szCs w:val="20"/>
              </w:rPr>
            </w:pPr>
            <w:r>
              <w:rPr>
                <w:rFonts w:ascii="Arial" w:hAnsi="Arial" w:cs="Arial"/>
                <w:sz w:val="20"/>
                <w:szCs w:val="20"/>
              </w:rPr>
              <w:t xml:space="preserve">Add Doors to Walk-in Cooler </w:t>
            </w:r>
          </w:p>
        </w:tc>
      </w:tr>
      <w:tr w:rsidR="000571F6" w:rsidRPr="00783DAC" w:rsidTr="00783DAC">
        <w:trPr>
          <w:trHeight w:val="465"/>
        </w:trPr>
        <w:tc>
          <w:tcPr>
            <w:tcW w:w="4161" w:type="dxa"/>
            <w:shd w:val="pct20" w:color="000000" w:fill="FFFFFF"/>
          </w:tcPr>
          <w:p w:rsidR="000571F6" w:rsidRPr="00C27D3B" w:rsidRDefault="00721C75" w:rsidP="0028709C">
            <w:pPr>
              <w:rPr>
                <w:rFonts w:ascii="Arial" w:hAnsi="Arial" w:cs="Arial"/>
                <w:b/>
                <w:sz w:val="22"/>
                <w:szCs w:val="22"/>
              </w:rPr>
            </w:pPr>
            <w:r w:rsidRPr="00C27D3B">
              <w:rPr>
                <w:rFonts w:ascii="Arial" w:hAnsi="Arial" w:cs="Arial"/>
                <w:b/>
                <w:sz w:val="22"/>
                <w:szCs w:val="22"/>
              </w:rPr>
              <w:t>Energy Impact</w:t>
            </w:r>
            <w:r w:rsidR="000571F6" w:rsidRPr="00C27D3B">
              <w:rPr>
                <w:rFonts w:ascii="Arial" w:hAnsi="Arial" w:cs="Arial"/>
                <w:b/>
                <w:sz w:val="22"/>
                <w:szCs w:val="22"/>
              </w:rPr>
              <w:t xml:space="preserve"> Common Units: </w:t>
            </w:r>
          </w:p>
        </w:tc>
        <w:tc>
          <w:tcPr>
            <w:tcW w:w="5487" w:type="dxa"/>
            <w:shd w:val="pct20" w:color="000000" w:fill="FFFFFF"/>
          </w:tcPr>
          <w:p w:rsidR="00597F8C" w:rsidRPr="00C27D3B" w:rsidRDefault="00597F8C" w:rsidP="0028709C">
            <w:pPr>
              <w:rPr>
                <w:rFonts w:ascii="Arial" w:hAnsi="Arial" w:cs="Arial"/>
                <w:sz w:val="20"/>
                <w:szCs w:val="20"/>
              </w:rPr>
            </w:pPr>
            <w:r w:rsidRPr="00C27D3B">
              <w:rPr>
                <w:rFonts w:ascii="Arial" w:hAnsi="Arial" w:cs="Arial"/>
                <w:sz w:val="20"/>
                <w:szCs w:val="20"/>
              </w:rPr>
              <w:t>Len-</w:t>
            </w:r>
            <w:proofErr w:type="spellStart"/>
            <w:r w:rsidRPr="00C27D3B">
              <w:rPr>
                <w:rFonts w:ascii="Arial" w:hAnsi="Arial" w:cs="Arial"/>
                <w:sz w:val="20"/>
                <w:szCs w:val="20"/>
              </w:rPr>
              <w:t>ft</w:t>
            </w:r>
            <w:proofErr w:type="spellEnd"/>
          </w:p>
          <w:p w:rsidR="000571F6" w:rsidRPr="00C27D3B" w:rsidRDefault="00F732AD" w:rsidP="0028709C">
            <w:pPr>
              <w:rPr>
                <w:rFonts w:ascii="Arial" w:hAnsi="Arial" w:cs="Arial"/>
                <w:sz w:val="20"/>
                <w:szCs w:val="20"/>
              </w:rPr>
            </w:pPr>
            <w:r w:rsidRPr="00C27D3B">
              <w:rPr>
                <w:rFonts w:ascii="Arial" w:hAnsi="Arial" w:cs="Arial"/>
                <w:sz w:val="20"/>
                <w:szCs w:val="20"/>
              </w:rPr>
              <w:t>Linear ft. of display case</w:t>
            </w:r>
            <w:r w:rsidR="00721C75" w:rsidRPr="00C27D3B">
              <w:rPr>
                <w:rFonts w:ascii="Arial" w:hAnsi="Arial" w:cs="Arial"/>
                <w:sz w:val="20"/>
                <w:szCs w:val="20"/>
              </w:rPr>
              <w:t xml:space="preserve"> </w:t>
            </w:r>
          </w:p>
        </w:tc>
      </w:tr>
      <w:tr w:rsidR="000571F6" w:rsidRPr="00783DAC" w:rsidTr="00783DAC">
        <w:trPr>
          <w:trHeight w:val="465"/>
        </w:trPr>
        <w:tc>
          <w:tcPr>
            <w:tcW w:w="4161" w:type="dxa"/>
            <w:shd w:val="pct5" w:color="000000" w:fill="FFFFFF"/>
          </w:tcPr>
          <w:p w:rsidR="000571F6" w:rsidRPr="00C27D3B" w:rsidRDefault="00EB367C" w:rsidP="0028709C">
            <w:pPr>
              <w:rPr>
                <w:rFonts w:ascii="Arial" w:hAnsi="Arial" w:cs="Arial"/>
                <w:b/>
                <w:sz w:val="22"/>
                <w:szCs w:val="22"/>
              </w:rPr>
            </w:pPr>
            <w:r w:rsidRPr="00C27D3B">
              <w:rPr>
                <w:rFonts w:ascii="Arial" w:hAnsi="Arial" w:cs="Arial"/>
                <w:b/>
                <w:sz w:val="22"/>
                <w:szCs w:val="22"/>
              </w:rPr>
              <w:t>Base Case Description:</w:t>
            </w:r>
          </w:p>
        </w:tc>
        <w:tc>
          <w:tcPr>
            <w:tcW w:w="5487" w:type="dxa"/>
            <w:shd w:val="pct5" w:color="000000" w:fill="FFFFFF"/>
          </w:tcPr>
          <w:p w:rsidR="00F732AD" w:rsidRPr="00C27D3B" w:rsidRDefault="00DF7681" w:rsidP="00F732AD">
            <w:pPr>
              <w:rPr>
                <w:rFonts w:ascii="Arial" w:hAnsi="Arial" w:cs="Arial"/>
                <w:sz w:val="20"/>
                <w:szCs w:val="20"/>
              </w:rPr>
            </w:pPr>
            <w:r w:rsidRPr="00C27D3B">
              <w:rPr>
                <w:rFonts w:ascii="Arial" w:hAnsi="Arial" w:cs="Arial"/>
                <w:sz w:val="20"/>
                <w:szCs w:val="20"/>
              </w:rPr>
              <w:t xml:space="preserve">Source:  </w:t>
            </w:r>
            <w:r w:rsidR="00F732AD" w:rsidRPr="00C27D3B">
              <w:rPr>
                <w:rFonts w:ascii="Arial" w:hAnsi="Arial" w:cs="Arial"/>
                <w:sz w:val="20"/>
                <w:szCs w:val="20"/>
              </w:rPr>
              <w:t xml:space="preserve">PECI </w:t>
            </w:r>
          </w:p>
          <w:p w:rsidR="005F57B5" w:rsidRPr="00C27D3B" w:rsidRDefault="00F732AD" w:rsidP="00F732AD">
            <w:pPr>
              <w:rPr>
                <w:rFonts w:ascii="Arial" w:hAnsi="Arial" w:cs="Arial"/>
                <w:sz w:val="20"/>
                <w:szCs w:val="20"/>
              </w:rPr>
            </w:pPr>
            <w:r w:rsidRPr="00C27D3B">
              <w:rPr>
                <w:rFonts w:ascii="Arial" w:hAnsi="Arial" w:cs="Arial"/>
                <w:sz w:val="20"/>
                <w:szCs w:val="20"/>
              </w:rPr>
              <w:t>Medium temp walk-in reach-in open display cases (without doors)</w:t>
            </w:r>
          </w:p>
        </w:tc>
      </w:tr>
      <w:tr w:rsidR="000571F6" w:rsidRPr="00783DAC" w:rsidTr="00783DAC">
        <w:trPr>
          <w:trHeight w:val="465"/>
        </w:trPr>
        <w:tc>
          <w:tcPr>
            <w:tcW w:w="4161" w:type="dxa"/>
            <w:shd w:val="pct20" w:color="000000" w:fill="FFFFFF"/>
          </w:tcPr>
          <w:p w:rsidR="000571F6" w:rsidRPr="00C27D3B" w:rsidRDefault="00EE4094" w:rsidP="0028709C">
            <w:pPr>
              <w:rPr>
                <w:rFonts w:ascii="Arial" w:hAnsi="Arial" w:cs="Arial"/>
                <w:b/>
                <w:sz w:val="22"/>
                <w:szCs w:val="22"/>
              </w:rPr>
            </w:pPr>
            <w:r w:rsidRPr="00C27D3B">
              <w:rPr>
                <w:rFonts w:ascii="Arial" w:hAnsi="Arial" w:cs="Arial"/>
                <w:b/>
                <w:sz w:val="22"/>
                <w:szCs w:val="22"/>
              </w:rPr>
              <w:t xml:space="preserve">Base Case </w:t>
            </w:r>
            <w:r w:rsidR="00EB367C" w:rsidRPr="00C27D3B">
              <w:rPr>
                <w:rFonts w:ascii="Arial" w:hAnsi="Arial" w:cs="Arial"/>
                <w:b/>
                <w:sz w:val="22"/>
                <w:szCs w:val="22"/>
              </w:rPr>
              <w:t>Energy Consumption</w:t>
            </w:r>
            <w:r w:rsidR="000571F6" w:rsidRPr="00C27D3B">
              <w:rPr>
                <w:rFonts w:ascii="Arial" w:hAnsi="Arial" w:cs="Arial"/>
                <w:b/>
                <w:sz w:val="22"/>
                <w:szCs w:val="22"/>
              </w:rPr>
              <w:t xml:space="preserve">: </w:t>
            </w:r>
          </w:p>
        </w:tc>
        <w:tc>
          <w:tcPr>
            <w:tcW w:w="5487" w:type="dxa"/>
            <w:shd w:val="pct20" w:color="000000" w:fill="FFFFFF"/>
          </w:tcPr>
          <w:p w:rsidR="00F732AD" w:rsidRPr="00C27D3B" w:rsidRDefault="00DF7681" w:rsidP="00F732AD">
            <w:pPr>
              <w:rPr>
                <w:rFonts w:ascii="Arial" w:hAnsi="Arial" w:cs="Arial"/>
                <w:sz w:val="20"/>
                <w:szCs w:val="20"/>
              </w:rPr>
            </w:pPr>
            <w:r w:rsidRPr="00C27D3B">
              <w:rPr>
                <w:rFonts w:ascii="Arial" w:hAnsi="Arial" w:cs="Arial"/>
                <w:sz w:val="20"/>
                <w:szCs w:val="20"/>
              </w:rPr>
              <w:t xml:space="preserve">Source:  </w:t>
            </w:r>
            <w:r w:rsidR="00F732AD" w:rsidRPr="00C27D3B">
              <w:rPr>
                <w:rFonts w:ascii="Arial" w:hAnsi="Arial" w:cs="Arial"/>
                <w:sz w:val="20"/>
                <w:szCs w:val="20"/>
              </w:rPr>
              <w:t xml:space="preserve">PECI </w:t>
            </w:r>
          </w:p>
          <w:p w:rsidR="000571F6" w:rsidRPr="00C27D3B" w:rsidRDefault="00EB367C" w:rsidP="00F732AD">
            <w:pPr>
              <w:rPr>
                <w:rFonts w:ascii="Arial" w:hAnsi="Arial" w:cs="Arial"/>
                <w:sz w:val="20"/>
                <w:szCs w:val="20"/>
              </w:rPr>
            </w:pPr>
            <w:r w:rsidRPr="00C27D3B">
              <w:rPr>
                <w:rFonts w:ascii="Arial" w:hAnsi="Arial" w:cs="Arial"/>
                <w:sz w:val="20"/>
                <w:szCs w:val="20"/>
              </w:rPr>
              <w:t>State the base case energy consumption.</w:t>
            </w:r>
          </w:p>
        </w:tc>
      </w:tr>
      <w:tr w:rsidR="002C4F1C" w:rsidRPr="00783DAC" w:rsidTr="00783DAC">
        <w:trPr>
          <w:trHeight w:val="465"/>
        </w:trPr>
        <w:tc>
          <w:tcPr>
            <w:tcW w:w="4161" w:type="dxa"/>
            <w:shd w:val="pct5" w:color="000000" w:fill="FFFFFF"/>
          </w:tcPr>
          <w:p w:rsidR="002C4F1C" w:rsidRPr="00C27D3B" w:rsidRDefault="002C4F1C" w:rsidP="0028709C">
            <w:pPr>
              <w:rPr>
                <w:rFonts w:ascii="Arial" w:hAnsi="Arial" w:cs="Arial"/>
                <w:b/>
                <w:sz w:val="22"/>
                <w:szCs w:val="22"/>
              </w:rPr>
            </w:pPr>
            <w:r w:rsidRPr="00C27D3B">
              <w:rPr>
                <w:rFonts w:ascii="Arial" w:hAnsi="Arial" w:cs="Arial"/>
                <w:b/>
                <w:sz w:val="22"/>
                <w:szCs w:val="22"/>
              </w:rPr>
              <w:t>Measure Energy Consumption:</w:t>
            </w:r>
          </w:p>
          <w:p w:rsidR="00806EE8" w:rsidRPr="00C27D3B" w:rsidRDefault="00806EE8" w:rsidP="0028709C">
            <w:pPr>
              <w:rPr>
                <w:rFonts w:ascii="Arial" w:hAnsi="Arial" w:cs="Arial"/>
                <w:b/>
                <w:sz w:val="22"/>
                <w:szCs w:val="22"/>
              </w:rPr>
            </w:pPr>
          </w:p>
        </w:tc>
        <w:tc>
          <w:tcPr>
            <w:tcW w:w="5487" w:type="dxa"/>
            <w:shd w:val="pct5" w:color="000000" w:fill="FFFFFF"/>
          </w:tcPr>
          <w:p w:rsidR="00F732AD" w:rsidRPr="00C27D3B" w:rsidRDefault="00DF7681" w:rsidP="0028709C">
            <w:pPr>
              <w:rPr>
                <w:rFonts w:ascii="Arial" w:hAnsi="Arial" w:cs="Arial"/>
                <w:sz w:val="20"/>
                <w:szCs w:val="20"/>
              </w:rPr>
            </w:pPr>
            <w:r w:rsidRPr="00C27D3B">
              <w:rPr>
                <w:rFonts w:ascii="Arial" w:hAnsi="Arial" w:cs="Arial"/>
                <w:sz w:val="20"/>
                <w:szCs w:val="20"/>
              </w:rPr>
              <w:t xml:space="preserve">Source:  </w:t>
            </w:r>
            <w:r w:rsidR="00F732AD" w:rsidRPr="00C27D3B">
              <w:rPr>
                <w:rFonts w:ascii="Arial" w:hAnsi="Arial" w:cs="Arial"/>
                <w:sz w:val="20"/>
                <w:szCs w:val="20"/>
              </w:rPr>
              <w:t xml:space="preserve">PECI calculations </w:t>
            </w:r>
          </w:p>
          <w:p w:rsidR="002C4F1C" w:rsidRPr="00C27D3B" w:rsidRDefault="00597F8C" w:rsidP="0028709C">
            <w:pPr>
              <w:rPr>
                <w:rFonts w:ascii="Arial" w:hAnsi="Arial" w:cs="Arial"/>
                <w:sz w:val="20"/>
                <w:szCs w:val="20"/>
              </w:rPr>
            </w:pPr>
            <w:r w:rsidRPr="00C27D3B">
              <w:rPr>
                <w:rFonts w:ascii="Arial" w:hAnsi="Arial" w:cs="Arial"/>
                <w:sz w:val="20"/>
                <w:szCs w:val="20"/>
              </w:rPr>
              <w:t xml:space="preserve">Varies.  See at a glance measure list.  </w:t>
            </w:r>
          </w:p>
        </w:tc>
      </w:tr>
      <w:tr w:rsidR="002C4F1C" w:rsidRPr="00783DAC" w:rsidTr="00783DAC">
        <w:trPr>
          <w:trHeight w:val="465"/>
        </w:trPr>
        <w:tc>
          <w:tcPr>
            <w:tcW w:w="4161" w:type="dxa"/>
            <w:shd w:val="pct20" w:color="000000" w:fill="FFFFFF"/>
          </w:tcPr>
          <w:p w:rsidR="002C4F1C" w:rsidRPr="00C27D3B" w:rsidRDefault="002C4F1C" w:rsidP="0028709C">
            <w:pPr>
              <w:rPr>
                <w:rFonts w:ascii="Arial" w:hAnsi="Arial" w:cs="Arial"/>
                <w:b/>
                <w:sz w:val="22"/>
                <w:szCs w:val="22"/>
              </w:rPr>
            </w:pPr>
            <w:r w:rsidRPr="00C27D3B">
              <w:rPr>
                <w:rFonts w:ascii="Arial" w:hAnsi="Arial" w:cs="Arial"/>
                <w:b/>
                <w:sz w:val="22"/>
                <w:szCs w:val="22"/>
              </w:rPr>
              <w:t>Energy Savings (Base Case – Measure)</w:t>
            </w:r>
          </w:p>
        </w:tc>
        <w:tc>
          <w:tcPr>
            <w:tcW w:w="5487" w:type="dxa"/>
            <w:shd w:val="pct20" w:color="000000" w:fill="FFFFFF"/>
          </w:tcPr>
          <w:p w:rsidR="00F732AD" w:rsidRPr="00C27D3B" w:rsidRDefault="00A84D4B" w:rsidP="0028709C">
            <w:pPr>
              <w:rPr>
                <w:rFonts w:ascii="Arial" w:hAnsi="Arial" w:cs="Arial"/>
                <w:sz w:val="20"/>
                <w:szCs w:val="20"/>
              </w:rPr>
            </w:pPr>
            <w:r w:rsidRPr="00C27D3B">
              <w:rPr>
                <w:rFonts w:ascii="Arial" w:hAnsi="Arial" w:cs="Arial"/>
                <w:sz w:val="20"/>
                <w:szCs w:val="20"/>
              </w:rPr>
              <w:t xml:space="preserve">Source:  </w:t>
            </w:r>
            <w:r w:rsidR="00F732AD" w:rsidRPr="00C27D3B">
              <w:rPr>
                <w:rFonts w:ascii="Arial" w:hAnsi="Arial" w:cs="Arial"/>
                <w:sz w:val="20"/>
                <w:szCs w:val="20"/>
              </w:rPr>
              <w:t xml:space="preserve">PECI calculations </w:t>
            </w:r>
          </w:p>
          <w:p w:rsidR="002C4F1C" w:rsidRPr="00C27D3B" w:rsidRDefault="00597F8C" w:rsidP="0028709C">
            <w:pPr>
              <w:rPr>
                <w:rFonts w:ascii="Arial" w:hAnsi="Arial" w:cs="Arial"/>
                <w:sz w:val="20"/>
                <w:szCs w:val="20"/>
              </w:rPr>
            </w:pPr>
            <w:r w:rsidRPr="00C27D3B">
              <w:rPr>
                <w:rFonts w:ascii="Arial" w:hAnsi="Arial" w:cs="Arial"/>
                <w:sz w:val="20"/>
                <w:szCs w:val="20"/>
              </w:rPr>
              <w:t xml:space="preserve">Varies. See at a glance measure list. </w:t>
            </w:r>
          </w:p>
        </w:tc>
      </w:tr>
      <w:tr w:rsidR="000571F6" w:rsidRPr="00783DAC" w:rsidTr="00783DAC">
        <w:trPr>
          <w:trHeight w:val="465"/>
        </w:trPr>
        <w:tc>
          <w:tcPr>
            <w:tcW w:w="4161" w:type="dxa"/>
            <w:shd w:val="pct5" w:color="000000" w:fill="FFFFFF"/>
          </w:tcPr>
          <w:p w:rsidR="000571F6" w:rsidRPr="00C27D3B" w:rsidRDefault="000571F6" w:rsidP="0028709C">
            <w:pPr>
              <w:rPr>
                <w:rFonts w:ascii="Arial" w:hAnsi="Arial" w:cs="Arial"/>
                <w:b/>
                <w:sz w:val="22"/>
                <w:szCs w:val="22"/>
              </w:rPr>
            </w:pPr>
            <w:r w:rsidRPr="00C27D3B">
              <w:rPr>
                <w:rFonts w:ascii="Arial" w:hAnsi="Arial" w:cs="Arial"/>
                <w:b/>
                <w:sz w:val="22"/>
                <w:szCs w:val="22"/>
              </w:rPr>
              <w:t xml:space="preserve">Costs Common Units: </w:t>
            </w:r>
          </w:p>
        </w:tc>
        <w:tc>
          <w:tcPr>
            <w:tcW w:w="5487" w:type="dxa"/>
            <w:shd w:val="pct5" w:color="000000" w:fill="FFFFFF"/>
          </w:tcPr>
          <w:p w:rsidR="000571F6" w:rsidRPr="00C27D3B" w:rsidRDefault="00597F8C" w:rsidP="0028709C">
            <w:pPr>
              <w:rPr>
                <w:rFonts w:ascii="Arial" w:hAnsi="Arial" w:cs="Arial"/>
                <w:sz w:val="20"/>
                <w:szCs w:val="20"/>
              </w:rPr>
            </w:pPr>
            <w:r w:rsidRPr="00C27D3B">
              <w:rPr>
                <w:rFonts w:ascii="Arial" w:hAnsi="Arial" w:cs="Arial"/>
                <w:sz w:val="20"/>
                <w:szCs w:val="20"/>
              </w:rPr>
              <w:t>Len-</w:t>
            </w:r>
            <w:proofErr w:type="spellStart"/>
            <w:r w:rsidRPr="00C27D3B">
              <w:rPr>
                <w:rFonts w:ascii="Arial" w:hAnsi="Arial" w:cs="Arial"/>
                <w:sz w:val="20"/>
                <w:szCs w:val="20"/>
              </w:rPr>
              <w:t>ft</w:t>
            </w:r>
            <w:proofErr w:type="spellEnd"/>
          </w:p>
        </w:tc>
      </w:tr>
      <w:tr w:rsidR="007B44FB" w:rsidRPr="00783DAC" w:rsidTr="00783DAC">
        <w:trPr>
          <w:trHeight w:val="465"/>
        </w:trPr>
        <w:tc>
          <w:tcPr>
            <w:tcW w:w="4161" w:type="dxa"/>
            <w:shd w:val="pct20" w:color="000000" w:fill="FFFFFF"/>
          </w:tcPr>
          <w:p w:rsidR="007B44FB" w:rsidRPr="00C27D3B" w:rsidRDefault="007B44FB" w:rsidP="0028709C">
            <w:pPr>
              <w:rPr>
                <w:rFonts w:ascii="Arial" w:hAnsi="Arial" w:cs="Arial"/>
                <w:b/>
                <w:sz w:val="22"/>
                <w:szCs w:val="22"/>
                <w:highlight w:val="cyan"/>
              </w:rPr>
            </w:pPr>
            <w:r w:rsidRPr="00C27D3B">
              <w:rPr>
                <w:rFonts w:ascii="Arial" w:hAnsi="Arial" w:cs="Arial"/>
                <w:b/>
                <w:sz w:val="22"/>
                <w:szCs w:val="22"/>
              </w:rPr>
              <w:t>Base Case Equipment Cost ($/unit):</w:t>
            </w:r>
          </w:p>
          <w:p w:rsidR="00806EE8" w:rsidRPr="00C27D3B" w:rsidRDefault="00806EE8" w:rsidP="0028709C">
            <w:pPr>
              <w:rPr>
                <w:rFonts w:ascii="Arial" w:hAnsi="Arial" w:cs="Arial"/>
                <w:b/>
                <w:sz w:val="22"/>
                <w:szCs w:val="22"/>
                <w:highlight w:val="cyan"/>
              </w:rPr>
            </w:pPr>
          </w:p>
        </w:tc>
        <w:tc>
          <w:tcPr>
            <w:tcW w:w="5487" w:type="dxa"/>
            <w:shd w:val="pct20" w:color="000000" w:fill="FFFFFF"/>
          </w:tcPr>
          <w:p w:rsidR="007B44FB" w:rsidRPr="00C27D3B" w:rsidRDefault="002E40A2" w:rsidP="00183B80">
            <w:pPr>
              <w:rPr>
                <w:rFonts w:ascii="Arial" w:hAnsi="Arial" w:cs="Arial"/>
                <w:sz w:val="20"/>
                <w:szCs w:val="20"/>
              </w:rPr>
            </w:pPr>
            <w:r w:rsidRPr="00C27D3B">
              <w:rPr>
                <w:rFonts w:ascii="Arial" w:hAnsi="Arial" w:cs="Arial"/>
                <w:sz w:val="20"/>
                <w:szCs w:val="20"/>
              </w:rPr>
              <w:t xml:space="preserve">Source:  </w:t>
            </w:r>
            <w:r w:rsidR="00183B80" w:rsidRPr="00C27D3B">
              <w:rPr>
                <w:rFonts w:ascii="Arial" w:hAnsi="Arial" w:cs="Arial"/>
                <w:sz w:val="20"/>
                <w:szCs w:val="20"/>
              </w:rPr>
              <w:t xml:space="preserve">PECI </w:t>
            </w:r>
          </w:p>
          <w:p w:rsidR="00597F8C" w:rsidRPr="00C27D3B" w:rsidRDefault="00597F8C" w:rsidP="00597F8C">
            <w:pPr>
              <w:rPr>
                <w:rFonts w:ascii="Arial" w:hAnsi="Arial" w:cs="Arial"/>
                <w:sz w:val="20"/>
                <w:szCs w:val="20"/>
              </w:rPr>
            </w:pPr>
            <w:r w:rsidRPr="00C27D3B">
              <w:rPr>
                <w:rFonts w:ascii="Arial" w:hAnsi="Arial" w:cs="Arial"/>
                <w:sz w:val="20"/>
                <w:szCs w:val="20"/>
              </w:rPr>
              <w:t>REA: $0.00</w:t>
            </w:r>
          </w:p>
        </w:tc>
      </w:tr>
      <w:tr w:rsidR="000571F6" w:rsidRPr="00783DAC" w:rsidTr="00783DAC">
        <w:trPr>
          <w:trHeight w:val="465"/>
        </w:trPr>
        <w:tc>
          <w:tcPr>
            <w:tcW w:w="4161" w:type="dxa"/>
            <w:shd w:val="pct5" w:color="000000" w:fill="FFFFFF"/>
          </w:tcPr>
          <w:p w:rsidR="000571F6" w:rsidRPr="00C27D3B" w:rsidRDefault="000571F6" w:rsidP="0028709C">
            <w:pPr>
              <w:rPr>
                <w:rFonts w:ascii="Arial" w:hAnsi="Arial" w:cs="Arial"/>
                <w:b/>
                <w:sz w:val="22"/>
                <w:szCs w:val="22"/>
              </w:rPr>
            </w:pPr>
            <w:r w:rsidRPr="00C27D3B">
              <w:rPr>
                <w:rFonts w:ascii="Arial" w:hAnsi="Arial" w:cs="Arial"/>
                <w:b/>
                <w:sz w:val="22"/>
                <w:szCs w:val="22"/>
              </w:rPr>
              <w:t xml:space="preserve">Measure Equipment Cost ($/unit): </w:t>
            </w:r>
          </w:p>
        </w:tc>
        <w:tc>
          <w:tcPr>
            <w:tcW w:w="5487" w:type="dxa"/>
            <w:shd w:val="pct5" w:color="000000" w:fill="FFFFFF"/>
          </w:tcPr>
          <w:p w:rsidR="007B7F5E" w:rsidRPr="00C27D3B" w:rsidRDefault="00A84D4B" w:rsidP="007B7F5E">
            <w:pPr>
              <w:rPr>
                <w:rFonts w:ascii="Arial" w:hAnsi="Arial" w:cs="Arial"/>
                <w:sz w:val="20"/>
                <w:szCs w:val="20"/>
              </w:rPr>
            </w:pPr>
            <w:r w:rsidRPr="00C27D3B">
              <w:rPr>
                <w:rFonts w:ascii="Arial" w:hAnsi="Arial" w:cs="Arial"/>
                <w:sz w:val="20"/>
                <w:szCs w:val="20"/>
              </w:rPr>
              <w:t xml:space="preserve">Source:  </w:t>
            </w:r>
            <w:r w:rsidR="007B7F5E" w:rsidRPr="00C27D3B">
              <w:rPr>
                <w:rFonts w:ascii="Arial" w:hAnsi="Arial" w:cs="Arial"/>
                <w:sz w:val="20"/>
                <w:szCs w:val="20"/>
              </w:rPr>
              <w:t xml:space="preserve">PECI </w:t>
            </w:r>
          </w:p>
          <w:p w:rsidR="000571F6" w:rsidRPr="00C27D3B" w:rsidRDefault="00597F8C" w:rsidP="00597F8C">
            <w:pPr>
              <w:rPr>
                <w:rFonts w:ascii="Arial" w:hAnsi="Arial" w:cs="Arial"/>
                <w:sz w:val="20"/>
                <w:szCs w:val="20"/>
              </w:rPr>
            </w:pPr>
            <w:r w:rsidRPr="00C27D3B">
              <w:rPr>
                <w:rFonts w:ascii="Arial" w:hAnsi="Arial" w:cs="Arial"/>
                <w:sz w:val="20"/>
                <w:szCs w:val="20"/>
              </w:rPr>
              <w:t xml:space="preserve">REA: </w:t>
            </w:r>
            <w:r w:rsidR="00A84D4B" w:rsidRPr="00C27D3B">
              <w:rPr>
                <w:rFonts w:ascii="Arial" w:hAnsi="Arial" w:cs="Arial"/>
                <w:sz w:val="20"/>
                <w:szCs w:val="20"/>
              </w:rPr>
              <w:t xml:space="preserve"> </w:t>
            </w:r>
            <w:r w:rsidRPr="00C27D3B">
              <w:rPr>
                <w:rFonts w:ascii="Arial" w:hAnsi="Arial" w:cs="Arial"/>
                <w:sz w:val="20"/>
                <w:szCs w:val="20"/>
              </w:rPr>
              <w:t>$716.43</w:t>
            </w:r>
          </w:p>
        </w:tc>
      </w:tr>
      <w:tr w:rsidR="001E7CA0" w:rsidRPr="00783DAC" w:rsidTr="00783DAC">
        <w:trPr>
          <w:trHeight w:val="465"/>
        </w:trPr>
        <w:tc>
          <w:tcPr>
            <w:tcW w:w="4161" w:type="dxa"/>
            <w:shd w:val="pct20" w:color="000000" w:fill="FFFFFF"/>
          </w:tcPr>
          <w:p w:rsidR="001E7CA0" w:rsidRPr="00C27D3B" w:rsidRDefault="001E7CA0" w:rsidP="0028709C">
            <w:pPr>
              <w:rPr>
                <w:rFonts w:ascii="Arial" w:hAnsi="Arial" w:cs="Arial"/>
                <w:b/>
                <w:sz w:val="22"/>
                <w:szCs w:val="22"/>
              </w:rPr>
            </w:pPr>
            <w:r w:rsidRPr="00C27D3B">
              <w:rPr>
                <w:rFonts w:ascii="Arial" w:hAnsi="Arial" w:cs="Arial"/>
                <w:b/>
                <w:sz w:val="22"/>
                <w:szCs w:val="22"/>
              </w:rPr>
              <w:t>Gross Measure Cost ($/unit)</w:t>
            </w:r>
          </w:p>
        </w:tc>
        <w:tc>
          <w:tcPr>
            <w:tcW w:w="5487" w:type="dxa"/>
            <w:shd w:val="pct20" w:color="000000" w:fill="FFFFFF"/>
          </w:tcPr>
          <w:p w:rsidR="001E7CA0" w:rsidRPr="00C27D3B" w:rsidRDefault="00597F8C" w:rsidP="0028709C">
            <w:pPr>
              <w:rPr>
                <w:rFonts w:ascii="Arial" w:hAnsi="Arial" w:cs="Arial"/>
                <w:sz w:val="20"/>
                <w:szCs w:val="20"/>
              </w:rPr>
            </w:pPr>
            <w:r w:rsidRPr="00C27D3B">
              <w:rPr>
                <w:rFonts w:ascii="Arial" w:hAnsi="Arial" w:cs="Arial"/>
                <w:sz w:val="20"/>
                <w:szCs w:val="20"/>
              </w:rPr>
              <w:t>REA:  $815.38</w:t>
            </w:r>
          </w:p>
        </w:tc>
      </w:tr>
      <w:tr w:rsidR="000571F6" w:rsidRPr="00783DAC" w:rsidTr="00783DAC">
        <w:trPr>
          <w:trHeight w:val="465"/>
        </w:trPr>
        <w:tc>
          <w:tcPr>
            <w:tcW w:w="4161" w:type="dxa"/>
            <w:shd w:val="pct20" w:color="000000" w:fill="FFFFFF"/>
          </w:tcPr>
          <w:p w:rsidR="000571F6" w:rsidRPr="00C27D3B" w:rsidRDefault="000571F6" w:rsidP="0028709C">
            <w:pPr>
              <w:rPr>
                <w:rFonts w:ascii="Arial" w:hAnsi="Arial" w:cs="Arial"/>
                <w:b/>
                <w:sz w:val="22"/>
                <w:szCs w:val="22"/>
              </w:rPr>
            </w:pPr>
            <w:bookmarkStart w:id="5" w:name="OLE_LINK1"/>
            <w:r w:rsidRPr="00C27D3B">
              <w:rPr>
                <w:rFonts w:ascii="Arial" w:hAnsi="Arial" w:cs="Arial"/>
                <w:b/>
                <w:sz w:val="22"/>
                <w:szCs w:val="22"/>
              </w:rPr>
              <w:t xml:space="preserve">Measure Incremental Cost ($/unit): </w:t>
            </w:r>
            <w:bookmarkEnd w:id="5"/>
          </w:p>
        </w:tc>
        <w:tc>
          <w:tcPr>
            <w:tcW w:w="5487" w:type="dxa"/>
            <w:shd w:val="pct20" w:color="000000" w:fill="FFFFFF"/>
          </w:tcPr>
          <w:p w:rsidR="00D16E24" w:rsidRPr="00C27D3B" w:rsidRDefault="007B44FB" w:rsidP="0028709C">
            <w:pPr>
              <w:rPr>
                <w:rFonts w:ascii="Arial" w:hAnsi="Arial" w:cs="Arial"/>
                <w:sz w:val="20"/>
                <w:szCs w:val="20"/>
              </w:rPr>
            </w:pPr>
            <w:r w:rsidRPr="00C27D3B">
              <w:rPr>
                <w:rFonts w:ascii="Arial" w:hAnsi="Arial" w:cs="Arial"/>
                <w:sz w:val="20"/>
                <w:szCs w:val="20"/>
              </w:rPr>
              <w:t xml:space="preserve">Source:  </w:t>
            </w:r>
            <w:r w:rsidR="00597F8C" w:rsidRPr="00C27D3B">
              <w:rPr>
                <w:rFonts w:ascii="Arial" w:hAnsi="Arial" w:cs="Arial"/>
                <w:sz w:val="20"/>
                <w:szCs w:val="20"/>
              </w:rPr>
              <w:t>PECI</w:t>
            </w:r>
            <w:r w:rsidR="00D16E24" w:rsidRPr="00C27D3B">
              <w:rPr>
                <w:rFonts w:ascii="Arial" w:hAnsi="Arial" w:cs="Arial"/>
                <w:sz w:val="20"/>
                <w:szCs w:val="20"/>
              </w:rPr>
              <w:t xml:space="preserve">  </w:t>
            </w:r>
          </w:p>
          <w:p w:rsidR="00D16E24" w:rsidRPr="00C27D3B" w:rsidRDefault="00597F8C" w:rsidP="0028709C">
            <w:pPr>
              <w:rPr>
                <w:rFonts w:ascii="Arial" w:hAnsi="Arial" w:cs="Arial"/>
                <w:sz w:val="20"/>
                <w:szCs w:val="20"/>
              </w:rPr>
            </w:pPr>
            <w:r w:rsidRPr="00C27D3B">
              <w:rPr>
                <w:rFonts w:ascii="Arial" w:hAnsi="Arial" w:cs="Arial"/>
                <w:sz w:val="20"/>
                <w:szCs w:val="20"/>
              </w:rPr>
              <w:t>REA: $815.38</w:t>
            </w:r>
          </w:p>
        </w:tc>
      </w:tr>
      <w:tr w:rsidR="000571F6" w:rsidRPr="00783DAC" w:rsidTr="00783DAC">
        <w:trPr>
          <w:trHeight w:val="465"/>
        </w:trPr>
        <w:tc>
          <w:tcPr>
            <w:tcW w:w="4161" w:type="dxa"/>
            <w:shd w:val="pct5" w:color="000000" w:fill="FFFFFF"/>
          </w:tcPr>
          <w:p w:rsidR="000571F6" w:rsidRPr="00C27D3B" w:rsidRDefault="000571F6" w:rsidP="0028709C">
            <w:pPr>
              <w:rPr>
                <w:rFonts w:ascii="Arial" w:hAnsi="Arial" w:cs="Arial"/>
                <w:b/>
                <w:sz w:val="22"/>
                <w:szCs w:val="22"/>
              </w:rPr>
            </w:pPr>
            <w:r w:rsidRPr="00C27D3B">
              <w:rPr>
                <w:rFonts w:ascii="Arial" w:hAnsi="Arial" w:cs="Arial"/>
                <w:b/>
                <w:sz w:val="22"/>
                <w:szCs w:val="22"/>
              </w:rPr>
              <w:t xml:space="preserve">Effective Useful Life (years): </w:t>
            </w:r>
          </w:p>
        </w:tc>
        <w:tc>
          <w:tcPr>
            <w:tcW w:w="5487" w:type="dxa"/>
            <w:shd w:val="pct5" w:color="000000" w:fill="FFFFFF"/>
          </w:tcPr>
          <w:p w:rsidR="000571F6" w:rsidRPr="00C27D3B" w:rsidRDefault="00E03431" w:rsidP="00597F8C">
            <w:pPr>
              <w:rPr>
                <w:rFonts w:ascii="Arial" w:hAnsi="Arial" w:cs="Arial"/>
                <w:sz w:val="20"/>
                <w:szCs w:val="20"/>
              </w:rPr>
            </w:pPr>
            <w:r w:rsidRPr="00C27D3B">
              <w:rPr>
                <w:rFonts w:ascii="Arial" w:hAnsi="Arial" w:cs="Arial"/>
                <w:sz w:val="20"/>
                <w:szCs w:val="20"/>
              </w:rPr>
              <w:t xml:space="preserve">Source:  </w:t>
            </w:r>
            <w:r w:rsidR="00597F8C" w:rsidRPr="00C27D3B">
              <w:rPr>
                <w:rFonts w:ascii="Arial" w:hAnsi="Arial" w:cs="Arial"/>
                <w:sz w:val="20"/>
                <w:szCs w:val="20"/>
              </w:rPr>
              <w:t>PECI</w:t>
            </w:r>
            <w:r w:rsidRPr="00C27D3B">
              <w:rPr>
                <w:rFonts w:ascii="Arial" w:hAnsi="Arial" w:cs="Arial"/>
                <w:sz w:val="20"/>
                <w:szCs w:val="20"/>
              </w:rPr>
              <w:t xml:space="preserve"> </w:t>
            </w:r>
          </w:p>
          <w:p w:rsidR="00597F8C" w:rsidRPr="00C27D3B" w:rsidRDefault="00597F8C" w:rsidP="00597F8C">
            <w:pPr>
              <w:rPr>
                <w:rFonts w:ascii="Arial" w:hAnsi="Arial" w:cs="Arial"/>
                <w:sz w:val="20"/>
                <w:szCs w:val="20"/>
              </w:rPr>
            </w:pPr>
            <w:r w:rsidRPr="00C27D3B">
              <w:rPr>
                <w:rFonts w:ascii="Arial" w:hAnsi="Arial" w:cs="Arial"/>
                <w:sz w:val="20"/>
                <w:szCs w:val="20"/>
              </w:rPr>
              <w:t xml:space="preserve">REA: </w:t>
            </w:r>
            <w:r w:rsidR="00522A69" w:rsidRPr="00C27D3B">
              <w:rPr>
                <w:rFonts w:ascii="Arial" w:hAnsi="Arial" w:cs="Arial"/>
                <w:sz w:val="20"/>
                <w:szCs w:val="20"/>
              </w:rPr>
              <w:t>12 years</w:t>
            </w:r>
          </w:p>
        </w:tc>
      </w:tr>
      <w:tr w:rsidR="00530B04" w:rsidRPr="00783DAC" w:rsidTr="00783DAC">
        <w:trPr>
          <w:trHeight w:val="465"/>
        </w:trPr>
        <w:tc>
          <w:tcPr>
            <w:tcW w:w="4161" w:type="dxa"/>
            <w:shd w:val="pct20" w:color="000000" w:fill="FFFFFF"/>
          </w:tcPr>
          <w:p w:rsidR="00530B04" w:rsidRPr="00C27D3B" w:rsidRDefault="006D39A9" w:rsidP="0028709C">
            <w:pPr>
              <w:rPr>
                <w:rFonts w:ascii="Arial" w:hAnsi="Arial" w:cs="Arial"/>
                <w:b/>
                <w:sz w:val="22"/>
                <w:szCs w:val="22"/>
              </w:rPr>
            </w:pPr>
            <w:r w:rsidRPr="00C27D3B">
              <w:rPr>
                <w:rFonts w:ascii="Arial" w:hAnsi="Arial" w:cs="Arial"/>
                <w:b/>
                <w:sz w:val="22"/>
                <w:szCs w:val="22"/>
              </w:rPr>
              <w:t xml:space="preserve">Measure Application </w:t>
            </w:r>
            <w:r w:rsidR="00695ED2" w:rsidRPr="00C27D3B">
              <w:rPr>
                <w:rFonts w:ascii="Arial" w:hAnsi="Arial" w:cs="Arial"/>
                <w:b/>
                <w:sz w:val="22"/>
                <w:szCs w:val="22"/>
              </w:rPr>
              <w:t>Type:</w:t>
            </w:r>
          </w:p>
        </w:tc>
        <w:tc>
          <w:tcPr>
            <w:tcW w:w="5487" w:type="dxa"/>
            <w:shd w:val="pct20" w:color="000000" w:fill="FFFFFF"/>
          </w:tcPr>
          <w:p w:rsidR="00530B04" w:rsidRPr="00C27D3B" w:rsidRDefault="00AE2598" w:rsidP="00522A69">
            <w:pPr>
              <w:rPr>
                <w:rFonts w:ascii="Arial" w:hAnsi="Arial" w:cs="Arial"/>
                <w:sz w:val="20"/>
                <w:szCs w:val="20"/>
              </w:rPr>
            </w:pPr>
            <w:r w:rsidRPr="00C27D3B">
              <w:rPr>
                <w:rFonts w:ascii="Arial" w:hAnsi="Arial" w:cs="Arial"/>
                <w:sz w:val="20"/>
                <w:szCs w:val="20"/>
              </w:rPr>
              <w:t>Retrofit Add On</w:t>
            </w:r>
          </w:p>
        </w:tc>
      </w:tr>
      <w:tr w:rsidR="000571F6" w:rsidRPr="00783DAC" w:rsidTr="00783DAC">
        <w:trPr>
          <w:trHeight w:val="465"/>
        </w:trPr>
        <w:tc>
          <w:tcPr>
            <w:tcW w:w="4161" w:type="dxa"/>
            <w:shd w:val="pct5" w:color="000000" w:fill="FFFFFF"/>
          </w:tcPr>
          <w:p w:rsidR="000571F6" w:rsidRPr="00C27D3B" w:rsidRDefault="000571F6" w:rsidP="0028709C">
            <w:pPr>
              <w:rPr>
                <w:rFonts w:ascii="Arial" w:hAnsi="Arial" w:cs="Arial"/>
                <w:b/>
                <w:sz w:val="22"/>
                <w:szCs w:val="22"/>
              </w:rPr>
            </w:pPr>
            <w:r w:rsidRPr="00C27D3B">
              <w:rPr>
                <w:rFonts w:ascii="Arial" w:hAnsi="Arial" w:cs="Arial"/>
                <w:b/>
                <w:sz w:val="22"/>
                <w:szCs w:val="22"/>
              </w:rPr>
              <w:t xml:space="preserve">Net-to-Gross Ratios: </w:t>
            </w:r>
          </w:p>
        </w:tc>
        <w:tc>
          <w:tcPr>
            <w:tcW w:w="5487" w:type="dxa"/>
            <w:shd w:val="pct5" w:color="000000" w:fill="FFFFFF"/>
          </w:tcPr>
          <w:p w:rsidR="00522A69" w:rsidRPr="00C27D3B" w:rsidRDefault="00522A69" w:rsidP="00522A69">
            <w:pPr>
              <w:rPr>
                <w:rFonts w:ascii="Arial" w:hAnsi="Arial" w:cs="Arial"/>
                <w:sz w:val="20"/>
                <w:szCs w:val="20"/>
              </w:rPr>
            </w:pPr>
            <w:r w:rsidRPr="00C27D3B">
              <w:rPr>
                <w:rFonts w:ascii="Arial" w:hAnsi="Arial" w:cs="Arial"/>
                <w:sz w:val="20"/>
                <w:szCs w:val="20"/>
              </w:rPr>
              <w:t xml:space="preserve">Source: </w:t>
            </w:r>
            <w:r w:rsidR="004439D2">
              <w:rPr>
                <w:rFonts w:ascii="Arial" w:hAnsi="Arial" w:cs="Arial"/>
                <w:sz w:val="20"/>
                <w:szCs w:val="20"/>
              </w:rPr>
              <w:t>Deer2011_NTGR_2012-05-16</w:t>
            </w:r>
          </w:p>
          <w:p w:rsidR="00522A69" w:rsidRPr="00C27D3B" w:rsidRDefault="00522A69" w:rsidP="002655EC">
            <w:pPr>
              <w:rPr>
                <w:rFonts w:ascii="Arial" w:hAnsi="Arial" w:cs="Arial"/>
                <w:sz w:val="20"/>
                <w:szCs w:val="20"/>
              </w:rPr>
            </w:pPr>
            <w:r w:rsidRPr="00C27D3B">
              <w:rPr>
                <w:rFonts w:ascii="Arial" w:hAnsi="Arial" w:cs="Arial"/>
                <w:sz w:val="20"/>
                <w:szCs w:val="20"/>
              </w:rPr>
              <w:t>0.</w:t>
            </w:r>
            <w:r w:rsidR="00BD78F0">
              <w:rPr>
                <w:rFonts w:ascii="Arial" w:hAnsi="Arial" w:cs="Arial"/>
                <w:sz w:val="20"/>
                <w:szCs w:val="20"/>
              </w:rPr>
              <w:t>6</w:t>
            </w:r>
            <w:r w:rsidRPr="00C27D3B">
              <w:rPr>
                <w:rFonts w:ascii="Arial" w:hAnsi="Arial" w:cs="Arial"/>
                <w:sz w:val="20"/>
                <w:szCs w:val="20"/>
              </w:rPr>
              <w:t>0</w:t>
            </w:r>
          </w:p>
        </w:tc>
      </w:tr>
      <w:tr w:rsidR="00127CC8" w:rsidRPr="00783DAC" w:rsidTr="00783DAC">
        <w:trPr>
          <w:trHeight w:val="465"/>
        </w:trPr>
        <w:tc>
          <w:tcPr>
            <w:tcW w:w="4161" w:type="dxa"/>
            <w:shd w:val="pct20" w:color="000000" w:fill="FFFFFF"/>
          </w:tcPr>
          <w:p w:rsidR="00127CC8" w:rsidRPr="00C27D3B" w:rsidRDefault="00127CC8" w:rsidP="0028709C">
            <w:pPr>
              <w:rPr>
                <w:rFonts w:ascii="Arial" w:hAnsi="Arial" w:cs="Arial"/>
                <w:b/>
                <w:sz w:val="22"/>
                <w:szCs w:val="22"/>
              </w:rPr>
            </w:pPr>
            <w:r w:rsidRPr="00C27D3B">
              <w:rPr>
                <w:rFonts w:ascii="Arial" w:hAnsi="Arial" w:cs="Arial"/>
                <w:b/>
                <w:sz w:val="22"/>
                <w:szCs w:val="22"/>
              </w:rPr>
              <w:t>Important Comments:</w:t>
            </w:r>
          </w:p>
        </w:tc>
        <w:tc>
          <w:tcPr>
            <w:tcW w:w="5487" w:type="dxa"/>
            <w:shd w:val="pct20" w:color="000000" w:fill="FFFFFF"/>
          </w:tcPr>
          <w:p w:rsidR="00CD6046" w:rsidRPr="00783DAC" w:rsidRDefault="00CD6046" w:rsidP="0028709C">
            <w:pPr>
              <w:rPr>
                <w:sz w:val="20"/>
                <w:szCs w:val="20"/>
              </w:rPr>
            </w:pPr>
          </w:p>
        </w:tc>
      </w:tr>
    </w:tbl>
    <w:p w:rsidR="007C62F7" w:rsidRDefault="007C62F7" w:rsidP="00537B0D">
      <w:pPr>
        <w:keepNext/>
        <w:outlineLvl w:val="0"/>
        <w:rPr>
          <w:rFonts w:ascii="Arial" w:hAnsi="Arial" w:cs="Arial"/>
          <w:b/>
          <w:bCs/>
          <w:sz w:val="32"/>
          <w:szCs w:val="32"/>
        </w:rPr>
        <w:sectPr w:rsidR="007C62F7" w:rsidSect="00183B80">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720" w:right="1440" w:bottom="1440" w:left="1440" w:header="720" w:footer="720" w:gutter="0"/>
          <w:pgNumType w:fmt="lowerRoman"/>
          <w:cols w:space="720"/>
          <w:docGrid w:linePitch="360"/>
        </w:sectPr>
      </w:pPr>
    </w:p>
    <w:p w:rsidR="00183B80" w:rsidRDefault="00183B80" w:rsidP="00537B0D">
      <w:pPr>
        <w:keepNext/>
        <w:outlineLvl w:val="0"/>
        <w:rPr>
          <w:rFonts w:ascii="Arial" w:hAnsi="Arial" w:cs="Arial"/>
          <w:b/>
          <w:bCs/>
          <w:sz w:val="32"/>
          <w:szCs w:val="32"/>
        </w:rPr>
        <w:sectPr w:rsidR="00183B80" w:rsidSect="007C62F7">
          <w:endnotePr>
            <w:numFmt w:val="decimal"/>
          </w:endnotePr>
          <w:type w:val="continuous"/>
          <w:pgSz w:w="12240" w:h="15840"/>
          <w:pgMar w:top="720" w:right="1440" w:bottom="1440" w:left="1440" w:header="720" w:footer="720" w:gutter="0"/>
          <w:pgNumType w:fmt="lowerRoman"/>
          <w:cols w:space="720"/>
          <w:docGrid w:linePitch="360"/>
        </w:sectPr>
      </w:pPr>
    </w:p>
    <w:p w:rsidR="005D548C" w:rsidRDefault="005D548C" w:rsidP="005D548C">
      <w:pPr>
        <w:pStyle w:val="Heading1"/>
      </w:pPr>
      <w:bookmarkStart w:id="6" w:name="_Toc342311739"/>
      <w:bookmarkStart w:id="7" w:name="_Toc383441980"/>
      <w:bookmarkStart w:id="8" w:name="_Toc390349979"/>
      <w:r>
        <w:lastRenderedPageBreak/>
        <w:t>Work Paper Approvals</w:t>
      </w:r>
      <w:bookmarkEnd w:id="6"/>
      <w:bookmarkEnd w:id="7"/>
      <w:bookmarkEnd w:id="8"/>
    </w:p>
    <w:p w:rsidR="005D548C" w:rsidRDefault="005D548C" w:rsidP="005D548C">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5D548C" w:rsidTr="005E02C0">
        <w:tc>
          <w:tcPr>
            <w:tcW w:w="5000" w:type="pct"/>
            <w:tcMar>
              <w:top w:w="0" w:type="dxa"/>
              <w:left w:w="108" w:type="dxa"/>
              <w:bottom w:w="0" w:type="dxa"/>
              <w:right w:w="108" w:type="dxa"/>
            </w:tcMar>
          </w:tcPr>
          <w:p w:rsidR="005D548C" w:rsidRDefault="005D548C" w:rsidP="005E02C0">
            <w:pPr>
              <w:rPr>
                <w:rFonts w:eastAsiaTheme="minorHAnsi" w:cs="Arial"/>
                <w:szCs w:val="22"/>
              </w:rPr>
            </w:pPr>
          </w:p>
        </w:tc>
      </w:tr>
      <w:tr w:rsidR="005D548C" w:rsidTr="005E02C0">
        <w:tc>
          <w:tcPr>
            <w:tcW w:w="5000" w:type="pct"/>
            <w:tcMar>
              <w:top w:w="0" w:type="dxa"/>
              <w:left w:w="108" w:type="dxa"/>
              <w:bottom w:w="0" w:type="dxa"/>
              <w:right w:w="108" w:type="dxa"/>
            </w:tcMar>
            <w:hideMark/>
          </w:tcPr>
          <w:p w:rsidR="005D548C" w:rsidRPr="00A002BD" w:rsidRDefault="005D548C" w:rsidP="005E02C0">
            <w:pPr>
              <w:rPr>
                <w:rFonts w:eastAsiaTheme="minorHAnsi" w:cs="Arial"/>
                <w:b/>
                <w:bCs/>
                <w:szCs w:val="22"/>
              </w:rPr>
            </w:pPr>
            <w:r w:rsidRPr="00A002BD">
              <w:rPr>
                <w:rFonts w:cs="Arial"/>
                <w:b/>
                <w:bCs/>
                <w:szCs w:val="22"/>
              </w:rPr>
              <w:t>Grant Brohard</w:t>
            </w:r>
          </w:p>
          <w:p w:rsidR="005D548C" w:rsidRDefault="005D548C" w:rsidP="005E02C0">
            <w:pPr>
              <w:rPr>
                <w:rFonts w:eastAsiaTheme="minorHAnsi" w:cs="Arial"/>
                <w:szCs w:val="22"/>
              </w:rPr>
            </w:pPr>
            <w:r w:rsidRPr="00A002BD">
              <w:rPr>
                <w:rFonts w:cs="Arial"/>
                <w:szCs w:val="22"/>
              </w:rPr>
              <w:t>Manager, Technical Product Support</w:t>
            </w:r>
          </w:p>
        </w:tc>
      </w:tr>
      <w:tr w:rsidR="005D548C" w:rsidTr="005E02C0">
        <w:trPr>
          <w:trHeight w:val="918"/>
        </w:trPr>
        <w:tc>
          <w:tcPr>
            <w:tcW w:w="5000" w:type="pct"/>
            <w:tcMar>
              <w:top w:w="0" w:type="dxa"/>
              <w:left w:w="108" w:type="dxa"/>
              <w:bottom w:w="0" w:type="dxa"/>
              <w:right w:w="108" w:type="dxa"/>
            </w:tcMar>
          </w:tcPr>
          <w:p w:rsidR="005D548C" w:rsidRPr="00A002BD" w:rsidRDefault="005D548C" w:rsidP="005E02C0">
            <w:pPr>
              <w:rPr>
                <w:rFonts w:eastAsiaTheme="minorHAnsi" w:cs="Arial"/>
                <w:b/>
                <w:bCs/>
                <w:szCs w:val="22"/>
              </w:rPr>
            </w:pPr>
          </w:p>
          <w:p w:rsidR="005D548C" w:rsidRPr="00FF337E" w:rsidRDefault="005D548C" w:rsidP="005E02C0">
            <w:pPr>
              <w:rPr>
                <w:rFonts w:cs="Arial"/>
                <w:b/>
                <w:bCs/>
                <w:szCs w:val="22"/>
              </w:rPr>
            </w:pPr>
            <w:r w:rsidRPr="00FF337E">
              <w:rPr>
                <w:rFonts w:cs="Arial"/>
                <w:b/>
                <w:bCs/>
                <w:szCs w:val="22"/>
              </w:rPr>
              <w:t>Carolyn Weiner</w:t>
            </w:r>
          </w:p>
          <w:p w:rsidR="005D548C" w:rsidRPr="00A002BD" w:rsidRDefault="005D548C" w:rsidP="005E02C0">
            <w:pPr>
              <w:rPr>
                <w:rFonts w:cs="Arial"/>
                <w:szCs w:val="22"/>
              </w:rPr>
            </w:pPr>
            <w:r>
              <w:rPr>
                <w:rFonts w:cs="Arial"/>
                <w:szCs w:val="22"/>
              </w:rPr>
              <w:t>Principal</w:t>
            </w:r>
            <w:r w:rsidRPr="00A002BD">
              <w:rPr>
                <w:rFonts w:cs="Arial"/>
                <w:szCs w:val="22"/>
              </w:rPr>
              <w:t xml:space="preserve">, </w:t>
            </w:r>
            <w:r>
              <w:rPr>
                <w:rFonts w:cs="Arial"/>
                <w:szCs w:val="22"/>
              </w:rPr>
              <w:t>CES Products and Programs</w:t>
            </w:r>
            <w:r w:rsidRPr="00A002BD">
              <w:rPr>
                <w:rFonts w:cs="Arial"/>
                <w:szCs w:val="22"/>
              </w:rPr>
              <w:t xml:space="preserve"> </w:t>
            </w:r>
          </w:p>
          <w:p w:rsidR="005D548C" w:rsidRDefault="005D548C" w:rsidP="005E02C0">
            <w:pPr>
              <w:rPr>
                <w:rFonts w:eastAsiaTheme="minorHAnsi" w:cs="Arial"/>
                <w:szCs w:val="22"/>
              </w:rPr>
            </w:pPr>
          </w:p>
        </w:tc>
      </w:tr>
    </w:tbl>
    <w:p w:rsidR="009B2BDC" w:rsidRPr="007C62F7" w:rsidRDefault="009B2BDC" w:rsidP="007C62F7">
      <w:pPr>
        <w:sectPr w:rsidR="009B2BDC" w:rsidRPr="007C62F7" w:rsidSect="005D548C">
          <w:endnotePr>
            <w:numFmt w:val="decimal"/>
          </w:endnotePr>
          <w:pgSz w:w="12240" w:h="15840"/>
          <w:pgMar w:top="720" w:right="1440" w:bottom="1440" w:left="1440" w:header="720" w:footer="720" w:gutter="0"/>
          <w:pgNumType w:fmt="lowerRoman"/>
          <w:cols w:space="720"/>
          <w:docGrid w:linePitch="360"/>
        </w:sectPr>
      </w:pPr>
    </w:p>
    <w:p w:rsidR="00E71EF1" w:rsidRDefault="00E71EF1" w:rsidP="00E71EF1">
      <w:pPr>
        <w:pStyle w:val="Heading1"/>
      </w:pPr>
      <w:bookmarkStart w:id="9" w:name="_Toc387914043"/>
      <w:bookmarkStart w:id="10" w:name="_Toc390349980"/>
      <w:r>
        <w:lastRenderedPageBreak/>
        <w:t>Document Revision History</w:t>
      </w:r>
      <w:bookmarkEnd w:id="9"/>
      <w:bookmarkEnd w:id="10"/>
    </w:p>
    <w:p w:rsidR="00E91C15" w:rsidRDefault="00E91C15" w:rsidP="001A573F"/>
    <w:tbl>
      <w:tblPr>
        <w:tblW w:w="4944" w:type="pct"/>
        <w:tblInd w:w="108" w:type="dxa"/>
        <w:tblBorders>
          <w:insideH w:val="single" w:sz="18" w:space="0" w:color="FFFFFF"/>
          <w:insideV w:val="single" w:sz="18" w:space="0" w:color="FFFFFF"/>
        </w:tblBorders>
        <w:tblLook w:val="04A0" w:firstRow="1" w:lastRow="0" w:firstColumn="1" w:lastColumn="0" w:noHBand="0" w:noVBand="1"/>
      </w:tblPr>
      <w:tblGrid>
        <w:gridCol w:w="1350"/>
        <w:gridCol w:w="8"/>
        <w:gridCol w:w="2242"/>
        <w:gridCol w:w="42"/>
        <w:gridCol w:w="2915"/>
        <w:gridCol w:w="13"/>
        <w:gridCol w:w="2899"/>
      </w:tblGrid>
      <w:tr w:rsidR="00C27D3B" w:rsidRPr="00783DAC" w:rsidTr="00112B44">
        <w:trPr>
          <w:trHeight w:val="464"/>
        </w:trPr>
        <w:tc>
          <w:tcPr>
            <w:tcW w:w="717" w:type="pct"/>
            <w:gridSpan w:val="2"/>
            <w:tcBorders>
              <w:top w:val="single" w:sz="18" w:space="0" w:color="FFFFFF"/>
            </w:tcBorders>
            <w:shd w:val="pct20" w:color="000000" w:fill="FFFFFF"/>
          </w:tcPr>
          <w:p w:rsidR="00C27D3B" w:rsidRPr="00C27D3B" w:rsidRDefault="00C27D3B" w:rsidP="000374A5">
            <w:pPr>
              <w:jc w:val="center"/>
              <w:rPr>
                <w:rFonts w:ascii="Arial" w:hAnsi="Arial" w:cs="Arial"/>
                <w:b/>
                <w:bCs/>
                <w:sz w:val="22"/>
                <w:szCs w:val="22"/>
              </w:rPr>
            </w:pPr>
            <w:r w:rsidRPr="00C27D3B">
              <w:rPr>
                <w:rFonts w:ascii="Arial" w:hAnsi="Arial" w:cs="Arial"/>
                <w:b/>
                <w:bCs/>
                <w:sz w:val="22"/>
                <w:szCs w:val="22"/>
              </w:rPr>
              <w:t>Revision #</w:t>
            </w:r>
          </w:p>
        </w:tc>
        <w:tc>
          <w:tcPr>
            <w:tcW w:w="1206" w:type="pct"/>
            <w:gridSpan w:val="2"/>
            <w:tcBorders>
              <w:top w:val="single" w:sz="18" w:space="0" w:color="FFFFFF"/>
            </w:tcBorders>
            <w:shd w:val="pct20" w:color="000000" w:fill="FFFFFF"/>
          </w:tcPr>
          <w:p w:rsidR="00C27D3B" w:rsidRPr="00C27D3B" w:rsidRDefault="00C27D3B" w:rsidP="00183B80">
            <w:pPr>
              <w:rPr>
                <w:rFonts w:ascii="Arial" w:hAnsi="Arial" w:cs="Arial"/>
                <w:b/>
                <w:sz w:val="22"/>
                <w:szCs w:val="22"/>
              </w:rPr>
            </w:pPr>
            <w:r w:rsidRPr="00C27D3B">
              <w:rPr>
                <w:rFonts w:ascii="Arial" w:hAnsi="Arial" w:cs="Arial"/>
                <w:b/>
                <w:sz w:val="22"/>
                <w:szCs w:val="22"/>
              </w:rPr>
              <w:t>Revision Date</w:t>
            </w:r>
          </w:p>
        </w:tc>
        <w:tc>
          <w:tcPr>
            <w:tcW w:w="1539" w:type="pct"/>
            <w:tcBorders>
              <w:top w:val="single" w:sz="18" w:space="0" w:color="FFFFFF"/>
            </w:tcBorders>
            <w:shd w:val="pct20" w:color="000000" w:fill="FFFFFF"/>
          </w:tcPr>
          <w:p w:rsidR="00C27D3B" w:rsidRPr="00C27D3B" w:rsidRDefault="00C27D3B" w:rsidP="00183B80">
            <w:pPr>
              <w:rPr>
                <w:rFonts w:ascii="Arial" w:hAnsi="Arial" w:cs="Arial"/>
                <w:b/>
                <w:bCs/>
                <w:sz w:val="22"/>
                <w:szCs w:val="22"/>
              </w:rPr>
            </w:pPr>
            <w:r w:rsidRPr="00C27D3B">
              <w:rPr>
                <w:rFonts w:ascii="Arial" w:hAnsi="Arial" w:cs="Arial"/>
                <w:b/>
                <w:sz w:val="22"/>
                <w:szCs w:val="22"/>
              </w:rPr>
              <w:t>Section-by-Section Description of Revisions</w:t>
            </w:r>
          </w:p>
        </w:tc>
        <w:tc>
          <w:tcPr>
            <w:tcW w:w="1538" w:type="pct"/>
            <w:gridSpan w:val="2"/>
            <w:tcBorders>
              <w:top w:val="single" w:sz="18" w:space="0" w:color="FFFFFF"/>
            </w:tcBorders>
            <w:shd w:val="pct20" w:color="000000" w:fill="FFFFFF"/>
          </w:tcPr>
          <w:p w:rsidR="00C27D3B" w:rsidRPr="00C27D3B" w:rsidRDefault="00C27D3B" w:rsidP="00183B80">
            <w:pPr>
              <w:rPr>
                <w:rFonts w:ascii="Arial" w:hAnsi="Arial" w:cs="Arial"/>
                <w:b/>
                <w:bCs/>
                <w:sz w:val="22"/>
                <w:szCs w:val="22"/>
              </w:rPr>
            </w:pPr>
            <w:r w:rsidRPr="00C27D3B">
              <w:rPr>
                <w:rFonts w:ascii="Arial" w:hAnsi="Arial" w:cs="Arial"/>
                <w:b/>
                <w:sz w:val="22"/>
                <w:szCs w:val="22"/>
              </w:rPr>
              <w:t>Author (Company)</w:t>
            </w:r>
          </w:p>
        </w:tc>
      </w:tr>
      <w:tr w:rsidR="00183B80" w:rsidRPr="00C27D3B" w:rsidTr="00112B44">
        <w:trPr>
          <w:trHeight w:val="464"/>
        </w:trPr>
        <w:tc>
          <w:tcPr>
            <w:tcW w:w="717" w:type="pct"/>
            <w:gridSpan w:val="2"/>
            <w:tcBorders>
              <w:top w:val="single" w:sz="18" w:space="0" w:color="FFFFFF"/>
            </w:tcBorders>
            <w:shd w:val="pct20" w:color="000000" w:fill="FFFFFF"/>
          </w:tcPr>
          <w:p w:rsidR="00183B80" w:rsidRPr="00C27D3B" w:rsidRDefault="00183B80" w:rsidP="00C27D3B">
            <w:pPr>
              <w:rPr>
                <w:rFonts w:ascii="Arial" w:hAnsi="Arial" w:cs="Arial"/>
                <w:b/>
                <w:bCs/>
                <w:sz w:val="22"/>
                <w:szCs w:val="22"/>
              </w:rPr>
            </w:pPr>
            <w:r w:rsidRPr="00C27D3B">
              <w:rPr>
                <w:rFonts w:ascii="Arial" w:hAnsi="Arial" w:cs="Arial"/>
                <w:b/>
                <w:bCs/>
                <w:sz w:val="22"/>
                <w:szCs w:val="22"/>
              </w:rPr>
              <w:t>Revision 0</w:t>
            </w:r>
          </w:p>
        </w:tc>
        <w:tc>
          <w:tcPr>
            <w:tcW w:w="1206" w:type="pct"/>
            <w:gridSpan w:val="2"/>
            <w:tcBorders>
              <w:top w:val="single" w:sz="18" w:space="0" w:color="FFFFFF"/>
            </w:tcBorders>
            <w:shd w:val="pct20" w:color="000000" w:fill="FFFFFF"/>
          </w:tcPr>
          <w:p w:rsidR="00183B80" w:rsidRPr="00C27D3B" w:rsidRDefault="00183B80" w:rsidP="00183B80">
            <w:pPr>
              <w:rPr>
                <w:rFonts w:ascii="Arial" w:hAnsi="Arial" w:cs="Arial"/>
                <w:b/>
                <w:bCs/>
                <w:sz w:val="20"/>
                <w:szCs w:val="20"/>
              </w:rPr>
            </w:pPr>
            <w:r w:rsidRPr="00C27D3B">
              <w:rPr>
                <w:rFonts w:ascii="Arial" w:hAnsi="Arial" w:cs="Arial"/>
                <w:b/>
                <w:sz w:val="20"/>
                <w:szCs w:val="20"/>
              </w:rPr>
              <w:t>08/08/08</w:t>
            </w:r>
          </w:p>
        </w:tc>
        <w:tc>
          <w:tcPr>
            <w:tcW w:w="1539" w:type="pct"/>
            <w:tcBorders>
              <w:top w:val="single" w:sz="18" w:space="0" w:color="FFFFFF"/>
            </w:tcBorders>
            <w:shd w:val="pct20" w:color="000000" w:fill="FFFFFF"/>
          </w:tcPr>
          <w:p w:rsidR="00183B80" w:rsidRPr="00C27D3B" w:rsidRDefault="00183B80" w:rsidP="00183B80">
            <w:pPr>
              <w:rPr>
                <w:rFonts w:ascii="Arial" w:hAnsi="Arial" w:cs="Arial"/>
                <w:b/>
                <w:bCs/>
                <w:sz w:val="20"/>
                <w:szCs w:val="20"/>
              </w:rPr>
            </w:pPr>
            <w:r w:rsidRPr="00C27D3B">
              <w:rPr>
                <w:rFonts w:ascii="Arial" w:hAnsi="Arial" w:cs="Arial"/>
                <w:b/>
                <w:bCs/>
                <w:sz w:val="20"/>
                <w:szCs w:val="20"/>
              </w:rPr>
              <w:t>Original work paper</w:t>
            </w:r>
          </w:p>
        </w:tc>
        <w:tc>
          <w:tcPr>
            <w:tcW w:w="1538" w:type="pct"/>
            <w:gridSpan w:val="2"/>
            <w:tcBorders>
              <w:top w:val="single" w:sz="18" w:space="0" w:color="FFFFFF"/>
            </w:tcBorders>
            <w:shd w:val="pct20" w:color="000000" w:fill="FFFFFF"/>
          </w:tcPr>
          <w:p w:rsidR="00183B80" w:rsidRPr="00C27D3B" w:rsidRDefault="00183B80" w:rsidP="00183B80">
            <w:pPr>
              <w:rPr>
                <w:rFonts w:ascii="Arial" w:hAnsi="Arial" w:cs="Arial"/>
                <w:b/>
                <w:bCs/>
                <w:sz w:val="20"/>
                <w:szCs w:val="20"/>
              </w:rPr>
            </w:pPr>
            <w:r w:rsidRPr="00C27D3B">
              <w:rPr>
                <w:rFonts w:ascii="Arial" w:hAnsi="Arial" w:cs="Arial"/>
                <w:b/>
                <w:bCs/>
                <w:sz w:val="20"/>
                <w:szCs w:val="20"/>
              </w:rPr>
              <w:t>James Anthony (PECI)</w:t>
            </w:r>
            <w:r w:rsidRPr="00C27D3B">
              <w:rPr>
                <w:rFonts w:ascii="Arial" w:hAnsi="Arial" w:cs="Arial"/>
                <w:b/>
                <w:bCs/>
                <w:sz w:val="20"/>
                <w:szCs w:val="20"/>
                <w:highlight w:val="cyan"/>
              </w:rPr>
              <w:t xml:space="preserve">) </w:t>
            </w:r>
          </w:p>
        </w:tc>
      </w:tr>
      <w:tr w:rsidR="00183B80" w:rsidRPr="00C27D3B" w:rsidTr="00112B44">
        <w:trPr>
          <w:trHeight w:val="464"/>
        </w:trPr>
        <w:tc>
          <w:tcPr>
            <w:tcW w:w="717" w:type="pct"/>
            <w:gridSpan w:val="2"/>
            <w:shd w:val="pct5" w:color="000000" w:fill="FFFFFF"/>
          </w:tcPr>
          <w:p w:rsidR="00183B80" w:rsidRPr="00C27D3B" w:rsidRDefault="00183B80" w:rsidP="008948E0">
            <w:pPr>
              <w:rPr>
                <w:rFonts w:ascii="Arial" w:hAnsi="Arial" w:cs="Arial"/>
                <w:b/>
                <w:bCs/>
                <w:sz w:val="22"/>
                <w:szCs w:val="22"/>
              </w:rPr>
            </w:pPr>
            <w:r w:rsidRPr="00C27D3B">
              <w:rPr>
                <w:rFonts w:ascii="Arial" w:hAnsi="Arial" w:cs="Arial"/>
                <w:b/>
                <w:sz w:val="22"/>
                <w:szCs w:val="22"/>
              </w:rPr>
              <w:t>Revision 1</w:t>
            </w:r>
          </w:p>
        </w:tc>
        <w:tc>
          <w:tcPr>
            <w:tcW w:w="1206" w:type="pct"/>
            <w:gridSpan w:val="2"/>
            <w:shd w:val="pct5" w:color="000000" w:fill="FFFFFF"/>
          </w:tcPr>
          <w:p w:rsidR="00183B80" w:rsidRPr="00C27D3B" w:rsidRDefault="00183B80" w:rsidP="00183B80">
            <w:pPr>
              <w:rPr>
                <w:rFonts w:ascii="Arial" w:hAnsi="Arial" w:cs="Arial"/>
                <w:b/>
                <w:bCs/>
                <w:sz w:val="20"/>
                <w:szCs w:val="20"/>
                <w:highlight w:val="yellow"/>
              </w:rPr>
            </w:pPr>
            <w:r w:rsidRPr="00C27D3B">
              <w:rPr>
                <w:rFonts w:ascii="Arial" w:hAnsi="Arial" w:cs="Arial"/>
                <w:b/>
                <w:sz w:val="20"/>
                <w:szCs w:val="20"/>
              </w:rPr>
              <w:t>09/18/08</w:t>
            </w:r>
          </w:p>
        </w:tc>
        <w:tc>
          <w:tcPr>
            <w:tcW w:w="1539" w:type="pct"/>
            <w:shd w:val="pct5" w:color="000000" w:fill="FFFFFF"/>
          </w:tcPr>
          <w:p w:rsidR="00183B80" w:rsidRPr="00C27D3B" w:rsidRDefault="00183B80" w:rsidP="00522A69">
            <w:pPr>
              <w:rPr>
                <w:rFonts w:ascii="Arial" w:hAnsi="Arial" w:cs="Arial"/>
                <w:b/>
                <w:bCs/>
                <w:sz w:val="20"/>
                <w:szCs w:val="20"/>
              </w:rPr>
            </w:pPr>
            <w:r w:rsidRPr="00C27D3B">
              <w:rPr>
                <w:rFonts w:ascii="Arial" w:hAnsi="Arial" w:cs="Arial"/>
                <w:b/>
                <w:sz w:val="20"/>
                <w:szCs w:val="20"/>
              </w:rPr>
              <w:t>Added clear</w:t>
            </w:r>
            <w:r w:rsidR="00522A69" w:rsidRPr="00C27D3B">
              <w:rPr>
                <w:rFonts w:ascii="Arial" w:hAnsi="Arial" w:cs="Arial"/>
                <w:b/>
                <w:sz w:val="20"/>
                <w:szCs w:val="20"/>
              </w:rPr>
              <w:t>er</w:t>
            </w:r>
            <w:r w:rsidRPr="00C27D3B">
              <w:rPr>
                <w:rFonts w:ascii="Arial" w:hAnsi="Arial" w:cs="Arial"/>
                <w:b/>
                <w:sz w:val="20"/>
                <w:szCs w:val="20"/>
              </w:rPr>
              <w:t xml:space="preserve"> language regarding costs.</w:t>
            </w:r>
          </w:p>
        </w:tc>
        <w:tc>
          <w:tcPr>
            <w:tcW w:w="1538" w:type="pct"/>
            <w:gridSpan w:val="2"/>
            <w:shd w:val="pct5" w:color="000000" w:fill="FFFFFF"/>
          </w:tcPr>
          <w:p w:rsidR="00183B80" w:rsidRPr="00C27D3B" w:rsidRDefault="00183B80" w:rsidP="00183B80">
            <w:pPr>
              <w:rPr>
                <w:rFonts w:ascii="Arial" w:hAnsi="Arial" w:cs="Arial"/>
                <w:b/>
                <w:bCs/>
                <w:sz w:val="20"/>
                <w:szCs w:val="20"/>
              </w:rPr>
            </w:pPr>
            <w:r w:rsidRPr="00C27D3B">
              <w:rPr>
                <w:rFonts w:ascii="Arial" w:hAnsi="Arial" w:cs="Arial"/>
                <w:b/>
                <w:bCs/>
                <w:sz w:val="20"/>
                <w:szCs w:val="20"/>
              </w:rPr>
              <w:t>James Anthony (PECI)</w:t>
            </w:r>
          </w:p>
        </w:tc>
      </w:tr>
      <w:tr w:rsidR="00112B44" w:rsidRPr="00C27D3B" w:rsidTr="00112B44">
        <w:trPr>
          <w:trHeight w:val="464"/>
        </w:trPr>
        <w:tc>
          <w:tcPr>
            <w:tcW w:w="717" w:type="pct"/>
            <w:gridSpan w:val="2"/>
            <w:shd w:val="pct5" w:color="000000" w:fill="FFFFFF"/>
          </w:tcPr>
          <w:p w:rsidR="00112B44" w:rsidRPr="00C27D3B" w:rsidRDefault="00112B44" w:rsidP="00C52450">
            <w:pPr>
              <w:rPr>
                <w:rFonts w:ascii="Arial" w:hAnsi="Arial" w:cs="Arial"/>
                <w:b/>
                <w:bCs/>
                <w:sz w:val="20"/>
                <w:szCs w:val="20"/>
              </w:rPr>
            </w:pPr>
            <w:r w:rsidRPr="00C27D3B">
              <w:rPr>
                <w:rFonts w:ascii="Arial" w:hAnsi="Arial" w:cs="Arial"/>
                <w:b/>
                <w:bCs/>
                <w:sz w:val="22"/>
                <w:szCs w:val="20"/>
              </w:rPr>
              <w:t>Revision 2</w:t>
            </w:r>
          </w:p>
        </w:tc>
        <w:tc>
          <w:tcPr>
            <w:tcW w:w="1206" w:type="pct"/>
            <w:gridSpan w:val="2"/>
            <w:shd w:val="pct5" w:color="000000" w:fill="FFFFFF"/>
          </w:tcPr>
          <w:p w:rsidR="00112B44" w:rsidRPr="00C27D3B" w:rsidRDefault="00112B44" w:rsidP="00C52450">
            <w:pPr>
              <w:rPr>
                <w:rFonts w:ascii="Arial" w:hAnsi="Arial" w:cs="Arial"/>
                <w:b/>
                <w:bCs/>
                <w:sz w:val="20"/>
                <w:szCs w:val="20"/>
              </w:rPr>
            </w:pPr>
            <w:r w:rsidRPr="00C27D3B">
              <w:rPr>
                <w:rFonts w:ascii="Arial" w:hAnsi="Arial" w:cs="Arial"/>
                <w:b/>
                <w:bCs/>
                <w:sz w:val="20"/>
                <w:szCs w:val="20"/>
              </w:rPr>
              <w:t>06/12/12</w:t>
            </w:r>
          </w:p>
        </w:tc>
        <w:tc>
          <w:tcPr>
            <w:tcW w:w="1539" w:type="pct"/>
            <w:shd w:val="pct5" w:color="000000" w:fill="FFFFFF"/>
          </w:tcPr>
          <w:p w:rsidR="00112B44" w:rsidRPr="00C27D3B" w:rsidRDefault="00112B44" w:rsidP="00C52450">
            <w:pPr>
              <w:rPr>
                <w:rFonts w:ascii="Arial" w:hAnsi="Arial" w:cs="Arial"/>
                <w:b/>
                <w:bCs/>
                <w:sz w:val="20"/>
                <w:szCs w:val="20"/>
              </w:rPr>
            </w:pPr>
            <w:r w:rsidRPr="00C27D3B">
              <w:rPr>
                <w:rFonts w:ascii="Arial" w:hAnsi="Arial" w:cs="Arial"/>
                <w:b/>
                <w:bCs/>
                <w:sz w:val="20"/>
                <w:szCs w:val="20"/>
              </w:rPr>
              <w:t>Update to incorporate new work paper format.</w:t>
            </w:r>
          </w:p>
          <w:p w:rsidR="00112B44" w:rsidRPr="00C27D3B" w:rsidRDefault="00112B44" w:rsidP="00C52450">
            <w:pPr>
              <w:rPr>
                <w:rFonts w:ascii="Arial" w:hAnsi="Arial" w:cs="Arial"/>
                <w:b/>
                <w:bCs/>
                <w:sz w:val="20"/>
                <w:szCs w:val="20"/>
              </w:rPr>
            </w:pPr>
            <w:r w:rsidRPr="00C27D3B">
              <w:rPr>
                <w:rFonts w:ascii="Arial" w:hAnsi="Arial" w:cs="Arial"/>
                <w:b/>
                <w:bCs/>
                <w:sz w:val="20"/>
                <w:szCs w:val="20"/>
              </w:rPr>
              <w:t>Update calculation to reflect new EER and FLH value and methodology.</w:t>
            </w:r>
          </w:p>
          <w:p w:rsidR="00112B44" w:rsidRPr="00C27D3B" w:rsidRDefault="00112B44" w:rsidP="00C52450">
            <w:pPr>
              <w:rPr>
                <w:rFonts w:ascii="Arial" w:hAnsi="Arial" w:cs="Arial"/>
                <w:b/>
                <w:bCs/>
                <w:sz w:val="20"/>
                <w:szCs w:val="20"/>
              </w:rPr>
            </w:pPr>
            <w:r w:rsidRPr="00C27D3B">
              <w:rPr>
                <w:rFonts w:ascii="Arial" w:hAnsi="Arial" w:cs="Arial"/>
                <w:b/>
                <w:bCs/>
                <w:sz w:val="20"/>
                <w:szCs w:val="20"/>
              </w:rPr>
              <w:t>Update calculations to have separate baseline for standard motors and energy efficient motors.</w:t>
            </w:r>
          </w:p>
        </w:tc>
        <w:tc>
          <w:tcPr>
            <w:tcW w:w="1538" w:type="pct"/>
            <w:gridSpan w:val="2"/>
            <w:shd w:val="pct5" w:color="000000" w:fill="FFFFFF"/>
          </w:tcPr>
          <w:p w:rsidR="00112B44" w:rsidRPr="00C27D3B" w:rsidRDefault="00112B44" w:rsidP="00C52450">
            <w:pPr>
              <w:rPr>
                <w:rFonts w:ascii="Arial" w:hAnsi="Arial" w:cs="Arial"/>
                <w:b/>
                <w:bCs/>
                <w:sz w:val="20"/>
                <w:szCs w:val="20"/>
              </w:rPr>
            </w:pPr>
            <w:r w:rsidRPr="00C27D3B">
              <w:rPr>
                <w:rFonts w:ascii="Arial" w:hAnsi="Arial" w:cs="Arial"/>
                <w:b/>
                <w:bCs/>
                <w:sz w:val="20"/>
                <w:szCs w:val="20"/>
              </w:rPr>
              <w:t xml:space="preserve">James Anthony, P.E, </w:t>
            </w:r>
          </w:p>
          <w:p w:rsidR="00112B44" w:rsidRPr="00C27D3B" w:rsidRDefault="00112B44" w:rsidP="00C52450">
            <w:pPr>
              <w:rPr>
                <w:rFonts w:ascii="Arial" w:hAnsi="Arial" w:cs="Arial"/>
                <w:b/>
                <w:bCs/>
                <w:sz w:val="20"/>
                <w:szCs w:val="20"/>
              </w:rPr>
            </w:pPr>
            <w:r w:rsidRPr="00C27D3B">
              <w:rPr>
                <w:rFonts w:ascii="Arial" w:hAnsi="Arial" w:cs="Arial"/>
                <w:b/>
                <w:bCs/>
                <w:sz w:val="20"/>
                <w:szCs w:val="20"/>
              </w:rPr>
              <w:t>Engineering Manager</w:t>
            </w:r>
          </w:p>
          <w:p w:rsidR="00112B44" w:rsidRPr="00C27D3B" w:rsidRDefault="00112B44" w:rsidP="00C52450">
            <w:pPr>
              <w:rPr>
                <w:rFonts w:ascii="Arial" w:hAnsi="Arial" w:cs="Arial"/>
                <w:b/>
                <w:bCs/>
                <w:sz w:val="20"/>
                <w:szCs w:val="20"/>
              </w:rPr>
            </w:pPr>
            <w:r w:rsidRPr="00C27D3B">
              <w:rPr>
                <w:rFonts w:ascii="Arial" w:hAnsi="Arial" w:cs="Arial"/>
                <w:b/>
                <w:bCs/>
                <w:sz w:val="20"/>
                <w:szCs w:val="20"/>
              </w:rPr>
              <w:t>(PECI)</w:t>
            </w:r>
          </w:p>
        </w:tc>
      </w:tr>
      <w:tr w:rsidR="00112B44" w:rsidRPr="00C27D3B" w:rsidTr="00112B44">
        <w:tblPrEx>
          <w:tblBorders>
            <w:left w:val="single" w:sz="18" w:space="0" w:color="auto"/>
            <w:insideH w:val="none" w:sz="0" w:space="0" w:color="auto"/>
            <w:insideV w:val="none" w:sz="0" w:space="0" w:color="auto"/>
          </w:tblBorders>
        </w:tblPrEx>
        <w:trPr>
          <w:trHeight w:val="464"/>
        </w:trPr>
        <w:tc>
          <w:tcPr>
            <w:tcW w:w="713" w:type="pct"/>
            <w:tcBorders>
              <w:top w:val="single" w:sz="18" w:space="0" w:color="FFFFFF"/>
              <w:left w:val="nil"/>
              <w:bottom w:val="nil"/>
              <w:right w:val="single" w:sz="18" w:space="0" w:color="FFFFFF"/>
            </w:tcBorders>
            <w:shd w:val="clear" w:color="auto" w:fill="BFBFBF"/>
          </w:tcPr>
          <w:p w:rsidR="00112B44" w:rsidRPr="00C27D3B" w:rsidRDefault="00112B44" w:rsidP="00C52450">
            <w:pPr>
              <w:rPr>
                <w:rFonts w:ascii="Arial" w:hAnsi="Arial" w:cs="Arial"/>
                <w:b/>
                <w:bCs/>
                <w:sz w:val="22"/>
                <w:szCs w:val="20"/>
              </w:rPr>
            </w:pPr>
            <w:r>
              <w:rPr>
                <w:rFonts w:ascii="Arial" w:hAnsi="Arial" w:cs="Arial"/>
                <w:b/>
                <w:bCs/>
                <w:sz w:val="22"/>
                <w:szCs w:val="20"/>
              </w:rPr>
              <w:t>Revision 3</w:t>
            </w:r>
          </w:p>
        </w:tc>
        <w:tc>
          <w:tcPr>
            <w:tcW w:w="1188" w:type="pct"/>
            <w:gridSpan w:val="2"/>
            <w:tcBorders>
              <w:top w:val="single" w:sz="18" w:space="0" w:color="FFFFFF"/>
              <w:left w:val="single" w:sz="18" w:space="0" w:color="FFFFFF"/>
              <w:bottom w:val="nil"/>
              <w:right w:val="single" w:sz="18" w:space="0" w:color="FFFFFF"/>
            </w:tcBorders>
            <w:shd w:val="clear" w:color="auto" w:fill="BFBFBF"/>
          </w:tcPr>
          <w:p w:rsidR="00112B44" w:rsidRPr="00C27D3B" w:rsidRDefault="00112B44" w:rsidP="00C52450">
            <w:pPr>
              <w:rPr>
                <w:rFonts w:ascii="Arial" w:hAnsi="Arial" w:cs="Arial"/>
                <w:b/>
                <w:bCs/>
                <w:sz w:val="20"/>
                <w:szCs w:val="20"/>
              </w:rPr>
            </w:pPr>
            <w:r>
              <w:rPr>
                <w:rFonts w:ascii="Arial" w:hAnsi="Arial" w:cs="Arial"/>
                <w:b/>
                <w:bCs/>
                <w:sz w:val="20"/>
                <w:szCs w:val="20"/>
              </w:rPr>
              <w:t>04/28/14</w:t>
            </w:r>
          </w:p>
        </w:tc>
        <w:tc>
          <w:tcPr>
            <w:tcW w:w="1568" w:type="pct"/>
            <w:gridSpan w:val="3"/>
            <w:tcBorders>
              <w:top w:val="single" w:sz="18" w:space="0" w:color="FFFFFF"/>
              <w:left w:val="single" w:sz="18" w:space="0" w:color="FFFFFF"/>
              <w:bottom w:val="nil"/>
              <w:right w:val="nil"/>
            </w:tcBorders>
            <w:shd w:val="clear" w:color="auto" w:fill="BFBFBF"/>
          </w:tcPr>
          <w:p w:rsidR="00112B44" w:rsidRPr="00C27D3B" w:rsidRDefault="00112B44" w:rsidP="00C52450">
            <w:pPr>
              <w:rPr>
                <w:rFonts w:ascii="Arial" w:hAnsi="Arial" w:cs="Arial"/>
                <w:b/>
                <w:bCs/>
                <w:sz w:val="20"/>
                <w:szCs w:val="20"/>
              </w:rPr>
            </w:pPr>
            <w:r>
              <w:rPr>
                <w:rFonts w:ascii="Arial" w:hAnsi="Arial" w:cs="Arial"/>
                <w:b/>
                <w:bCs/>
                <w:sz w:val="20"/>
                <w:szCs w:val="20"/>
              </w:rPr>
              <w:t>Updated formatting per PG&amp;E guidelines</w:t>
            </w:r>
          </w:p>
        </w:tc>
        <w:tc>
          <w:tcPr>
            <w:tcW w:w="1531" w:type="pct"/>
            <w:tcBorders>
              <w:top w:val="single" w:sz="18" w:space="0" w:color="FFFFFF"/>
              <w:left w:val="single" w:sz="18" w:space="0" w:color="FFFFFF"/>
              <w:bottom w:val="nil"/>
              <w:right w:val="nil"/>
            </w:tcBorders>
            <w:shd w:val="clear" w:color="auto" w:fill="BFBFBF"/>
          </w:tcPr>
          <w:p w:rsidR="00112B44" w:rsidRDefault="00C74DB6" w:rsidP="00C52450">
            <w:pPr>
              <w:rPr>
                <w:rFonts w:ascii="Arial" w:hAnsi="Arial" w:cs="Arial"/>
                <w:b/>
                <w:bCs/>
                <w:sz w:val="20"/>
                <w:szCs w:val="20"/>
              </w:rPr>
            </w:pPr>
            <w:r>
              <w:rPr>
                <w:rFonts w:ascii="Arial" w:hAnsi="Arial" w:cs="Arial"/>
                <w:b/>
                <w:bCs/>
                <w:sz w:val="20"/>
                <w:szCs w:val="20"/>
              </w:rPr>
              <w:t xml:space="preserve">Danielle Geers, </w:t>
            </w:r>
            <w:r w:rsidR="00112B44">
              <w:rPr>
                <w:rFonts w:ascii="Arial" w:hAnsi="Arial" w:cs="Arial"/>
                <w:b/>
                <w:bCs/>
                <w:sz w:val="20"/>
                <w:szCs w:val="20"/>
              </w:rPr>
              <w:t>PECI</w:t>
            </w:r>
          </w:p>
          <w:p w:rsidR="00C74DB6" w:rsidRPr="00C27D3B" w:rsidRDefault="00C74DB6" w:rsidP="00C52450">
            <w:pPr>
              <w:rPr>
                <w:rFonts w:ascii="Arial" w:hAnsi="Arial" w:cs="Arial"/>
                <w:b/>
                <w:bCs/>
                <w:sz w:val="20"/>
                <w:szCs w:val="20"/>
              </w:rPr>
            </w:pPr>
            <w:r>
              <w:rPr>
                <w:rFonts w:ascii="Arial" w:hAnsi="Arial" w:cs="Arial"/>
                <w:b/>
                <w:bCs/>
                <w:sz w:val="20"/>
                <w:szCs w:val="20"/>
              </w:rPr>
              <w:t>Jason Ochs, PECI</w:t>
            </w:r>
          </w:p>
        </w:tc>
      </w:tr>
    </w:tbl>
    <w:p w:rsidR="00E71EF1" w:rsidRPr="004E2A81" w:rsidRDefault="00E71EF1" w:rsidP="00F55847">
      <w:pPr>
        <w:pStyle w:val="Heading1"/>
      </w:pPr>
      <w:bookmarkStart w:id="11" w:name="_Toc186621650"/>
      <w:bookmarkStart w:id="12" w:name="_Toc304800197"/>
      <w:r w:rsidRPr="00C27D3B">
        <w:br w:type="page"/>
      </w:r>
      <w:bookmarkStart w:id="13" w:name="_Toc387914044"/>
      <w:bookmarkStart w:id="14" w:name="_Toc390349981"/>
      <w:r w:rsidR="001248A3" w:rsidRPr="004E2A81">
        <w:lastRenderedPageBreak/>
        <w:t>Table</w:t>
      </w:r>
      <w:r w:rsidR="006559C8" w:rsidRPr="004E2A81">
        <w:t xml:space="preserve"> of Contents</w:t>
      </w:r>
      <w:bookmarkEnd w:id="11"/>
      <w:bookmarkEnd w:id="12"/>
      <w:bookmarkEnd w:id="13"/>
      <w:bookmarkEnd w:id="14"/>
    </w:p>
    <w:p w:rsidR="005E02C0" w:rsidRDefault="00137DDC">
      <w:pPr>
        <w:pStyle w:val="TOC1"/>
        <w:tabs>
          <w:tab w:val="right" w:leader="dot" w:pos="9350"/>
        </w:tabs>
        <w:rPr>
          <w:rFonts w:asciiTheme="minorHAnsi" w:eastAsiaTheme="minorEastAsia" w:hAnsiTheme="minorHAnsi" w:cstheme="minorBidi"/>
          <w:noProof/>
          <w:szCs w:val="22"/>
        </w:rPr>
      </w:pPr>
      <w:r>
        <w:rPr>
          <w:szCs w:val="22"/>
        </w:rPr>
        <w:fldChar w:fldCharType="begin"/>
      </w:r>
      <w:r>
        <w:rPr>
          <w:szCs w:val="22"/>
        </w:rPr>
        <w:instrText xml:space="preserve"> TOC \o "1-3" \h \z \u </w:instrText>
      </w:r>
      <w:r>
        <w:rPr>
          <w:szCs w:val="22"/>
        </w:rPr>
        <w:fldChar w:fldCharType="separate"/>
      </w:r>
      <w:hyperlink w:anchor="_Toc390349978" w:history="1">
        <w:r w:rsidR="005E02C0" w:rsidRPr="007C6939">
          <w:rPr>
            <w:rStyle w:val="Hyperlink"/>
            <w:noProof/>
          </w:rPr>
          <w:t>At-a-Glance Summary</w:t>
        </w:r>
        <w:r w:rsidR="005E02C0">
          <w:rPr>
            <w:noProof/>
            <w:webHidden/>
          </w:rPr>
          <w:tab/>
        </w:r>
        <w:r w:rsidR="005E02C0">
          <w:rPr>
            <w:noProof/>
            <w:webHidden/>
          </w:rPr>
          <w:fldChar w:fldCharType="begin"/>
        </w:r>
        <w:r w:rsidR="005E02C0">
          <w:rPr>
            <w:noProof/>
            <w:webHidden/>
          </w:rPr>
          <w:instrText xml:space="preserve"> PAGEREF _Toc390349978 \h </w:instrText>
        </w:r>
        <w:r w:rsidR="005E02C0">
          <w:rPr>
            <w:noProof/>
            <w:webHidden/>
          </w:rPr>
        </w:r>
        <w:r w:rsidR="005E02C0">
          <w:rPr>
            <w:noProof/>
            <w:webHidden/>
          </w:rPr>
          <w:fldChar w:fldCharType="separate"/>
        </w:r>
        <w:r w:rsidR="005E02C0">
          <w:rPr>
            <w:noProof/>
            <w:webHidden/>
          </w:rPr>
          <w:t>ii</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79" w:history="1">
        <w:r w:rsidR="005E02C0" w:rsidRPr="007C6939">
          <w:rPr>
            <w:rStyle w:val="Hyperlink"/>
            <w:noProof/>
          </w:rPr>
          <w:t>Work Paper Approvals</w:t>
        </w:r>
        <w:r w:rsidR="005E02C0">
          <w:rPr>
            <w:noProof/>
            <w:webHidden/>
          </w:rPr>
          <w:tab/>
        </w:r>
        <w:r w:rsidR="005E02C0">
          <w:rPr>
            <w:noProof/>
            <w:webHidden/>
          </w:rPr>
          <w:fldChar w:fldCharType="begin"/>
        </w:r>
        <w:r w:rsidR="005E02C0">
          <w:rPr>
            <w:noProof/>
            <w:webHidden/>
          </w:rPr>
          <w:instrText xml:space="preserve"> PAGEREF _Toc390349979 \h </w:instrText>
        </w:r>
        <w:r w:rsidR="005E02C0">
          <w:rPr>
            <w:noProof/>
            <w:webHidden/>
          </w:rPr>
        </w:r>
        <w:r w:rsidR="005E02C0">
          <w:rPr>
            <w:noProof/>
            <w:webHidden/>
          </w:rPr>
          <w:fldChar w:fldCharType="separate"/>
        </w:r>
        <w:r w:rsidR="005E02C0">
          <w:rPr>
            <w:noProof/>
            <w:webHidden/>
          </w:rPr>
          <w:t>iii</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80" w:history="1">
        <w:r w:rsidR="005E02C0" w:rsidRPr="007C6939">
          <w:rPr>
            <w:rStyle w:val="Hyperlink"/>
            <w:noProof/>
          </w:rPr>
          <w:t>Document Revision History</w:t>
        </w:r>
        <w:r w:rsidR="005E02C0">
          <w:rPr>
            <w:noProof/>
            <w:webHidden/>
          </w:rPr>
          <w:tab/>
        </w:r>
        <w:r w:rsidR="005E02C0">
          <w:rPr>
            <w:noProof/>
            <w:webHidden/>
          </w:rPr>
          <w:fldChar w:fldCharType="begin"/>
        </w:r>
        <w:r w:rsidR="005E02C0">
          <w:rPr>
            <w:noProof/>
            <w:webHidden/>
          </w:rPr>
          <w:instrText xml:space="preserve"> PAGEREF _Toc390349980 \h </w:instrText>
        </w:r>
        <w:r w:rsidR="005E02C0">
          <w:rPr>
            <w:noProof/>
            <w:webHidden/>
          </w:rPr>
        </w:r>
        <w:r w:rsidR="005E02C0">
          <w:rPr>
            <w:noProof/>
            <w:webHidden/>
          </w:rPr>
          <w:fldChar w:fldCharType="separate"/>
        </w:r>
        <w:r w:rsidR="005E02C0">
          <w:rPr>
            <w:noProof/>
            <w:webHidden/>
          </w:rPr>
          <w:t>iv</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81" w:history="1">
        <w:r w:rsidR="005E02C0" w:rsidRPr="007C6939">
          <w:rPr>
            <w:rStyle w:val="Hyperlink"/>
            <w:noProof/>
          </w:rPr>
          <w:t>Table of Contents</w:t>
        </w:r>
        <w:r w:rsidR="005E02C0">
          <w:rPr>
            <w:noProof/>
            <w:webHidden/>
          </w:rPr>
          <w:tab/>
        </w:r>
        <w:r w:rsidR="005E02C0">
          <w:rPr>
            <w:noProof/>
            <w:webHidden/>
          </w:rPr>
          <w:fldChar w:fldCharType="begin"/>
        </w:r>
        <w:r w:rsidR="005E02C0">
          <w:rPr>
            <w:noProof/>
            <w:webHidden/>
          </w:rPr>
          <w:instrText xml:space="preserve"> PAGEREF _Toc390349981 \h </w:instrText>
        </w:r>
        <w:r w:rsidR="005E02C0">
          <w:rPr>
            <w:noProof/>
            <w:webHidden/>
          </w:rPr>
        </w:r>
        <w:r w:rsidR="005E02C0">
          <w:rPr>
            <w:noProof/>
            <w:webHidden/>
          </w:rPr>
          <w:fldChar w:fldCharType="separate"/>
        </w:r>
        <w:r w:rsidR="005E02C0">
          <w:rPr>
            <w:noProof/>
            <w:webHidden/>
          </w:rPr>
          <w:t>v</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82" w:history="1">
        <w:r w:rsidR="005E02C0" w:rsidRPr="007C6939">
          <w:rPr>
            <w:rStyle w:val="Hyperlink"/>
            <w:noProof/>
          </w:rPr>
          <w:t>List of Tables</w:t>
        </w:r>
        <w:r w:rsidR="005E02C0">
          <w:rPr>
            <w:noProof/>
            <w:webHidden/>
          </w:rPr>
          <w:tab/>
        </w:r>
        <w:r w:rsidR="005E02C0">
          <w:rPr>
            <w:noProof/>
            <w:webHidden/>
          </w:rPr>
          <w:fldChar w:fldCharType="begin"/>
        </w:r>
        <w:r w:rsidR="005E02C0">
          <w:rPr>
            <w:noProof/>
            <w:webHidden/>
          </w:rPr>
          <w:instrText xml:space="preserve"> PAGEREF _Toc390349982 \h </w:instrText>
        </w:r>
        <w:r w:rsidR="005E02C0">
          <w:rPr>
            <w:noProof/>
            <w:webHidden/>
          </w:rPr>
        </w:r>
        <w:r w:rsidR="005E02C0">
          <w:rPr>
            <w:noProof/>
            <w:webHidden/>
          </w:rPr>
          <w:fldChar w:fldCharType="separate"/>
        </w:r>
        <w:r w:rsidR="005E02C0">
          <w:rPr>
            <w:noProof/>
            <w:webHidden/>
          </w:rPr>
          <w:t>vi</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83" w:history="1">
        <w:r w:rsidR="005E02C0" w:rsidRPr="007C6939">
          <w:rPr>
            <w:rStyle w:val="Hyperlink"/>
            <w:noProof/>
          </w:rPr>
          <w:t>List of Figures</w:t>
        </w:r>
        <w:r w:rsidR="005E02C0">
          <w:rPr>
            <w:noProof/>
            <w:webHidden/>
          </w:rPr>
          <w:tab/>
        </w:r>
        <w:r w:rsidR="005E02C0">
          <w:rPr>
            <w:noProof/>
            <w:webHidden/>
          </w:rPr>
          <w:fldChar w:fldCharType="begin"/>
        </w:r>
        <w:r w:rsidR="005E02C0">
          <w:rPr>
            <w:noProof/>
            <w:webHidden/>
          </w:rPr>
          <w:instrText xml:space="preserve"> PAGEREF _Toc390349983 \h </w:instrText>
        </w:r>
        <w:r w:rsidR="005E02C0">
          <w:rPr>
            <w:noProof/>
            <w:webHidden/>
          </w:rPr>
        </w:r>
        <w:r w:rsidR="005E02C0">
          <w:rPr>
            <w:noProof/>
            <w:webHidden/>
          </w:rPr>
          <w:fldChar w:fldCharType="separate"/>
        </w:r>
        <w:r w:rsidR="005E02C0">
          <w:rPr>
            <w:noProof/>
            <w:webHidden/>
          </w:rPr>
          <w:t>vi</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84" w:history="1">
        <w:r w:rsidR="005E02C0" w:rsidRPr="007C6939">
          <w:rPr>
            <w:rStyle w:val="Hyperlink"/>
            <w:noProof/>
          </w:rPr>
          <w:t>Section 1. General Measure &amp; Baseline Data</w:t>
        </w:r>
        <w:r w:rsidR="005E02C0">
          <w:rPr>
            <w:noProof/>
            <w:webHidden/>
          </w:rPr>
          <w:tab/>
        </w:r>
        <w:r w:rsidR="005E02C0">
          <w:rPr>
            <w:noProof/>
            <w:webHidden/>
          </w:rPr>
          <w:fldChar w:fldCharType="begin"/>
        </w:r>
        <w:r w:rsidR="005E02C0">
          <w:rPr>
            <w:noProof/>
            <w:webHidden/>
          </w:rPr>
          <w:instrText xml:space="preserve"> PAGEREF _Toc390349984 \h </w:instrText>
        </w:r>
        <w:r w:rsidR="005E02C0">
          <w:rPr>
            <w:noProof/>
            <w:webHidden/>
          </w:rPr>
        </w:r>
        <w:r w:rsidR="005E02C0">
          <w:rPr>
            <w:noProof/>
            <w:webHidden/>
          </w:rPr>
          <w:fldChar w:fldCharType="separate"/>
        </w:r>
        <w:r w:rsidR="005E02C0">
          <w:rPr>
            <w:noProof/>
            <w:webHidden/>
          </w:rPr>
          <w:t>1</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85" w:history="1">
        <w:r w:rsidR="005E02C0" w:rsidRPr="007C6939">
          <w:rPr>
            <w:rStyle w:val="Hyperlink"/>
            <w:noProof/>
          </w:rPr>
          <w:t>1.1 Product Measure Description &amp; Background</w:t>
        </w:r>
        <w:r w:rsidR="005E02C0">
          <w:rPr>
            <w:noProof/>
            <w:webHidden/>
          </w:rPr>
          <w:tab/>
        </w:r>
        <w:r w:rsidR="005E02C0">
          <w:rPr>
            <w:noProof/>
            <w:webHidden/>
          </w:rPr>
          <w:fldChar w:fldCharType="begin"/>
        </w:r>
        <w:r w:rsidR="005E02C0">
          <w:rPr>
            <w:noProof/>
            <w:webHidden/>
          </w:rPr>
          <w:instrText xml:space="preserve"> PAGEREF _Toc390349985 \h </w:instrText>
        </w:r>
        <w:r w:rsidR="005E02C0">
          <w:rPr>
            <w:noProof/>
            <w:webHidden/>
          </w:rPr>
        </w:r>
        <w:r w:rsidR="005E02C0">
          <w:rPr>
            <w:noProof/>
            <w:webHidden/>
          </w:rPr>
          <w:fldChar w:fldCharType="separate"/>
        </w:r>
        <w:r w:rsidR="005E02C0">
          <w:rPr>
            <w:noProof/>
            <w:webHidden/>
          </w:rPr>
          <w:t>1</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86" w:history="1">
        <w:r w:rsidR="005E02C0" w:rsidRPr="007C6939">
          <w:rPr>
            <w:rStyle w:val="Hyperlink"/>
            <w:noProof/>
          </w:rPr>
          <w:t>1.3 Measure Application Type</w:t>
        </w:r>
        <w:r w:rsidR="005E02C0">
          <w:rPr>
            <w:noProof/>
            <w:webHidden/>
          </w:rPr>
          <w:tab/>
        </w:r>
        <w:r w:rsidR="005E02C0">
          <w:rPr>
            <w:noProof/>
            <w:webHidden/>
          </w:rPr>
          <w:fldChar w:fldCharType="begin"/>
        </w:r>
        <w:r w:rsidR="005E02C0">
          <w:rPr>
            <w:noProof/>
            <w:webHidden/>
          </w:rPr>
          <w:instrText xml:space="preserve"> PAGEREF _Toc390349986 \h </w:instrText>
        </w:r>
        <w:r w:rsidR="005E02C0">
          <w:rPr>
            <w:noProof/>
            <w:webHidden/>
          </w:rPr>
        </w:r>
        <w:r w:rsidR="005E02C0">
          <w:rPr>
            <w:noProof/>
            <w:webHidden/>
          </w:rPr>
          <w:fldChar w:fldCharType="separate"/>
        </w:r>
        <w:r w:rsidR="005E02C0">
          <w:rPr>
            <w:noProof/>
            <w:webHidden/>
          </w:rPr>
          <w:t>1</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87" w:history="1">
        <w:r w:rsidR="005E02C0" w:rsidRPr="007C6939">
          <w:rPr>
            <w:rStyle w:val="Hyperlink"/>
            <w:noProof/>
          </w:rPr>
          <w:t>1.4 Product Base Case and Measure Case Data</w:t>
        </w:r>
        <w:r w:rsidR="005E02C0">
          <w:rPr>
            <w:noProof/>
            <w:webHidden/>
          </w:rPr>
          <w:tab/>
        </w:r>
        <w:r w:rsidR="005E02C0">
          <w:rPr>
            <w:noProof/>
            <w:webHidden/>
          </w:rPr>
          <w:fldChar w:fldCharType="begin"/>
        </w:r>
        <w:r w:rsidR="005E02C0">
          <w:rPr>
            <w:noProof/>
            <w:webHidden/>
          </w:rPr>
          <w:instrText xml:space="preserve"> PAGEREF _Toc390349987 \h </w:instrText>
        </w:r>
        <w:r w:rsidR="005E02C0">
          <w:rPr>
            <w:noProof/>
            <w:webHidden/>
          </w:rPr>
        </w:r>
        <w:r w:rsidR="005E02C0">
          <w:rPr>
            <w:noProof/>
            <w:webHidden/>
          </w:rPr>
          <w:fldChar w:fldCharType="separate"/>
        </w:r>
        <w:r w:rsidR="005E02C0">
          <w:rPr>
            <w:noProof/>
            <w:webHidden/>
          </w:rPr>
          <w:t>2</w:t>
        </w:r>
        <w:r w:rsidR="005E02C0">
          <w:rPr>
            <w:noProof/>
            <w:webHidden/>
          </w:rPr>
          <w:fldChar w:fldCharType="end"/>
        </w:r>
      </w:hyperlink>
    </w:p>
    <w:p w:rsidR="005E02C0" w:rsidRDefault="00524D71">
      <w:pPr>
        <w:pStyle w:val="TOC3"/>
        <w:tabs>
          <w:tab w:val="right" w:leader="dot" w:pos="9350"/>
        </w:tabs>
        <w:rPr>
          <w:rFonts w:asciiTheme="minorHAnsi" w:eastAsiaTheme="minorEastAsia" w:hAnsiTheme="minorHAnsi" w:cstheme="minorBidi"/>
          <w:noProof/>
          <w:szCs w:val="22"/>
        </w:rPr>
      </w:pPr>
      <w:hyperlink w:anchor="_Toc390349988" w:history="1">
        <w:r w:rsidR="005E02C0" w:rsidRPr="007C6939">
          <w:rPr>
            <w:rStyle w:val="Hyperlink"/>
            <w:noProof/>
          </w:rPr>
          <w:t>1.4.1 DEER Base Case and Measure Case Information</w:t>
        </w:r>
        <w:r w:rsidR="005E02C0">
          <w:rPr>
            <w:noProof/>
            <w:webHidden/>
          </w:rPr>
          <w:tab/>
        </w:r>
        <w:r w:rsidR="005E02C0">
          <w:rPr>
            <w:noProof/>
            <w:webHidden/>
          </w:rPr>
          <w:fldChar w:fldCharType="begin"/>
        </w:r>
        <w:r w:rsidR="005E02C0">
          <w:rPr>
            <w:noProof/>
            <w:webHidden/>
          </w:rPr>
          <w:instrText xml:space="preserve"> PAGEREF _Toc390349988 \h </w:instrText>
        </w:r>
        <w:r w:rsidR="005E02C0">
          <w:rPr>
            <w:noProof/>
            <w:webHidden/>
          </w:rPr>
        </w:r>
        <w:r w:rsidR="005E02C0">
          <w:rPr>
            <w:noProof/>
            <w:webHidden/>
          </w:rPr>
          <w:fldChar w:fldCharType="separate"/>
        </w:r>
        <w:r w:rsidR="005E02C0">
          <w:rPr>
            <w:noProof/>
            <w:webHidden/>
          </w:rPr>
          <w:t>2</w:t>
        </w:r>
        <w:r w:rsidR="005E02C0">
          <w:rPr>
            <w:noProof/>
            <w:webHidden/>
          </w:rPr>
          <w:fldChar w:fldCharType="end"/>
        </w:r>
      </w:hyperlink>
    </w:p>
    <w:p w:rsidR="005E02C0" w:rsidRDefault="00524D71">
      <w:pPr>
        <w:pStyle w:val="TOC3"/>
        <w:tabs>
          <w:tab w:val="right" w:leader="dot" w:pos="9350"/>
        </w:tabs>
        <w:rPr>
          <w:rFonts w:asciiTheme="minorHAnsi" w:eastAsiaTheme="minorEastAsia" w:hAnsiTheme="minorHAnsi" w:cstheme="minorBidi"/>
          <w:noProof/>
          <w:szCs w:val="22"/>
        </w:rPr>
      </w:pPr>
      <w:hyperlink w:anchor="_Toc390349989" w:history="1">
        <w:r w:rsidR="005E02C0" w:rsidRPr="007C6939">
          <w:rPr>
            <w:rStyle w:val="Hyperlink"/>
            <w:noProof/>
          </w:rPr>
          <w:t>1.4.2 Codes &amp; Standards Requirements Base Case and Measure Information</w:t>
        </w:r>
        <w:r w:rsidR="005E02C0">
          <w:rPr>
            <w:noProof/>
            <w:webHidden/>
          </w:rPr>
          <w:tab/>
        </w:r>
        <w:r w:rsidR="005E02C0">
          <w:rPr>
            <w:noProof/>
            <w:webHidden/>
          </w:rPr>
          <w:fldChar w:fldCharType="begin"/>
        </w:r>
        <w:r w:rsidR="005E02C0">
          <w:rPr>
            <w:noProof/>
            <w:webHidden/>
          </w:rPr>
          <w:instrText xml:space="preserve"> PAGEREF _Toc390349989 \h </w:instrText>
        </w:r>
        <w:r w:rsidR="005E02C0">
          <w:rPr>
            <w:noProof/>
            <w:webHidden/>
          </w:rPr>
        </w:r>
        <w:r w:rsidR="005E02C0">
          <w:rPr>
            <w:noProof/>
            <w:webHidden/>
          </w:rPr>
          <w:fldChar w:fldCharType="separate"/>
        </w:r>
        <w:r w:rsidR="005E02C0">
          <w:rPr>
            <w:noProof/>
            <w:webHidden/>
          </w:rPr>
          <w:t>2</w:t>
        </w:r>
        <w:r w:rsidR="005E02C0">
          <w:rPr>
            <w:noProof/>
            <w:webHidden/>
          </w:rPr>
          <w:fldChar w:fldCharType="end"/>
        </w:r>
      </w:hyperlink>
    </w:p>
    <w:p w:rsidR="005E02C0" w:rsidRDefault="00524D71">
      <w:pPr>
        <w:pStyle w:val="TOC3"/>
        <w:tabs>
          <w:tab w:val="right" w:leader="dot" w:pos="9350"/>
        </w:tabs>
        <w:rPr>
          <w:rFonts w:asciiTheme="minorHAnsi" w:eastAsiaTheme="minorEastAsia" w:hAnsiTheme="minorHAnsi" w:cstheme="minorBidi"/>
          <w:noProof/>
          <w:szCs w:val="22"/>
        </w:rPr>
      </w:pPr>
      <w:hyperlink w:anchor="_Toc390349990" w:history="1">
        <w:r w:rsidR="005E02C0" w:rsidRPr="007C6939">
          <w:rPr>
            <w:rStyle w:val="Hyperlink"/>
            <w:noProof/>
          </w:rPr>
          <w:t>1.4.3 EM&amp;V, Market Potential, and Other Studies – Base Case and Measure Case Information</w:t>
        </w:r>
        <w:r w:rsidR="005E02C0">
          <w:rPr>
            <w:noProof/>
            <w:webHidden/>
          </w:rPr>
          <w:tab/>
        </w:r>
        <w:r w:rsidR="005E02C0">
          <w:rPr>
            <w:noProof/>
            <w:webHidden/>
          </w:rPr>
          <w:fldChar w:fldCharType="begin"/>
        </w:r>
        <w:r w:rsidR="005E02C0">
          <w:rPr>
            <w:noProof/>
            <w:webHidden/>
          </w:rPr>
          <w:instrText xml:space="preserve"> PAGEREF _Toc390349990 \h </w:instrText>
        </w:r>
        <w:r w:rsidR="005E02C0">
          <w:rPr>
            <w:noProof/>
            <w:webHidden/>
          </w:rPr>
        </w:r>
        <w:r w:rsidR="005E02C0">
          <w:rPr>
            <w:noProof/>
            <w:webHidden/>
          </w:rPr>
          <w:fldChar w:fldCharType="separate"/>
        </w:r>
        <w:r w:rsidR="005E02C0">
          <w:rPr>
            <w:noProof/>
            <w:webHidden/>
          </w:rPr>
          <w:t>2</w:t>
        </w:r>
        <w:r w:rsidR="005E02C0">
          <w:rPr>
            <w:noProof/>
            <w:webHidden/>
          </w:rPr>
          <w:fldChar w:fldCharType="end"/>
        </w:r>
      </w:hyperlink>
    </w:p>
    <w:p w:rsidR="005E02C0" w:rsidRDefault="00524D71">
      <w:pPr>
        <w:pStyle w:val="TOC3"/>
        <w:tabs>
          <w:tab w:val="right" w:leader="dot" w:pos="9350"/>
        </w:tabs>
        <w:rPr>
          <w:rFonts w:asciiTheme="minorHAnsi" w:eastAsiaTheme="minorEastAsia" w:hAnsiTheme="minorHAnsi" w:cstheme="minorBidi"/>
          <w:noProof/>
          <w:szCs w:val="22"/>
        </w:rPr>
      </w:pPr>
      <w:hyperlink w:anchor="_Toc390349991" w:history="1">
        <w:r w:rsidR="005E02C0" w:rsidRPr="007C6939">
          <w:rPr>
            <w:rStyle w:val="Hyperlink"/>
            <w:noProof/>
          </w:rPr>
          <w:t>1.4.4 Assumptions and Calculations from other sources—Base and Measure Cases</w:t>
        </w:r>
        <w:r w:rsidR="005E02C0">
          <w:rPr>
            <w:noProof/>
            <w:webHidden/>
          </w:rPr>
          <w:tab/>
        </w:r>
        <w:r w:rsidR="005E02C0">
          <w:rPr>
            <w:noProof/>
            <w:webHidden/>
          </w:rPr>
          <w:fldChar w:fldCharType="begin"/>
        </w:r>
        <w:r w:rsidR="005E02C0">
          <w:rPr>
            <w:noProof/>
            <w:webHidden/>
          </w:rPr>
          <w:instrText xml:space="preserve"> PAGEREF _Toc390349991 \h </w:instrText>
        </w:r>
        <w:r w:rsidR="005E02C0">
          <w:rPr>
            <w:noProof/>
            <w:webHidden/>
          </w:rPr>
        </w:r>
        <w:r w:rsidR="005E02C0">
          <w:rPr>
            <w:noProof/>
            <w:webHidden/>
          </w:rPr>
          <w:fldChar w:fldCharType="separate"/>
        </w:r>
        <w:r w:rsidR="005E02C0">
          <w:rPr>
            <w:noProof/>
            <w:webHidden/>
          </w:rPr>
          <w:t>3</w:t>
        </w:r>
        <w:r w:rsidR="005E02C0">
          <w:rPr>
            <w:noProof/>
            <w:webHidden/>
          </w:rPr>
          <w:fldChar w:fldCharType="end"/>
        </w:r>
      </w:hyperlink>
    </w:p>
    <w:p w:rsidR="005E02C0" w:rsidRDefault="00524D71">
      <w:pPr>
        <w:pStyle w:val="TOC3"/>
        <w:tabs>
          <w:tab w:val="right" w:leader="dot" w:pos="9350"/>
        </w:tabs>
        <w:rPr>
          <w:rFonts w:asciiTheme="minorHAnsi" w:eastAsiaTheme="minorEastAsia" w:hAnsiTheme="minorHAnsi" w:cstheme="minorBidi"/>
          <w:noProof/>
          <w:szCs w:val="22"/>
        </w:rPr>
      </w:pPr>
      <w:hyperlink w:anchor="_Toc390349992" w:history="1">
        <w:r w:rsidR="005E02C0" w:rsidRPr="007C6939">
          <w:rPr>
            <w:rStyle w:val="Hyperlink"/>
            <w:noProof/>
          </w:rPr>
          <w:t>1.4.5 Time-of-Use Adjustment Factor</w:t>
        </w:r>
        <w:r w:rsidR="005E02C0">
          <w:rPr>
            <w:noProof/>
            <w:webHidden/>
          </w:rPr>
          <w:tab/>
        </w:r>
        <w:r w:rsidR="005E02C0">
          <w:rPr>
            <w:noProof/>
            <w:webHidden/>
          </w:rPr>
          <w:fldChar w:fldCharType="begin"/>
        </w:r>
        <w:r w:rsidR="005E02C0">
          <w:rPr>
            <w:noProof/>
            <w:webHidden/>
          </w:rPr>
          <w:instrText xml:space="preserve"> PAGEREF _Toc390349992 \h </w:instrText>
        </w:r>
        <w:r w:rsidR="005E02C0">
          <w:rPr>
            <w:noProof/>
            <w:webHidden/>
          </w:rPr>
        </w:r>
        <w:r w:rsidR="005E02C0">
          <w:rPr>
            <w:noProof/>
            <w:webHidden/>
          </w:rPr>
          <w:fldChar w:fldCharType="separate"/>
        </w:r>
        <w:r w:rsidR="005E02C0">
          <w:rPr>
            <w:noProof/>
            <w:webHidden/>
          </w:rPr>
          <w:t>3</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93" w:history="1">
        <w:r w:rsidR="005E02C0" w:rsidRPr="007C6939">
          <w:rPr>
            <w:rStyle w:val="Hyperlink"/>
            <w:noProof/>
          </w:rPr>
          <w:t>1.5 Summary of Inputs for Savings Calculations</w:t>
        </w:r>
        <w:r w:rsidR="005E02C0">
          <w:rPr>
            <w:noProof/>
            <w:webHidden/>
          </w:rPr>
          <w:tab/>
        </w:r>
        <w:r w:rsidR="005E02C0">
          <w:rPr>
            <w:noProof/>
            <w:webHidden/>
          </w:rPr>
          <w:fldChar w:fldCharType="begin"/>
        </w:r>
        <w:r w:rsidR="005E02C0">
          <w:rPr>
            <w:noProof/>
            <w:webHidden/>
          </w:rPr>
          <w:instrText xml:space="preserve"> PAGEREF _Toc390349993 \h </w:instrText>
        </w:r>
        <w:r w:rsidR="005E02C0">
          <w:rPr>
            <w:noProof/>
            <w:webHidden/>
          </w:rPr>
        </w:r>
        <w:r w:rsidR="005E02C0">
          <w:rPr>
            <w:noProof/>
            <w:webHidden/>
          </w:rPr>
          <w:fldChar w:fldCharType="separate"/>
        </w:r>
        <w:r w:rsidR="005E02C0">
          <w:rPr>
            <w:noProof/>
            <w:webHidden/>
          </w:rPr>
          <w:t>3</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94" w:history="1">
        <w:r w:rsidR="005E02C0" w:rsidRPr="007C6939">
          <w:rPr>
            <w:rStyle w:val="Hyperlink"/>
            <w:noProof/>
          </w:rPr>
          <w:t>Section 2. Calculation Methods</w:t>
        </w:r>
        <w:r w:rsidR="005E02C0">
          <w:rPr>
            <w:noProof/>
            <w:webHidden/>
          </w:rPr>
          <w:tab/>
        </w:r>
        <w:r w:rsidR="005E02C0">
          <w:rPr>
            <w:noProof/>
            <w:webHidden/>
          </w:rPr>
          <w:fldChar w:fldCharType="begin"/>
        </w:r>
        <w:r w:rsidR="005E02C0">
          <w:rPr>
            <w:noProof/>
            <w:webHidden/>
          </w:rPr>
          <w:instrText xml:space="preserve"> PAGEREF _Toc390349994 \h </w:instrText>
        </w:r>
        <w:r w:rsidR="005E02C0">
          <w:rPr>
            <w:noProof/>
            <w:webHidden/>
          </w:rPr>
        </w:r>
        <w:r w:rsidR="005E02C0">
          <w:rPr>
            <w:noProof/>
            <w:webHidden/>
          </w:rPr>
          <w:fldChar w:fldCharType="separate"/>
        </w:r>
        <w:r w:rsidR="005E02C0">
          <w:rPr>
            <w:noProof/>
            <w:webHidden/>
          </w:rPr>
          <w:t>4</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95" w:history="1">
        <w:r w:rsidR="005E02C0" w:rsidRPr="007C6939">
          <w:rPr>
            <w:rStyle w:val="Hyperlink"/>
            <w:noProof/>
          </w:rPr>
          <w:t>2.1 Electric Energy Savings Estimation Methodologies</w:t>
        </w:r>
        <w:r w:rsidR="005E02C0">
          <w:rPr>
            <w:noProof/>
            <w:webHidden/>
          </w:rPr>
          <w:tab/>
        </w:r>
        <w:r w:rsidR="005E02C0">
          <w:rPr>
            <w:noProof/>
            <w:webHidden/>
          </w:rPr>
          <w:fldChar w:fldCharType="begin"/>
        </w:r>
        <w:r w:rsidR="005E02C0">
          <w:rPr>
            <w:noProof/>
            <w:webHidden/>
          </w:rPr>
          <w:instrText xml:space="preserve"> PAGEREF _Toc390349995 \h </w:instrText>
        </w:r>
        <w:r w:rsidR="005E02C0">
          <w:rPr>
            <w:noProof/>
            <w:webHidden/>
          </w:rPr>
        </w:r>
        <w:r w:rsidR="005E02C0">
          <w:rPr>
            <w:noProof/>
            <w:webHidden/>
          </w:rPr>
          <w:fldChar w:fldCharType="separate"/>
        </w:r>
        <w:r w:rsidR="005E02C0">
          <w:rPr>
            <w:noProof/>
            <w:webHidden/>
          </w:rPr>
          <w:t>4</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96" w:history="1">
        <w:r w:rsidR="005E02C0" w:rsidRPr="007C6939">
          <w:rPr>
            <w:rStyle w:val="Hyperlink"/>
            <w:noProof/>
          </w:rPr>
          <w:t>2.2. Demand Reduction Estimation Methodologies</w:t>
        </w:r>
        <w:r w:rsidR="005E02C0">
          <w:rPr>
            <w:noProof/>
            <w:webHidden/>
          </w:rPr>
          <w:tab/>
        </w:r>
        <w:r w:rsidR="005E02C0">
          <w:rPr>
            <w:noProof/>
            <w:webHidden/>
          </w:rPr>
          <w:fldChar w:fldCharType="begin"/>
        </w:r>
        <w:r w:rsidR="005E02C0">
          <w:rPr>
            <w:noProof/>
            <w:webHidden/>
          </w:rPr>
          <w:instrText xml:space="preserve"> PAGEREF _Toc390349996 \h </w:instrText>
        </w:r>
        <w:r w:rsidR="005E02C0">
          <w:rPr>
            <w:noProof/>
            <w:webHidden/>
          </w:rPr>
        </w:r>
        <w:r w:rsidR="005E02C0">
          <w:rPr>
            <w:noProof/>
            <w:webHidden/>
          </w:rPr>
          <w:fldChar w:fldCharType="separate"/>
        </w:r>
        <w:r w:rsidR="005E02C0">
          <w:rPr>
            <w:noProof/>
            <w:webHidden/>
          </w:rPr>
          <w:t>5</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97" w:history="1">
        <w:r w:rsidR="005E02C0" w:rsidRPr="007C6939">
          <w:rPr>
            <w:rStyle w:val="Hyperlink"/>
            <w:noProof/>
          </w:rPr>
          <w:t>2.3. Gas Energy Savings Estimation Methodologies</w:t>
        </w:r>
        <w:r w:rsidR="005E02C0">
          <w:rPr>
            <w:noProof/>
            <w:webHidden/>
          </w:rPr>
          <w:tab/>
        </w:r>
        <w:r w:rsidR="005E02C0">
          <w:rPr>
            <w:noProof/>
            <w:webHidden/>
          </w:rPr>
          <w:fldChar w:fldCharType="begin"/>
        </w:r>
        <w:r w:rsidR="005E02C0">
          <w:rPr>
            <w:noProof/>
            <w:webHidden/>
          </w:rPr>
          <w:instrText xml:space="preserve"> PAGEREF _Toc390349997 \h </w:instrText>
        </w:r>
        <w:r w:rsidR="005E02C0">
          <w:rPr>
            <w:noProof/>
            <w:webHidden/>
          </w:rPr>
        </w:r>
        <w:r w:rsidR="005E02C0">
          <w:rPr>
            <w:noProof/>
            <w:webHidden/>
          </w:rPr>
          <w:fldChar w:fldCharType="separate"/>
        </w:r>
        <w:r w:rsidR="005E02C0">
          <w:rPr>
            <w:noProof/>
            <w:webHidden/>
          </w:rPr>
          <w:t>6</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49998" w:history="1">
        <w:r w:rsidR="005E02C0" w:rsidRPr="007C6939">
          <w:rPr>
            <w:rStyle w:val="Hyperlink"/>
            <w:noProof/>
          </w:rPr>
          <w:t>Section 3. Load Shapes</w:t>
        </w:r>
        <w:r w:rsidR="005E02C0">
          <w:rPr>
            <w:noProof/>
            <w:webHidden/>
          </w:rPr>
          <w:tab/>
        </w:r>
        <w:r w:rsidR="005E02C0">
          <w:rPr>
            <w:noProof/>
            <w:webHidden/>
          </w:rPr>
          <w:fldChar w:fldCharType="begin"/>
        </w:r>
        <w:r w:rsidR="005E02C0">
          <w:rPr>
            <w:noProof/>
            <w:webHidden/>
          </w:rPr>
          <w:instrText xml:space="preserve"> PAGEREF _Toc390349998 \h </w:instrText>
        </w:r>
        <w:r w:rsidR="005E02C0">
          <w:rPr>
            <w:noProof/>
            <w:webHidden/>
          </w:rPr>
        </w:r>
        <w:r w:rsidR="005E02C0">
          <w:rPr>
            <w:noProof/>
            <w:webHidden/>
          </w:rPr>
          <w:fldChar w:fldCharType="separate"/>
        </w:r>
        <w:r w:rsidR="005E02C0">
          <w:rPr>
            <w:noProof/>
            <w:webHidden/>
          </w:rPr>
          <w:t>6</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49999" w:history="1">
        <w:r w:rsidR="005E02C0" w:rsidRPr="007C6939">
          <w:rPr>
            <w:rStyle w:val="Hyperlink"/>
            <w:noProof/>
          </w:rPr>
          <w:t>3.1 Base Case Load Shapes</w:t>
        </w:r>
        <w:r w:rsidR="005E02C0">
          <w:rPr>
            <w:noProof/>
            <w:webHidden/>
          </w:rPr>
          <w:tab/>
        </w:r>
        <w:r w:rsidR="005E02C0">
          <w:rPr>
            <w:noProof/>
            <w:webHidden/>
          </w:rPr>
          <w:fldChar w:fldCharType="begin"/>
        </w:r>
        <w:r w:rsidR="005E02C0">
          <w:rPr>
            <w:noProof/>
            <w:webHidden/>
          </w:rPr>
          <w:instrText xml:space="preserve"> PAGEREF _Toc390349999 \h </w:instrText>
        </w:r>
        <w:r w:rsidR="005E02C0">
          <w:rPr>
            <w:noProof/>
            <w:webHidden/>
          </w:rPr>
        </w:r>
        <w:r w:rsidR="005E02C0">
          <w:rPr>
            <w:noProof/>
            <w:webHidden/>
          </w:rPr>
          <w:fldChar w:fldCharType="separate"/>
        </w:r>
        <w:r w:rsidR="005E02C0">
          <w:rPr>
            <w:noProof/>
            <w:webHidden/>
          </w:rPr>
          <w:t>6</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50000" w:history="1">
        <w:r w:rsidR="005E02C0" w:rsidRPr="007C6939">
          <w:rPr>
            <w:rStyle w:val="Hyperlink"/>
            <w:noProof/>
          </w:rPr>
          <w:t>3.2 Measure Load Shapes</w:t>
        </w:r>
        <w:r w:rsidR="005E02C0">
          <w:rPr>
            <w:noProof/>
            <w:webHidden/>
          </w:rPr>
          <w:tab/>
        </w:r>
        <w:r w:rsidR="005E02C0">
          <w:rPr>
            <w:noProof/>
            <w:webHidden/>
          </w:rPr>
          <w:fldChar w:fldCharType="begin"/>
        </w:r>
        <w:r w:rsidR="005E02C0">
          <w:rPr>
            <w:noProof/>
            <w:webHidden/>
          </w:rPr>
          <w:instrText xml:space="preserve"> PAGEREF _Toc390350000 \h </w:instrText>
        </w:r>
        <w:r w:rsidR="005E02C0">
          <w:rPr>
            <w:noProof/>
            <w:webHidden/>
          </w:rPr>
        </w:r>
        <w:r w:rsidR="005E02C0">
          <w:rPr>
            <w:noProof/>
            <w:webHidden/>
          </w:rPr>
          <w:fldChar w:fldCharType="separate"/>
        </w:r>
        <w:r w:rsidR="005E02C0">
          <w:rPr>
            <w:noProof/>
            <w:webHidden/>
          </w:rPr>
          <w:t>7</w:t>
        </w:r>
        <w:r w:rsidR="005E02C0">
          <w:rPr>
            <w:noProof/>
            <w:webHidden/>
          </w:rPr>
          <w:fldChar w:fldCharType="end"/>
        </w:r>
      </w:hyperlink>
    </w:p>
    <w:p w:rsidR="005E02C0" w:rsidRDefault="00524D71">
      <w:pPr>
        <w:pStyle w:val="TOC1"/>
        <w:tabs>
          <w:tab w:val="right" w:leader="dot" w:pos="9350"/>
        </w:tabs>
        <w:rPr>
          <w:rFonts w:asciiTheme="minorHAnsi" w:eastAsiaTheme="minorEastAsia" w:hAnsiTheme="minorHAnsi" w:cstheme="minorBidi"/>
          <w:noProof/>
          <w:szCs w:val="22"/>
        </w:rPr>
      </w:pPr>
      <w:hyperlink w:anchor="_Toc390350001" w:history="1">
        <w:r w:rsidR="005E02C0" w:rsidRPr="007C6939">
          <w:rPr>
            <w:rStyle w:val="Hyperlink"/>
            <w:noProof/>
          </w:rPr>
          <w:t>Section 4. Base Case &amp; Measure Costs</w:t>
        </w:r>
        <w:r w:rsidR="005E02C0">
          <w:rPr>
            <w:noProof/>
            <w:webHidden/>
          </w:rPr>
          <w:tab/>
        </w:r>
        <w:r w:rsidR="005E02C0">
          <w:rPr>
            <w:noProof/>
            <w:webHidden/>
          </w:rPr>
          <w:fldChar w:fldCharType="begin"/>
        </w:r>
        <w:r w:rsidR="005E02C0">
          <w:rPr>
            <w:noProof/>
            <w:webHidden/>
          </w:rPr>
          <w:instrText xml:space="preserve"> PAGEREF _Toc390350001 \h </w:instrText>
        </w:r>
        <w:r w:rsidR="005E02C0">
          <w:rPr>
            <w:noProof/>
            <w:webHidden/>
          </w:rPr>
        </w:r>
        <w:r w:rsidR="005E02C0">
          <w:rPr>
            <w:noProof/>
            <w:webHidden/>
          </w:rPr>
          <w:fldChar w:fldCharType="separate"/>
        </w:r>
        <w:r w:rsidR="005E02C0">
          <w:rPr>
            <w:noProof/>
            <w:webHidden/>
          </w:rPr>
          <w:t>8</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50002" w:history="1">
        <w:r w:rsidR="005E02C0" w:rsidRPr="007C6939">
          <w:rPr>
            <w:rStyle w:val="Hyperlink"/>
            <w:noProof/>
          </w:rPr>
          <w:t>4.1 Base Case(s) Costs</w:t>
        </w:r>
        <w:r w:rsidR="005E02C0">
          <w:rPr>
            <w:noProof/>
            <w:webHidden/>
          </w:rPr>
          <w:tab/>
        </w:r>
        <w:r w:rsidR="005E02C0">
          <w:rPr>
            <w:noProof/>
            <w:webHidden/>
          </w:rPr>
          <w:fldChar w:fldCharType="begin"/>
        </w:r>
        <w:r w:rsidR="005E02C0">
          <w:rPr>
            <w:noProof/>
            <w:webHidden/>
          </w:rPr>
          <w:instrText xml:space="preserve"> PAGEREF _Toc390350002 \h </w:instrText>
        </w:r>
        <w:r w:rsidR="005E02C0">
          <w:rPr>
            <w:noProof/>
            <w:webHidden/>
          </w:rPr>
        </w:r>
        <w:r w:rsidR="005E02C0">
          <w:rPr>
            <w:noProof/>
            <w:webHidden/>
          </w:rPr>
          <w:fldChar w:fldCharType="separate"/>
        </w:r>
        <w:r w:rsidR="005E02C0">
          <w:rPr>
            <w:noProof/>
            <w:webHidden/>
          </w:rPr>
          <w:t>8</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50003" w:history="1">
        <w:r w:rsidR="005E02C0" w:rsidRPr="007C6939">
          <w:rPr>
            <w:rStyle w:val="Hyperlink"/>
            <w:noProof/>
          </w:rPr>
          <w:t>4.2 Measure Case Costs</w:t>
        </w:r>
        <w:r w:rsidR="005E02C0">
          <w:rPr>
            <w:noProof/>
            <w:webHidden/>
          </w:rPr>
          <w:tab/>
        </w:r>
        <w:r w:rsidR="005E02C0">
          <w:rPr>
            <w:noProof/>
            <w:webHidden/>
          </w:rPr>
          <w:fldChar w:fldCharType="begin"/>
        </w:r>
        <w:r w:rsidR="005E02C0">
          <w:rPr>
            <w:noProof/>
            <w:webHidden/>
          </w:rPr>
          <w:instrText xml:space="preserve"> PAGEREF _Toc390350003 \h </w:instrText>
        </w:r>
        <w:r w:rsidR="005E02C0">
          <w:rPr>
            <w:noProof/>
            <w:webHidden/>
          </w:rPr>
        </w:r>
        <w:r w:rsidR="005E02C0">
          <w:rPr>
            <w:noProof/>
            <w:webHidden/>
          </w:rPr>
          <w:fldChar w:fldCharType="separate"/>
        </w:r>
        <w:r w:rsidR="005E02C0">
          <w:rPr>
            <w:noProof/>
            <w:webHidden/>
          </w:rPr>
          <w:t>8</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50004" w:history="1">
        <w:r w:rsidR="005E02C0" w:rsidRPr="007C6939">
          <w:rPr>
            <w:rStyle w:val="Hyperlink"/>
            <w:noProof/>
          </w:rPr>
          <w:t>4.3 Incremental &amp; Full Measure Costs</w:t>
        </w:r>
        <w:r w:rsidR="005E02C0">
          <w:rPr>
            <w:noProof/>
            <w:webHidden/>
          </w:rPr>
          <w:tab/>
        </w:r>
        <w:r w:rsidR="005E02C0">
          <w:rPr>
            <w:noProof/>
            <w:webHidden/>
          </w:rPr>
          <w:fldChar w:fldCharType="begin"/>
        </w:r>
        <w:r w:rsidR="005E02C0">
          <w:rPr>
            <w:noProof/>
            <w:webHidden/>
          </w:rPr>
          <w:instrText xml:space="preserve"> PAGEREF _Toc390350004 \h </w:instrText>
        </w:r>
        <w:r w:rsidR="005E02C0">
          <w:rPr>
            <w:noProof/>
            <w:webHidden/>
          </w:rPr>
        </w:r>
        <w:r w:rsidR="005E02C0">
          <w:rPr>
            <w:noProof/>
            <w:webHidden/>
          </w:rPr>
          <w:fldChar w:fldCharType="separate"/>
        </w:r>
        <w:r w:rsidR="005E02C0">
          <w:rPr>
            <w:noProof/>
            <w:webHidden/>
          </w:rPr>
          <w:t>8</w:t>
        </w:r>
        <w:r w:rsidR="005E02C0">
          <w:rPr>
            <w:noProof/>
            <w:webHidden/>
          </w:rPr>
          <w:fldChar w:fldCharType="end"/>
        </w:r>
      </w:hyperlink>
    </w:p>
    <w:p w:rsidR="005E02C0" w:rsidRDefault="00524D71">
      <w:pPr>
        <w:pStyle w:val="TOC3"/>
        <w:tabs>
          <w:tab w:val="right" w:leader="dot" w:pos="9350"/>
        </w:tabs>
        <w:rPr>
          <w:rFonts w:asciiTheme="minorHAnsi" w:eastAsiaTheme="minorEastAsia" w:hAnsiTheme="minorHAnsi" w:cstheme="minorBidi"/>
          <w:noProof/>
          <w:szCs w:val="22"/>
        </w:rPr>
      </w:pPr>
      <w:hyperlink w:anchor="_Toc390350005" w:history="1">
        <w:r w:rsidR="005E02C0" w:rsidRPr="007C6939">
          <w:rPr>
            <w:rStyle w:val="Hyperlink"/>
            <w:noProof/>
          </w:rPr>
          <w:t>4.3.1 Full Measure Cost</w:t>
        </w:r>
        <w:r w:rsidR="005E02C0">
          <w:rPr>
            <w:noProof/>
            <w:webHidden/>
          </w:rPr>
          <w:tab/>
        </w:r>
        <w:r w:rsidR="005E02C0">
          <w:rPr>
            <w:noProof/>
            <w:webHidden/>
          </w:rPr>
          <w:fldChar w:fldCharType="begin"/>
        </w:r>
        <w:r w:rsidR="005E02C0">
          <w:rPr>
            <w:noProof/>
            <w:webHidden/>
          </w:rPr>
          <w:instrText xml:space="preserve"> PAGEREF _Toc390350005 \h </w:instrText>
        </w:r>
        <w:r w:rsidR="005E02C0">
          <w:rPr>
            <w:noProof/>
            <w:webHidden/>
          </w:rPr>
        </w:r>
        <w:r w:rsidR="005E02C0">
          <w:rPr>
            <w:noProof/>
            <w:webHidden/>
          </w:rPr>
          <w:fldChar w:fldCharType="separate"/>
        </w:r>
        <w:r w:rsidR="005E02C0">
          <w:rPr>
            <w:noProof/>
            <w:webHidden/>
          </w:rPr>
          <w:t>9</w:t>
        </w:r>
        <w:r w:rsidR="005E02C0">
          <w:rPr>
            <w:noProof/>
            <w:webHidden/>
          </w:rPr>
          <w:fldChar w:fldCharType="end"/>
        </w:r>
      </w:hyperlink>
    </w:p>
    <w:p w:rsidR="005E02C0" w:rsidRDefault="00524D71">
      <w:pPr>
        <w:pStyle w:val="TOC3"/>
        <w:tabs>
          <w:tab w:val="right" w:leader="dot" w:pos="9350"/>
        </w:tabs>
        <w:rPr>
          <w:rFonts w:asciiTheme="minorHAnsi" w:eastAsiaTheme="minorEastAsia" w:hAnsiTheme="minorHAnsi" w:cstheme="minorBidi"/>
          <w:noProof/>
          <w:szCs w:val="22"/>
        </w:rPr>
      </w:pPr>
      <w:hyperlink w:anchor="_Toc390350006" w:history="1">
        <w:r w:rsidR="005E02C0" w:rsidRPr="007C6939">
          <w:rPr>
            <w:rStyle w:val="Hyperlink"/>
            <w:noProof/>
          </w:rPr>
          <w:t>4.3.2 Incremental Measure Costs</w:t>
        </w:r>
        <w:r w:rsidR="005E02C0">
          <w:rPr>
            <w:noProof/>
            <w:webHidden/>
          </w:rPr>
          <w:tab/>
        </w:r>
        <w:r w:rsidR="005E02C0">
          <w:rPr>
            <w:noProof/>
            <w:webHidden/>
          </w:rPr>
          <w:fldChar w:fldCharType="begin"/>
        </w:r>
        <w:r w:rsidR="005E02C0">
          <w:rPr>
            <w:noProof/>
            <w:webHidden/>
          </w:rPr>
          <w:instrText xml:space="preserve"> PAGEREF _Toc390350006 \h </w:instrText>
        </w:r>
        <w:r w:rsidR="005E02C0">
          <w:rPr>
            <w:noProof/>
            <w:webHidden/>
          </w:rPr>
        </w:r>
        <w:r w:rsidR="005E02C0">
          <w:rPr>
            <w:noProof/>
            <w:webHidden/>
          </w:rPr>
          <w:fldChar w:fldCharType="separate"/>
        </w:r>
        <w:r w:rsidR="005E02C0">
          <w:rPr>
            <w:noProof/>
            <w:webHidden/>
          </w:rPr>
          <w:t>9</w:t>
        </w:r>
        <w:r w:rsidR="005E02C0">
          <w:rPr>
            <w:noProof/>
            <w:webHidden/>
          </w:rPr>
          <w:fldChar w:fldCharType="end"/>
        </w:r>
      </w:hyperlink>
    </w:p>
    <w:p w:rsidR="005E02C0" w:rsidRDefault="00524D71">
      <w:pPr>
        <w:pStyle w:val="TOC2"/>
        <w:tabs>
          <w:tab w:val="right" w:leader="dot" w:pos="9350"/>
        </w:tabs>
        <w:rPr>
          <w:rFonts w:asciiTheme="minorHAnsi" w:eastAsiaTheme="minorEastAsia" w:hAnsiTheme="minorHAnsi" w:cstheme="minorBidi"/>
          <w:noProof/>
          <w:szCs w:val="22"/>
        </w:rPr>
      </w:pPr>
      <w:hyperlink w:anchor="_Toc390350007" w:history="1">
        <w:r w:rsidR="005E02C0" w:rsidRPr="007C6939">
          <w:rPr>
            <w:rStyle w:val="Hyperlink"/>
            <w:noProof/>
            <w:kern w:val="32"/>
          </w:rPr>
          <w:t>References:</w:t>
        </w:r>
        <w:r w:rsidR="005E02C0">
          <w:rPr>
            <w:noProof/>
            <w:webHidden/>
          </w:rPr>
          <w:tab/>
        </w:r>
        <w:r w:rsidR="005E02C0">
          <w:rPr>
            <w:noProof/>
            <w:webHidden/>
          </w:rPr>
          <w:fldChar w:fldCharType="begin"/>
        </w:r>
        <w:r w:rsidR="005E02C0">
          <w:rPr>
            <w:noProof/>
            <w:webHidden/>
          </w:rPr>
          <w:instrText xml:space="preserve"> PAGEREF _Toc390350007 \h </w:instrText>
        </w:r>
        <w:r w:rsidR="005E02C0">
          <w:rPr>
            <w:noProof/>
            <w:webHidden/>
          </w:rPr>
        </w:r>
        <w:r w:rsidR="005E02C0">
          <w:rPr>
            <w:noProof/>
            <w:webHidden/>
          </w:rPr>
          <w:fldChar w:fldCharType="separate"/>
        </w:r>
        <w:r w:rsidR="005E02C0">
          <w:rPr>
            <w:noProof/>
            <w:webHidden/>
          </w:rPr>
          <w:t>10</w:t>
        </w:r>
        <w:r w:rsidR="005E02C0">
          <w:rPr>
            <w:noProof/>
            <w:webHidden/>
          </w:rPr>
          <w:fldChar w:fldCharType="end"/>
        </w:r>
      </w:hyperlink>
    </w:p>
    <w:p w:rsidR="00ED21EE" w:rsidRPr="00C27D3B" w:rsidRDefault="00137DDC" w:rsidP="00ED21EE">
      <w:pPr>
        <w:pStyle w:val="Heading1"/>
      </w:pPr>
      <w:r>
        <w:rPr>
          <w:kern w:val="0"/>
          <w:sz w:val="22"/>
          <w:szCs w:val="22"/>
        </w:rPr>
        <w:fldChar w:fldCharType="end"/>
      </w:r>
      <w:r w:rsidR="006559C8" w:rsidRPr="00665569">
        <w:rPr>
          <w:sz w:val="22"/>
          <w:szCs w:val="22"/>
        </w:rPr>
        <w:br w:type="page"/>
      </w:r>
      <w:bookmarkStart w:id="15" w:name="_Toc172205729"/>
      <w:bookmarkStart w:id="16" w:name="_Toc387914045"/>
      <w:bookmarkStart w:id="17" w:name="_Toc390349982"/>
      <w:r w:rsidR="00ED21EE" w:rsidRPr="00C27D3B">
        <w:lastRenderedPageBreak/>
        <w:t>List of Tables</w:t>
      </w:r>
      <w:bookmarkEnd w:id="15"/>
      <w:bookmarkEnd w:id="16"/>
      <w:bookmarkEnd w:id="17"/>
    </w:p>
    <w:p w:rsidR="005E02C0" w:rsidRDefault="00137DDC">
      <w:pPr>
        <w:pStyle w:val="TableofFigures"/>
        <w:tabs>
          <w:tab w:val="right" w:leader="dot" w:pos="9350"/>
        </w:tabs>
        <w:rPr>
          <w:rFonts w:asciiTheme="minorHAnsi" w:eastAsiaTheme="minorEastAsia" w:hAnsiTheme="minorHAnsi" w:cstheme="minorBidi"/>
          <w:noProof/>
          <w:szCs w:val="22"/>
        </w:rPr>
      </w:pPr>
      <w:r>
        <w:rPr>
          <w:rFonts w:cs="Arial"/>
          <w:szCs w:val="22"/>
        </w:rPr>
        <w:fldChar w:fldCharType="begin"/>
      </w:r>
      <w:r>
        <w:rPr>
          <w:rFonts w:cs="Arial"/>
          <w:szCs w:val="22"/>
        </w:rPr>
        <w:instrText xml:space="preserve"> TOC \h \z \c "Table" </w:instrText>
      </w:r>
      <w:r>
        <w:rPr>
          <w:rFonts w:cs="Arial"/>
          <w:szCs w:val="22"/>
        </w:rPr>
        <w:fldChar w:fldCharType="separate"/>
      </w:r>
      <w:hyperlink w:anchor="_Toc390349967" w:history="1">
        <w:r w:rsidR="005E02C0" w:rsidRPr="00C82F70">
          <w:rPr>
            <w:rStyle w:val="Hyperlink"/>
            <w:rFonts w:cs="Arial"/>
            <w:noProof/>
          </w:rPr>
          <w:t>Table 1 Measure Application Type</w:t>
        </w:r>
        <w:r w:rsidR="005E02C0">
          <w:rPr>
            <w:noProof/>
            <w:webHidden/>
          </w:rPr>
          <w:tab/>
        </w:r>
        <w:r w:rsidR="005E02C0">
          <w:rPr>
            <w:noProof/>
            <w:webHidden/>
          </w:rPr>
          <w:fldChar w:fldCharType="begin"/>
        </w:r>
        <w:r w:rsidR="005E02C0">
          <w:rPr>
            <w:noProof/>
            <w:webHidden/>
          </w:rPr>
          <w:instrText xml:space="preserve"> PAGEREF _Toc390349967 \h </w:instrText>
        </w:r>
        <w:r w:rsidR="005E02C0">
          <w:rPr>
            <w:noProof/>
            <w:webHidden/>
          </w:rPr>
        </w:r>
        <w:r w:rsidR="005E02C0">
          <w:rPr>
            <w:noProof/>
            <w:webHidden/>
          </w:rPr>
          <w:fldChar w:fldCharType="separate"/>
        </w:r>
        <w:r w:rsidR="005E02C0">
          <w:rPr>
            <w:noProof/>
            <w:webHidden/>
          </w:rPr>
          <w:t>2</w:t>
        </w:r>
        <w:r w:rsidR="005E02C0">
          <w:rPr>
            <w:noProof/>
            <w:webHidden/>
          </w:rPr>
          <w:fldChar w:fldCharType="end"/>
        </w:r>
      </w:hyperlink>
    </w:p>
    <w:p w:rsidR="005E02C0" w:rsidRDefault="00524D71">
      <w:pPr>
        <w:pStyle w:val="TableofFigures"/>
        <w:tabs>
          <w:tab w:val="right" w:leader="dot" w:pos="9350"/>
        </w:tabs>
        <w:rPr>
          <w:rFonts w:asciiTheme="minorHAnsi" w:eastAsiaTheme="minorEastAsia" w:hAnsiTheme="minorHAnsi" w:cstheme="minorBidi"/>
          <w:noProof/>
          <w:szCs w:val="22"/>
        </w:rPr>
      </w:pPr>
      <w:hyperlink w:anchor="_Toc390349968" w:history="1">
        <w:r w:rsidR="005E02C0" w:rsidRPr="00C82F70">
          <w:rPr>
            <w:rStyle w:val="Hyperlink"/>
            <w:rFonts w:cs="Arial"/>
            <w:noProof/>
          </w:rPr>
          <w:t>Table 2 DEER Net-to-Gross Ratios</w:t>
        </w:r>
        <w:r w:rsidR="005E02C0">
          <w:rPr>
            <w:noProof/>
            <w:webHidden/>
          </w:rPr>
          <w:tab/>
        </w:r>
        <w:r w:rsidR="005E02C0">
          <w:rPr>
            <w:noProof/>
            <w:webHidden/>
          </w:rPr>
          <w:fldChar w:fldCharType="begin"/>
        </w:r>
        <w:r w:rsidR="005E02C0">
          <w:rPr>
            <w:noProof/>
            <w:webHidden/>
          </w:rPr>
          <w:instrText xml:space="preserve"> PAGEREF _Toc390349968 \h </w:instrText>
        </w:r>
        <w:r w:rsidR="005E02C0">
          <w:rPr>
            <w:noProof/>
            <w:webHidden/>
          </w:rPr>
        </w:r>
        <w:r w:rsidR="005E02C0">
          <w:rPr>
            <w:noProof/>
            <w:webHidden/>
          </w:rPr>
          <w:fldChar w:fldCharType="separate"/>
        </w:r>
        <w:r w:rsidR="005E02C0">
          <w:rPr>
            <w:noProof/>
            <w:webHidden/>
          </w:rPr>
          <w:t>3</w:t>
        </w:r>
        <w:r w:rsidR="005E02C0">
          <w:rPr>
            <w:noProof/>
            <w:webHidden/>
          </w:rPr>
          <w:fldChar w:fldCharType="end"/>
        </w:r>
      </w:hyperlink>
    </w:p>
    <w:p w:rsidR="005E02C0" w:rsidRDefault="00524D71">
      <w:pPr>
        <w:pStyle w:val="TableofFigures"/>
        <w:tabs>
          <w:tab w:val="right" w:leader="dot" w:pos="9350"/>
        </w:tabs>
        <w:rPr>
          <w:rFonts w:asciiTheme="minorHAnsi" w:eastAsiaTheme="minorEastAsia" w:hAnsiTheme="minorHAnsi" w:cstheme="minorBidi"/>
          <w:noProof/>
          <w:szCs w:val="22"/>
        </w:rPr>
      </w:pPr>
      <w:hyperlink w:anchor="_Toc390349969" w:history="1">
        <w:r w:rsidR="005E02C0" w:rsidRPr="00C82F70">
          <w:rPr>
            <w:rStyle w:val="Hyperlink"/>
            <w:rFonts w:cs="Arial"/>
            <w:noProof/>
          </w:rPr>
          <w:t>Table 3 TOU Adjustment Factors</w:t>
        </w:r>
        <w:r w:rsidR="005E02C0">
          <w:rPr>
            <w:noProof/>
            <w:webHidden/>
          </w:rPr>
          <w:tab/>
        </w:r>
        <w:r w:rsidR="005E02C0">
          <w:rPr>
            <w:noProof/>
            <w:webHidden/>
          </w:rPr>
          <w:fldChar w:fldCharType="begin"/>
        </w:r>
        <w:r w:rsidR="005E02C0">
          <w:rPr>
            <w:noProof/>
            <w:webHidden/>
          </w:rPr>
          <w:instrText xml:space="preserve"> PAGEREF _Toc390349969 \h </w:instrText>
        </w:r>
        <w:r w:rsidR="005E02C0">
          <w:rPr>
            <w:noProof/>
            <w:webHidden/>
          </w:rPr>
        </w:r>
        <w:r w:rsidR="005E02C0">
          <w:rPr>
            <w:noProof/>
            <w:webHidden/>
          </w:rPr>
          <w:fldChar w:fldCharType="separate"/>
        </w:r>
        <w:r w:rsidR="005E02C0">
          <w:rPr>
            <w:noProof/>
            <w:webHidden/>
          </w:rPr>
          <w:t>3</w:t>
        </w:r>
        <w:r w:rsidR="005E02C0">
          <w:rPr>
            <w:noProof/>
            <w:webHidden/>
          </w:rPr>
          <w:fldChar w:fldCharType="end"/>
        </w:r>
      </w:hyperlink>
    </w:p>
    <w:p w:rsidR="005E02C0" w:rsidRDefault="00524D71">
      <w:pPr>
        <w:pStyle w:val="TableofFigures"/>
        <w:tabs>
          <w:tab w:val="right" w:leader="dot" w:pos="9350"/>
        </w:tabs>
        <w:rPr>
          <w:rFonts w:asciiTheme="minorHAnsi" w:eastAsiaTheme="minorEastAsia" w:hAnsiTheme="minorHAnsi" w:cstheme="minorBidi"/>
          <w:noProof/>
          <w:szCs w:val="22"/>
        </w:rPr>
      </w:pPr>
      <w:hyperlink w:anchor="_Toc390349970" w:history="1">
        <w:r w:rsidR="005E02C0" w:rsidRPr="00C82F70">
          <w:rPr>
            <w:rStyle w:val="Hyperlink"/>
            <w:rFonts w:cs="Arial"/>
            <w:noProof/>
          </w:rPr>
          <w:t>Table 4 Baseline by Measure Application Type</w:t>
        </w:r>
        <w:r w:rsidR="005E02C0">
          <w:rPr>
            <w:noProof/>
            <w:webHidden/>
          </w:rPr>
          <w:tab/>
        </w:r>
        <w:r w:rsidR="005E02C0">
          <w:rPr>
            <w:noProof/>
            <w:webHidden/>
          </w:rPr>
          <w:fldChar w:fldCharType="begin"/>
        </w:r>
        <w:r w:rsidR="005E02C0">
          <w:rPr>
            <w:noProof/>
            <w:webHidden/>
          </w:rPr>
          <w:instrText xml:space="preserve"> PAGEREF _Toc390349970 \h </w:instrText>
        </w:r>
        <w:r w:rsidR="005E02C0">
          <w:rPr>
            <w:noProof/>
            <w:webHidden/>
          </w:rPr>
        </w:r>
        <w:r w:rsidR="005E02C0">
          <w:rPr>
            <w:noProof/>
            <w:webHidden/>
          </w:rPr>
          <w:fldChar w:fldCharType="separate"/>
        </w:r>
        <w:r w:rsidR="005E02C0">
          <w:rPr>
            <w:noProof/>
            <w:webHidden/>
          </w:rPr>
          <w:t>4</w:t>
        </w:r>
        <w:r w:rsidR="005E02C0">
          <w:rPr>
            <w:noProof/>
            <w:webHidden/>
          </w:rPr>
          <w:fldChar w:fldCharType="end"/>
        </w:r>
      </w:hyperlink>
    </w:p>
    <w:p w:rsidR="005A1F9D" w:rsidRPr="00112B44" w:rsidRDefault="00137DDC" w:rsidP="005A1F9D">
      <w:pPr>
        <w:rPr>
          <w:rFonts w:ascii="Arial" w:hAnsi="Arial" w:cs="Arial"/>
          <w:sz w:val="22"/>
          <w:szCs w:val="22"/>
        </w:rPr>
      </w:pPr>
      <w:r>
        <w:rPr>
          <w:rFonts w:ascii="Arial" w:hAnsi="Arial" w:cs="Arial"/>
          <w:sz w:val="22"/>
          <w:szCs w:val="22"/>
        </w:rPr>
        <w:fldChar w:fldCharType="end"/>
      </w:r>
    </w:p>
    <w:p w:rsidR="005A1F9D" w:rsidRPr="00C27D3B" w:rsidRDefault="005A1F9D" w:rsidP="005A1F9D">
      <w:pPr>
        <w:pStyle w:val="Heading1"/>
      </w:pPr>
      <w:bookmarkStart w:id="18" w:name="_Toc174179832"/>
      <w:bookmarkStart w:id="19" w:name="_Toc174181292"/>
      <w:bookmarkStart w:id="20" w:name="_Toc387914046"/>
      <w:bookmarkStart w:id="21" w:name="_Toc390349983"/>
      <w:r w:rsidRPr="00C27D3B">
        <w:t>List of Figures</w:t>
      </w:r>
      <w:bookmarkEnd w:id="18"/>
      <w:bookmarkEnd w:id="19"/>
      <w:bookmarkEnd w:id="20"/>
      <w:bookmarkEnd w:id="21"/>
    </w:p>
    <w:p w:rsidR="005E02C0" w:rsidRDefault="005A1F9D">
      <w:pPr>
        <w:pStyle w:val="TableofFigures"/>
        <w:tabs>
          <w:tab w:val="right" w:leader="dot" w:pos="9350"/>
        </w:tabs>
        <w:rPr>
          <w:rFonts w:asciiTheme="minorHAnsi" w:eastAsiaTheme="minorEastAsia" w:hAnsiTheme="minorHAnsi" w:cstheme="minorBidi"/>
          <w:noProof/>
          <w:szCs w:val="22"/>
        </w:rPr>
      </w:pPr>
      <w:r w:rsidRPr="00C27D3B">
        <w:rPr>
          <w:rFonts w:cs="Arial"/>
        </w:rPr>
        <w:fldChar w:fldCharType="begin"/>
      </w:r>
      <w:r w:rsidRPr="00C27D3B">
        <w:rPr>
          <w:rFonts w:cs="Arial"/>
        </w:rPr>
        <w:instrText xml:space="preserve"> TOC \h \z \c "Figure" </w:instrText>
      </w:r>
      <w:r w:rsidRPr="00C27D3B">
        <w:rPr>
          <w:rFonts w:cs="Arial"/>
        </w:rPr>
        <w:fldChar w:fldCharType="separate"/>
      </w:r>
      <w:hyperlink w:anchor="_Toc390349971" w:history="1">
        <w:r w:rsidR="005E02C0" w:rsidRPr="003E327D">
          <w:rPr>
            <w:rStyle w:val="Hyperlink"/>
            <w:noProof/>
          </w:rPr>
          <w:t>Figure 1 - Base Case Daily Load Profiles</w:t>
        </w:r>
        <w:r w:rsidR="005E02C0">
          <w:rPr>
            <w:noProof/>
            <w:webHidden/>
          </w:rPr>
          <w:tab/>
        </w:r>
        <w:r w:rsidR="005E02C0">
          <w:rPr>
            <w:noProof/>
            <w:webHidden/>
          </w:rPr>
          <w:fldChar w:fldCharType="begin"/>
        </w:r>
        <w:r w:rsidR="005E02C0">
          <w:rPr>
            <w:noProof/>
            <w:webHidden/>
          </w:rPr>
          <w:instrText xml:space="preserve"> PAGEREF _Toc390349971 \h </w:instrText>
        </w:r>
        <w:r w:rsidR="005E02C0">
          <w:rPr>
            <w:noProof/>
            <w:webHidden/>
          </w:rPr>
        </w:r>
        <w:r w:rsidR="005E02C0">
          <w:rPr>
            <w:noProof/>
            <w:webHidden/>
          </w:rPr>
          <w:fldChar w:fldCharType="separate"/>
        </w:r>
        <w:r w:rsidR="005E02C0">
          <w:rPr>
            <w:noProof/>
            <w:webHidden/>
          </w:rPr>
          <w:t>6</w:t>
        </w:r>
        <w:r w:rsidR="005E02C0">
          <w:rPr>
            <w:noProof/>
            <w:webHidden/>
          </w:rPr>
          <w:fldChar w:fldCharType="end"/>
        </w:r>
      </w:hyperlink>
    </w:p>
    <w:p w:rsidR="005E02C0" w:rsidRDefault="00524D71">
      <w:pPr>
        <w:pStyle w:val="TableofFigures"/>
        <w:tabs>
          <w:tab w:val="right" w:leader="dot" w:pos="9350"/>
        </w:tabs>
        <w:rPr>
          <w:rFonts w:asciiTheme="minorHAnsi" w:eastAsiaTheme="minorEastAsia" w:hAnsiTheme="minorHAnsi" w:cstheme="minorBidi"/>
          <w:noProof/>
          <w:szCs w:val="22"/>
        </w:rPr>
      </w:pPr>
      <w:hyperlink w:anchor="_Toc390349972" w:history="1">
        <w:r w:rsidR="005E02C0" w:rsidRPr="003E327D">
          <w:rPr>
            <w:rStyle w:val="Hyperlink"/>
            <w:noProof/>
          </w:rPr>
          <w:t>Figure 2 - Measure Savings Daily Load Profile</w:t>
        </w:r>
        <w:r w:rsidR="005E02C0">
          <w:rPr>
            <w:noProof/>
            <w:webHidden/>
          </w:rPr>
          <w:tab/>
        </w:r>
        <w:r w:rsidR="005E02C0">
          <w:rPr>
            <w:noProof/>
            <w:webHidden/>
          </w:rPr>
          <w:fldChar w:fldCharType="begin"/>
        </w:r>
        <w:r w:rsidR="005E02C0">
          <w:rPr>
            <w:noProof/>
            <w:webHidden/>
          </w:rPr>
          <w:instrText xml:space="preserve"> PAGEREF _Toc390349972 \h </w:instrText>
        </w:r>
        <w:r w:rsidR="005E02C0">
          <w:rPr>
            <w:noProof/>
            <w:webHidden/>
          </w:rPr>
        </w:r>
        <w:r w:rsidR="005E02C0">
          <w:rPr>
            <w:noProof/>
            <w:webHidden/>
          </w:rPr>
          <w:fldChar w:fldCharType="separate"/>
        </w:r>
        <w:r w:rsidR="005E02C0">
          <w:rPr>
            <w:noProof/>
            <w:webHidden/>
          </w:rPr>
          <w:t>7</w:t>
        </w:r>
        <w:r w:rsidR="005E02C0">
          <w:rPr>
            <w:noProof/>
            <w:webHidden/>
          </w:rPr>
          <w:fldChar w:fldCharType="end"/>
        </w:r>
      </w:hyperlink>
    </w:p>
    <w:p w:rsidR="005A1F9D" w:rsidRDefault="005A1F9D" w:rsidP="005A1F9D">
      <w:pPr>
        <w:sectPr w:rsidR="005A1F9D" w:rsidSect="00E03431">
          <w:endnotePr>
            <w:numFmt w:val="decimal"/>
          </w:endnotePr>
          <w:pgSz w:w="12240" w:h="15840"/>
          <w:pgMar w:top="1440" w:right="1440" w:bottom="1440" w:left="1440" w:header="720" w:footer="720" w:gutter="0"/>
          <w:pgNumType w:fmt="lowerRoman"/>
          <w:cols w:space="720"/>
          <w:docGrid w:linePitch="360"/>
        </w:sectPr>
      </w:pPr>
      <w:r w:rsidRPr="00C27D3B">
        <w:rPr>
          <w:rFonts w:ascii="Arial" w:hAnsi="Arial" w:cs="Arial"/>
        </w:rPr>
        <w:fldChar w:fldCharType="end"/>
      </w:r>
    </w:p>
    <w:p w:rsidR="00990E2A" w:rsidRDefault="00990E2A" w:rsidP="00ED21EE">
      <w:pPr>
        <w:pStyle w:val="Heading1"/>
        <w:sectPr w:rsidR="00990E2A" w:rsidSect="00333E01">
          <w:endnotePr>
            <w:numFmt w:val="decimal"/>
          </w:endnotePr>
          <w:type w:val="continuous"/>
          <w:pgSz w:w="12240" w:h="15840"/>
          <w:pgMar w:top="1440" w:right="1440" w:bottom="1440" w:left="1440" w:header="720" w:footer="720" w:gutter="0"/>
          <w:pgNumType w:start="0"/>
          <w:cols w:space="720"/>
          <w:docGrid w:linePitch="360"/>
        </w:sectPr>
      </w:pPr>
      <w:bookmarkStart w:id="22" w:name="_Toc172205732"/>
    </w:p>
    <w:p w:rsidR="00ED21EE" w:rsidRDefault="00ED21EE" w:rsidP="00ED21EE">
      <w:pPr>
        <w:pStyle w:val="Heading1"/>
      </w:pPr>
      <w:bookmarkStart w:id="23" w:name="_Toc387914047"/>
      <w:bookmarkStart w:id="24" w:name="_Toc390349984"/>
      <w:proofErr w:type="gramStart"/>
      <w:r>
        <w:lastRenderedPageBreak/>
        <w:t>Section 1.</w:t>
      </w:r>
      <w:proofErr w:type="gramEnd"/>
      <w:r>
        <w:t xml:space="preserve"> General Measure &amp; Baseline Data</w:t>
      </w:r>
      <w:bookmarkEnd w:id="23"/>
      <w:bookmarkEnd w:id="24"/>
    </w:p>
    <w:p w:rsidR="00E71EF1" w:rsidRDefault="001248A3" w:rsidP="001248A3">
      <w:pPr>
        <w:pStyle w:val="Heading2"/>
      </w:pPr>
      <w:bookmarkStart w:id="25" w:name="_Toc387914048"/>
      <w:bookmarkStart w:id="26" w:name="_Toc390349985"/>
      <w:bookmarkEnd w:id="22"/>
      <w:r>
        <w:t xml:space="preserve">1.1 </w:t>
      </w:r>
      <w:r w:rsidR="008C6AD1">
        <w:t xml:space="preserve">Product </w:t>
      </w:r>
      <w:r w:rsidR="00E71EF1" w:rsidRPr="001248A3">
        <w:t>Measure Description &amp; Background</w:t>
      </w:r>
      <w:bookmarkEnd w:id="25"/>
      <w:bookmarkEnd w:id="26"/>
    </w:p>
    <w:p w:rsidR="00521920" w:rsidRDefault="00521920" w:rsidP="00872913">
      <w:pPr>
        <w:rPr>
          <w:rFonts w:ascii="Arial" w:hAnsi="Arial" w:cs="Arial"/>
          <w:b/>
          <w:i/>
        </w:rPr>
      </w:pPr>
      <w:r>
        <w:rPr>
          <w:rFonts w:ascii="Arial" w:hAnsi="Arial" w:cs="Arial"/>
          <w:b/>
          <w:i/>
        </w:rPr>
        <w:t>Program Restrictions and Guidelines</w:t>
      </w:r>
    </w:p>
    <w:p w:rsidR="00405CE1" w:rsidRDefault="00405CE1" w:rsidP="0011561D">
      <w:pPr>
        <w:ind w:left="720" w:hanging="360"/>
        <w:rPr>
          <w:rFonts w:ascii="Arial" w:hAnsi="Arial" w:cs="Arial"/>
          <w:b/>
          <w:snapToGrid w:val="0"/>
          <w:sz w:val="20"/>
        </w:rPr>
      </w:pPr>
    </w:p>
    <w:p w:rsidR="0011561D" w:rsidRPr="00C27D3B" w:rsidRDefault="00C27D3B" w:rsidP="0011561D">
      <w:pPr>
        <w:ind w:left="720" w:hanging="360"/>
        <w:rPr>
          <w:rFonts w:ascii="Arial" w:hAnsi="Arial" w:cs="Arial"/>
          <w:b/>
          <w:snapToGrid w:val="0"/>
          <w:sz w:val="20"/>
        </w:rPr>
      </w:pPr>
      <w:r w:rsidRPr="00C27D3B">
        <w:rPr>
          <w:rFonts w:ascii="Arial" w:hAnsi="Arial" w:cs="Arial"/>
          <w:b/>
          <w:snapToGrid w:val="0"/>
          <w:sz w:val="20"/>
        </w:rPr>
        <w:t>Terms and Conditions</w:t>
      </w:r>
      <w:r w:rsidR="0011561D" w:rsidRPr="00C27D3B">
        <w:rPr>
          <w:rFonts w:ascii="Arial" w:hAnsi="Arial" w:cs="Arial"/>
          <w:b/>
          <w:snapToGrid w:val="0"/>
          <w:sz w:val="20"/>
        </w:rPr>
        <w:t>:</w:t>
      </w:r>
    </w:p>
    <w:p w:rsidR="0011561D" w:rsidRPr="00C27D3B" w:rsidRDefault="005D548C" w:rsidP="005D548C">
      <w:pPr>
        <w:pStyle w:val="BodyText"/>
        <w:numPr>
          <w:ilvl w:val="0"/>
          <w:numId w:val="18"/>
        </w:numPr>
        <w:rPr>
          <w:rFonts w:ascii="Arial" w:hAnsi="Arial" w:cs="Arial"/>
          <w:sz w:val="20"/>
        </w:rPr>
      </w:pPr>
      <w:r w:rsidRPr="005D548C">
        <w:rPr>
          <w:rFonts w:ascii="Arial" w:hAnsi="Arial" w:cs="Arial"/>
          <w:sz w:val="20"/>
        </w:rPr>
        <w:t>The baseline case — a medium-temperature, open, refrigerated display case, conjoined with a medium-temperature walk-in cooler — must install doors to enclose the open-display-case area and remove the display-case evaporator fans. Baseline display lighting may not exceed the efficiency level of T8 fluorescent lamps. The baseline evaporator fan motors must be shaded pole.</w:t>
      </w:r>
    </w:p>
    <w:p w:rsidR="0011561D" w:rsidRPr="00C27D3B" w:rsidRDefault="0011561D" w:rsidP="0011561D">
      <w:pPr>
        <w:pStyle w:val="BodyText"/>
        <w:numPr>
          <w:ilvl w:val="0"/>
          <w:numId w:val="18"/>
        </w:numPr>
        <w:rPr>
          <w:rFonts w:ascii="Arial" w:hAnsi="Arial" w:cs="Arial"/>
          <w:sz w:val="20"/>
        </w:rPr>
      </w:pPr>
      <w:bookmarkStart w:id="27" w:name="_Toc249954170"/>
      <w:r w:rsidRPr="00C27D3B">
        <w:rPr>
          <w:rFonts w:ascii="Arial" w:hAnsi="Arial" w:cs="Arial"/>
          <w:sz w:val="20"/>
        </w:rPr>
        <w:t>Existing case evaporator coils, fans, and lighting must be removed.</w:t>
      </w:r>
      <w:bookmarkEnd w:id="27"/>
    </w:p>
    <w:p w:rsidR="0011561D" w:rsidRPr="00C27D3B" w:rsidRDefault="0011561D" w:rsidP="0011561D">
      <w:pPr>
        <w:pStyle w:val="BodyText"/>
        <w:numPr>
          <w:ilvl w:val="0"/>
          <w:numId w:val="18"/>
        </w:numPr>
        <w:rPr>
          <w:rFonts w:ascii="Arial" w:hAnsi="Arial" w:cs="Arial"/>
          <w:sz w:val="20"/>
        </w:rPr>
      </w:pPr>
      <w:bookmarkStart w:id="28" w:name="_Toc249954171"/>
      <w:r w:rsidRPr="00C27D3B">
        <w:rPr>
          <w:rFonts w:ascii="Arial" w:hAnsi="Arial" w:cs="Arial"/>
          <w:sz w:val="20"/>
        </w:rPr>
        <w:t>New reach-in door</w:t>
      </w:r>
      <w:r w:rsidR="0048233B">
        <w:rPr>
          <w:rFonts w:ascii="Arial" w:hAnsi="Arial" w:cs="Arial"/>
          <w:sz w:val="20"/>
        </w:rPr>
        <w:t>s</w:t>
      </w:r>
      <w:r w:rsidRPr="00C27D3B">
        <w:rPr>
          <w:rFonts w:ascii="Arial" w:hAnsi="Arial" w:cs="Arial"/>
          <w:sz w:val="20"/>
        </w:rPr>
        <w:t xml:space="preserve"> must have T8 or more efficient lighting and frame heaters, but no anti-sweat heaters.</w:t>
      </w:r>
      <w:bookmarkEnd w:id="28"/>
    </w:p>
    <w:p w:rsidR="003E7422" w:rsidRPr="00C27D3B" w:rsidRDefault="003E7422" w:rsidP="00480BAD">
      <w:pPr>
        <w:ind w:left="360"/>
        <w:rPr>
          <w:rFonts w:ascii="Arial" w:hAnsi="Arial" w:cs="Arial"/>
          <w:b/>
          <w:i/>
          <w:sz w:val="20"/>
          <w:szCs w:val="20"/>
        </w:rPr>
      </w:pPr>
    </w:p>
    <w:p w:rsidR="00680A2E" w:rsidRPr="00C27D3B" w:rsidRDefault="00521920" w:rsidP="005912E4">
      <w:pPr>
        <w:ind w:left="360"/>
        <w:rPr>
          <w:rFonts w:ascii="Arial" w:hAnsi="Arial" w:cs="Arial"/>
          <w:b/>
          <w:i/>
          <w:sz w:val="20"/>
          <w:szCs w:val="20"/>
        </w:rPr>
      </w:pPr>
      <w:r w:rsidRPr="00C27D3B">
        <w:rPr>
          <w:rFonts w:ascii="Arial" w:hAnsi="Arial" w:cs="Arial"/>
          <w:b/>
          <w:i/>
          <w:sz w:val="20"/>
          <w:szCs w:val="20"/>
        </w:rPr>
        <w:t>Market Applicability</w:t>
      </w:r>
      <w:r w:rsidR="003E7422" w:rsidRPr="00C27D3B">
        <w:rPr>
          <w:rFonts w:ascii="Arial" w:hAnsi="Arial" w:cs="Arial"/>
          <w:b/>
          <w:i/>
          <w:sz w:val="20"/>
          <w:szCs w:val="20"/>
        </w:rPr>
        <w:t>:</w:t>
      </w:r>
      <w:r w:rsidRPr="00C27D3B">
        <w:rPr>
          <w:rFonts w:ascii="Arial" w:hAnsi="Arial" w:cs="Arial"/>
          <w:b/>
          <w:i/>
          <w:sz w:val="20"/>
          <w:szCs w:val="20"/>
        </w:rPr>
        <w:t xml:space="preserve"> </w:t>
      </w:r>
    </w:p>
    <w:p w:rsidR="00255854" w:rsidRPr="00C27D3B" w:rsidRDefault="00255854" w:rsidP="00405CE1">
      <w:pPr>
        <w:ind w:left="360"/>
        <w:rPr>
          <w:rFonts w:ascii="Arial" w:hAnsi="Arial" w:cs="Arial"/>
          <w:b/>
          <w:i/>
          <w:sz w:val="16"/>
          <w:szCs w:val="20"/>
        </w:rPr>
      </w:pPr>
      <w:r w:rsidRPr="00C27D3B">
        <w:rPr>
          <w:rFonts w:ascii="Arial" w:hAnsi="Arial" w:cs="Arial"/>
          <w:sz w:val="20"/>
        </w:rPr>
        <w:t xml:space="preserve">This is a retrofit </w:t>
      </w:r>
      <w:r w:rsidR="00DA3BB3" w:rsidRPr="00C27D3B">
        <w:rPr>
          <w:rFonts w:ascii="Arial" w:hAnsi="Arial" w:cs="Arial"/>
          <w:sz w:val="20"/>
        </w:rPr>
        <w:t xml:space="preserve">addition </w:t>
      </w:r>
      <w:r w:rsidRPr="00C27D3B">
        <w:rPr>
          <w:rFonts w:ascii="Arial" w:hAnsi="Arial" w:cs="Arial"/>
          <w:sz w:val="20"/>
        </w:rPr>
        <w:t xml:space="preserve">measure that is </w:t>
      </w:r>
      <w:r w:rsidR="00376CB0" w:rsidRPr="00C27D3B">
        <w:rPr>
          <w:rFonts w:ascii="Arial" w:hAnsi="Arial" w:cs="Arial"/>
          <w:sz w:val="20"/>
        </w:rPr>
        <w:t>targeted at grocery stores with existing</w:t>
      </w:r>
      <w:r w:rsidRPr="00C27D3B">
        <w:rPr>
          <w:rFonts w:ascii="Arial" w:hAnsi="Arial" w:cs="Arial"/>
          <w:sz w:val="20"/>
        </w:rPr>
        <w:t xml:space="preserve"> walk-in reach-</w:t>
      </w:r>
      <w:r w:rsidR="00DA3BB3" w:rsidRPr="00C27D3B">
        <w:rPr>
          <w:rFonts w:ascii="Arial" w:hAnsi="Arial" w:cs="Arial"/>
          <w:sz w:val="20"/>
        </w:rPr>
        <w:t>in refrigerated</w:t>
      </w:r>
      <w:r w:rsidRPr="00C27D3B">
        <w:rPr>
          <w:rFonts w:ascii="Arial" w:hAnsi="Arial" w:cs="Arial"/>
          <w:sz w:val="20"/>
        </w:rPr>
        <w:t xml:space="preserve"> display case</w:t>
      </w:r>
      <w:r w:rsidR="00DA3BB3" w:rsidRPr="00C27D3B">
        <w:rPr>
          <w:rFonts w:ascii="Arial" w:hAnsi="Arial" w:cs="Arial"/>
          <w:sz w:val="20"/>
        </w:rPr>
        <w:t>s</w:t>
      </w:r>
      <w:r w:rsidRPr="00C27D3B">
        <w:rPr>
          <w:rFonts w:ascii="Arial" w:hAnsi="Arial" w:cs="Arial"/>
          <w:sz w:val="20"/>
        </w:rPr>
        <w:t xml:space="preserve"> that are exposed to the grocery sales floor space</w:t>
      </w:r>
      <w:r w:rsidR="00376CB0" w:rsidRPr="00C27D3B">
        <w:rPr>
          <w:rFonts w:ascii="Arial" w:hAnsi="Arial" w:cs="Arial"/>
          <w:sz w:val="20"/>
        </w:rPr>
        <w:t>.</w:t>
      </w:r>
      <w:r w:rsidRPr="00C27D3B">
        <w:rPr>
          <w:rFonts w:ascii="Arial" w:hAnsi="Arial" w:cs="Arial"/>
          <w:sz w:val="20"/>
        </w:rPr>
        <w:t xml:space="preserve">  The rebate encourages the grocer to add this technology to </w:t>
      </w:r>
      <w:r w:rsidR="00376CB0" w:rsidRPr="00C27D3B">
        <w:rPr>
          <w:rFonts w:ascii="Arial" w:hAnsi="Arial" w:cs="Arial"/>
          <w:sz w:val="20"/>
        </w:rPr>
        <w:t>decrease the infiltration of the refrigerated space making they refrigeration system more</w:t>
      </w:r>
      <w:r w:rsidRPr="00C27D3B">
        <w:rPr>
          <w:rFonts w:ascii="Arial" w:hAnsi="Arial" w:cs="Arial"/>
          <w:sz w:val="20"/>
        </w:rPr>
        <w:t xml:space="preserve"> energy efficient.</w:t>
      </w:r>
    </w:p>
    <w:p w:rsidR="00255854" w:rsidRPr="00C27D3B" w:rsidRDefault="00255854" w:rsidP="00405CE1">
      <w:pPr>
        <w:ind w:left="360"/>
        <w:rPr>
          <w:rFonts w:ascii="Arial" w:hAnsi="Arial" w:cs="Arial"/>
          <w:sz w:val="20"/>
        </w:rPr>
      </w:pPr>
    </w:p>
    <w:p w:rsidR="00255854" w:rsidRPr="00C27D3B" w:rsidRDefault="00255854" w:rsidP="00405CE1">
      <w:pPr>
        <w:ind w:left="360"/>
        <w:rPr>
          <w:rFonts w:ascii="Arial" w:hAnsi="Arial" w:cs="Arial"/>
          <w:sz w:val="20"/>
        </w:rPr>
      </w:pPr>
      <w:r w:rsidRPr="00C27D3B">
        <w:rPr>
          <w:rFonts w:ascii="Arial" w:hAnsi="Arial" w:cs="Arial"/>
          <w:sz w:val="20"/>
        </w:rPr>
        <w:t>This paper contains savings for the grocery building type, 5 building vintage categories and</w:t>
      </w:r>
      <w:r w:rsidRPr="00C27D3B">
        <w:rPr>
          <w:rFonts w:ascii="Arial" w:hAnsi="Arial" w:cs="Arial"/>
          <w:color w:val="FF0000"/>
          <w:sz w:val="20"/>
        </w:rPr>
        <w:t xml:space="preserve"> </w:t>
      </w:r>
      <w:r w:rsidR="005D548C">
        <w:rPr>
          <w:rFonts w:ascii="Arial" w:hAnsi="Arial" w:cs="Arial"/>
          <w:sz w:val="20"/>
        </w:rPr>
        <w:t>15 California climate zones.</w:t>
      </w:r>
    </w:p>
    <w:p w:rsidR="00197A23" w:rsidRDefault="00197A23" w:rsidP="00872913">
      <w:pPr>
        <w:rPr>
          <w:rFonts w:ascii="Arial" w:hAnsi="Arial" w:cs="Arial"/>
          <w:b/>
          <w:i/>
        </w:rPr>
      </w:pPr>
    </w:p>
    <w:p w:rsidR="00521920" w:rsidRPr="00806070" w:rsidRDefault="00806070" w:rsidP="00806070">
      <w:pPr>
        <w:rPr>
          <w:rFonts w:ascii="Arial" w:hAnsi="Arial" w:cs="Arial"/>
          <w:b/>
          <w:i/>
          <w:sz w:val="28"/>
          <w:szCs w:val="28"/>
        </w:rPr>
      </w:pPr>
      <w:r>
        <w:rPr>
          <w:rFonts w:ascii="Arial" w:hAnsi="Arial" w:cs="Arial"/>
          <w:b/>
          <w:i/>
          <w:sz w:val="28"/>
          <w:szCs w:val="28"/>
        </w:rPr>
        <w:t xml:space="preserve">1.2 Product </w:t>
      </w:r>
      <w:r w:rsidR="00521920" w:rsidRPr="00806070">
        <w:rPr>
          <w:rFonts w:ascii="Arial" w:hAnsi="Arial" w:cs="Arial"/>
          <w:b/>
          <w:i/>
          <w:sz w:val="28"/>
          <w:szCs w:val="28"/>
        </w:rPr>
        <w:t>Technical Description</w:t>
      </w:r>
    </w:p>
    <w:p w:rsidR="0011561D" w:rsidRPr="00C27D3B" w:rsidRDefault="0011561D" w:rsidP="0011561D">
      <w:pPr>
        <w:rPr>
          <w:rFonts w:ascii="Arial" w:hAnsi="Arial" w:cs="Arial"/>
          <w:sz w:val="20"/>
        </w:rPr>
      </w:pPr>
      <w:r w:rsidRPr="00C27D3B">
        <w:rPr>
          <w:rFonts w:ascii="Arial" w:hAnsi="Arial" w:cs="Arial"/>
          <w:sz w:val="20"/>
        </w:rPr>
        <w:t xml:space="preserve">The base case is a refrigerated </w:t>
      </w:r>
      <w:r w:rsidR="008B5E64">
        <w:rPr>
          <w:rFonts w:ascii="Arial" w:hAnsi="Arial" w:cs="Arial"/>
          <w:sz w:val="20"/>
        </w:rPr>
        <w:t xml:space="preserve">open </w:t>
      </w:r>
      <w:r w:rsidRPr="00C27D3B">
        <w:rPr>
          <w:rFonts w:ascii="Arial" w:hAnsi="Arial" w:cs="Arial"/>
          <w:sz w:val="20"/>
        </w:rPr>
        <w:t xml:space="preserve">display case, </w:t>
      </w:r>
      <w:r w:rsidR="00106FCA">
        <w:rPr>
          <w:rFonts w:ascii="Arial" w:hAnsi="Arial" w:cs="Arial"/>
          <w:sz w:val="20"/>
        </w:rPr>
        <w:t>attached to a Walk In and</w:t>
      </w:r>
      <w:r w:rsidRPr="00C27D3B">
        <w:rPr>
          <w:rFonts w:ascii="Arial" w:hAnsi="Arial" w:cs="Arial"/>
          <w:sz w:val="20"/>
        </w:rPr>
        <w:t xml:space="preserve"> expos</w:t>
      </w:r>
      <w:r w:rsidR="00DA150B">
        <w:rPr>
          <w:rFonts w:ascii="Arial" w:hAnsi="Arial" w:cs="Arial"/>
          <w:sz w:val="20"/>
        </w:rPr>
        <w:t>ed to the sales floor. The</w:t>
      </w:r>
      <w:r w:rsidRPr="00C27D3B">
        <w:rPr>
          <w:rFonts w:ascii="Arial" w:hAnsi="Arial" w:cs="Arial"/>
          <w:sz w:val="20"/>
        </w:rPr>
        <w:t xml:space="preserve"> measure consists of removing</w:t>
      </w:r>
      <w:r w:rsidR="008B5E64">
        <w:rPr>
          <w:rFonts w:ascii="Arial" w:hAnsi="Arial" w:cs="Arial"/>
          <w:sz w:val="20"/>
        </w:rPr>
        <w:t xml:space="preserve"> the</w:t>
      </w:r>
      <w:r w:rsidRPr="00C27D3B">
        <w:rPr>
          <w:rFonts w:ascii="Arial" w:hAnsi="Arial" w:cs="Arial"/>
          <w:sz w:val="20"/>
        </w:rPr>
        <w:t xml:space="preserve"> exis</w:t>
      </w:r>
      <w:r w:rsidR="008B5E64">
        <w:rPr>
          <w:rFonts w:ascii="Arial" w:hAnsi="Arial" w:cs="Arial"/>
          <w:sz w:val="20"/>
        </w:rPr>
        <w:t xml:space="preserve">ting medium temperature open </w:t>
      </w:r>
      <w:r w:rsidR="00DA150B">
        <w:rPr>
          <w:rFonts w:ascii="Arial" w:hAnsi="Arial" w:cs="Arial"/>
          <w:sz w:val="20"/>
        </w:rPr>
        <w:t>refrigerated display cases</w:t>
      </w:r>
      <w:r w:rsidRPr="00C27D3B">
        <w:rPr>
          <w:rFonts w:ascii="Arial" w:hAnsi="Arial" w:cs="Arial"/>
          <w:sz w:val="20"/>
        </w:rPr>
        <w:t>, their evaporator coils, T8 linear fluorescent lighting</w:t>
      </w:r>
      <w:r w:rsidR="00DA150B">
        <w:rPr>
          <w:rFonts w:ascii="Arial" w:hAnsi="Arial" w:cs="Arial"/>
          <w:sz w:val="20"/>
        </w:rPr>
        <w:t>, and fan motors and replacing them with</w:t>
      </w:r>
      <w:r w:rsidRPr="00C27D3B">
        <w:rPr>
          <w:rFonts w:ascii="Arial" w:hAnsi="Arial" w:cs="Arial"/>
          <w:sz w:val="20"/>
        </w:rPr>
        <w:t xml:space="preserve"> </w:t>
      </w:r>
      <w:r w:rsidR="00DA150B">
        <w:rPr>
          <w:rFonts w:ascii="Arial" w:hAnsi="Arial" w:cs="Arial"/>
          <w:sz w:val="20"/>
        </w:rPr>
        <w:t>n</w:t>
      </w:r>
      <w:r w:rsidRPr="00C27D3B">
        <w:rPr>
          <w:rFonts w:ascii="Arial" w:hAnsi="Arial" w:cs="Arial"/>
          <w:sz w:val="20"/>
        </w:rPr>
        <w:t xml:space="preserve">ew reach-in doors that have </w:t>
      </w:r>
      <w:r w:rsidR="00DA150B">
        <w:rPr>
          <w:rFonts w:ascii="Arial" w:hAnsi="Arial" w:cs="Arial"/>
          <w:sz w:val="20"/>
        </w:rPr>
        <w:t xml:space="preserve">no fans, </w:t>
      </w:r>
      <w:r w:rsidR="00151235">
        <w:rPr>
          <w:rFonts w:ascii="Arial" w:hAnsi="Arial" w:cs="Arial"/>
          <w:sz w:val="20"/>
        </w:rPr>
        <w:t xml:space="preserve">no evaporator coils, </w:t>
      </w:r>
      <w:r w:rsidRPr="00C27D3B">
        <w:rPr>
          <w:rFonts w:ascii="Arial" w:hAnsi="Arial" w:cs="Arial"/>
          <w:sz w:val="20"/>
        </w:rPr>
        <w:t xml:space="preserve">T8 lighting </w:t>
      </w:r>
      <w:r w:rsidR="00DA150B">
        <w:rPr>
          <w:rFonts w:ascii="Arial" w:hAnsi="Arial" w:cs="Arial"/>
          <w:sz w:val="20"/>
        </w:rPr>
        <w:t xml:space="preserve">or better, </w:t>
      </w:r>
      <w:r w:rsidRPr="00C27D3B">
        <w:rPr>
          <w:rFonts w:ascii="Arial" w:hAnsi="Arial" w:cs="Arial"/>
          <w:sz w:val="20"/>
        </w:rPr>
        <w:t xml:space="preserve">and frame heaters but no anti-sweat </w:t>
      </w:r>
      <w:r w:rsidR="00244A08" w:rsidRPr="00C27D3B">
        <w:rPr>
          <w:rFonts w:ascii="Arial" w:hAnsi="Arial" w:cs="Arial"/>
          <w:sz w:val="20"/>
        </w:rPr>
        <w:t xml:space="preserve">door </w:t>
      </w:r>
      <w:r w:rsidRPr="00C27D3B">
        <w:rPr>
          <w:rFonts w:ascii="Arial" w:hAnsi="Arial" w:cs="Arial"/>
          <w:sz w:val="20"/>
        </w:rPr>
        <w:t>heaters. The majority of the savings are due to the reduction of sales</w:t>
      </w:r>
      <w:r w:rsidR="00592B7D">
        <w:rPr>
          <w:rFonts w:ascii="Arial" w:hAnsi="Arial" w:cs="Arial"/>
          <w:sz w:val="20"/>
        </w:rPr>
        <w:t>-</w:t>
      </w:r>
      <w:r w:rsidRPr="00C27D3B">
        <w:rPr>
          <w:rFonts w:ascii="Arial" w:hAnsi="Arial" w:cs="Arial"/>
          <w:sz w:val="20"/>
        </w:rPr>
        <w:t>space</w:t>
      </w:r>
      <w:r w:rsidR="00592B7D">
        <w:rPr>
          <w:rFonts w:ascii="Arial" w:hAnsi="Arial" w:cs="Arial"/>
          <w:sz w:val="20"/>
        </w:rPr>
        <w:t>-</w:t>
      </w:r>
      <w:r w:rsidRPr="00C27D3B">
        <w:rPr>
          <w:rFonts w:ascii="Arial" w:hAnsi="Arial" w:cs="Arial"/>
          <w:sz w:val="20"/>
        </w:rPr>
        <w:t xml:space="preserve">heat infiltration as a result of installing the </w:t>
      </w:r>
      <w:r w:rsidR="003A712E">
        <w:rPr>
          <w:rFonts w:ascii="Arial" w:hAnsi="Arial" w:cs="Arial"/>
          <w:sz w:val="20"/>
        </w:rPr>
        <w:t xml:space="preserve">case </w:t>
      </w:r>
      <w:r w:rsidRPr="00C27D3B">
        <w:rPr>
          <w:rFonts w:ascii="Arial" w:hAnsi="Arial" w:cs="Arial"/>
          <w:sz w:val="20"/>
        </w:rPr>
        <w:t xml:space="preserve">door. Additionally, the reduced infiltration load allows for the case evaporator fans to be removed, resulting in </w:t>
      </w:r>
      <w:r w:rsidR="005D548C">
        <w:rPr>
          <w:rFonts w:ascii="Arial" w:hAnsi="Arial" w:cs="Arial"/>
          <w:sz w:val="20"/>
        </w:rPr>
        <w:t>a reduced auxiliary load.</w:t>
      </w:r>
    </w:p>
    <w:p w:rsidR="0011561D" w:rsidRDefault="0011561D" w:rsidP="00872913">
      <w:pPr>
        <w:rPr>
          <w:rFonts w:ascii="Arial" w:hAnsi="Arial" w:cs="Arial"/>
          <w:b/>
          <w:i/>
          <w:sz w:val="20"/>
          <w:szCs w:val="20"/>
          <w:highlight w:val="cyan"/>
        </w:rPr>
      </w:pPr>
    </w:p>
    <w:p w:rsidR="009C5CA7" w:rsidRDefault="009C5CA7" w:rsidP="009C5CA7">
      <w:pPr>
        <w:pStyle w:val="Heading2"/>
        <w:keepNext w:val="0"/>
      </w:pPr>
      <w:bookmarkStart w:id="29" w:name="_Toc387914049"/>
      <w:bookmarkStart w:id="30" w:name="_Toc390349986"/>
      <w:r>
        <w:t>1.</w:t>
      </w:r>
      <w:r w:rsidR="00806070">
        <w:t>3</w:t>
      </w:r>
      <w:r>
        <w:t xml:space="preserve"> </w:t>
      </w:r>
      <w:r w:rsidR="0010679C">
        <w:t>Measure Application Type</w:t>
      </w:r>
      <w:bookmarkEnd w:id="29"/>
      <w:bookmarkEnd w:id="30"/>
    </w:p>
    <w:p w:rsidR="00244A08" w:rsidRPr="00C27D3B" w:rsidRDefault="00244A08" w:rsidP="009C5CA7">
      <w:pPr>
        <w:rPr>
          <w:rFonts w:ascii="Arial" w:hAnsi="Arial" w:cs="Arial"/>
          <w:sz w:val="20"/>
          <w:szCs w:val="20"/>
        </w:rPr>
      </w:pPr>
      <w:r w:rsidRPr="00C27D3B">
        <w:rPr>
          <w:rFonts w:ascii="Arial" w:hAnsi="Arial" w:cs="Arial"/>
          <w:sz w:val="20"/>
          <w:szCs w:val="20"/>
        </w:rPr>
        <w:t>The delivery method for this measure is downstream prescriptive rebate.</w:t>
      </w:r>
    </w:p>
    <w:p w:rsidR="00586DD0" w:rsidRPr="00C27D3B" w:rsidRDefault="00586DD0" w:rsidP="009C5CA7">
      <w:pPr>
        <w:rPr>
          <w:rFonts w:ascii="Arial" w:hAnsi="Arial" w:cs="Arial"/>
          <w:sz w:val="20"/>
          <w:szCs w:val="20"/>
        </w:rPr>
      </w:pPr>
    </w:p>
    <w:p w:rsidR="00586DD0" w:rsidRPr="00C27D3B" w:rsidRDefault="00586DD0" w:rsidP="002C42FB">
      <w:pPr>
        <w:tabs>
          <w:tab w:val="left" w:pos="1305"/>
        </w:tabs>
        <w:rPr>
          <w:rFonts w:ascii="Arial" w:hAnsi="Arial" w:cs="Arial"/>
          <w:sz w:val="20"/>
          <w:szCs w:val="20"/>
        </w:rPr>
      </w:pPr>
      <w:r w:rsidRPr="00C27D3B">
        <w:rPr>
          <w:rFonts w:ascii="Arial" w:hAnsi="Arial" w:cs="Arial"/>
          <w:sz w:val="20"/>
          <w:szCs w:val="20"/>
        </w:rPr>
        <w:t xml:space="preserve">The Measure Application Type for this measure is Retrofit Add </w:t>
      </w:r>
      <w:proofErr w:type="gramStart"/>
      <w:r w:rsidR="00AE2598" w:rsidRPr="00C27D3B">
        <w:rPr>
          <w:rFonts w:ascii="Arial" w:hAnsi="Arial" w:cs="Arial"/>
          <w:sz w:val="20"/>
          <w:szCs w:val="20"/>
        </w:rPr>
        <w:t>O</w:t>
      </w:r>
      <w:r w:rsidRPr="00C27D3B">
        <w:rPr>
          <w:rFonts w:ascii="Arial" w:hAnsi="Arial" w:cs="Arial"/>
          <w:sz w:val="20"/>
          <w:szCs w:val="20"/>
        </w:rPr>
        <w:t>n</w:t>
      </w:r>
      <w:proofErr w:type="gramEnd"/>
      <w:r w:rsidRPr="00C27D3B">
        <w:rPr>
          <w:rFonts w:ascii="Arial" w:hAnsi="Arial" w:cs="Arial"/>
          <w:sz w:val="20"/>
          <w:szCs w:val="20"/>
        </w:rPr>
        <w:t xml:space="preserve"> (REA). In this measure</w:t>
      </w:r>
      <w:r w:rsidR="009627D1">
        <w:rPr>
          <w:rFonts w:ascii="Arial" w:hAnsi="Arial" w:cs="Arial"/>
          <w:sz w:val="20"/>
          <w:szCs w:val="20"/>
        </w:rPr>
        <w:t xml:space="preserve">, </w:t>
      </w:r>
      <w:r w:rsidR="003A712E">
        <w:rPr>
          <w:rFonts w:ascii="Arial" w:hAnsi="Arial" w:cs="Arial"/>
          <w:sz w:val="20"/>
          <w:szCs w:val="20"/>
        </w:rPr>
        <w:t xml:space="preserve">an existing </w:t>
      </w:r>
      <w:r w:rsidR="00664061">
        <w:rPr>
          <w:rFonts w:ascii="Arial" w:hAnsi="Arial" w:cs="Arial"/>
          <w:sz w:val="20"/>
          <w:szCs w:val="20"/>
        </w:rPr>
        <w:t xml:space="preserve">refrigerated </w:t>
      </w:r>
      <w:r w:rsidR="003A712E">
        <w:rPr>
          <w:rFonts w:ascii="Arial" w:hAnsi="Arial" w:cs="Arial"/>
          <w:sz w:val="20"/>
          <w:szCs w:val="20"/>
        </w:rPr>
        <w:t xml:space="preserve">open case </w:t>
      </w:r>
      <w:r w:rsidR="00404DA7">
        <w:rPr>
          <w:rFonts w:ascii="Arial" w:hAnsi="Arial" w:cs="Arial"/>
          <w:sz w:val="20"/>
          <w:szCs w:val="20"/>
        </w:rPr>
        <w:t xml:space="preserve">attached to a Walk In </w:t>
      </w:r>
      <w:r w:rsidR="003A712E">
        <w:rPr>
          <w:rFonts w:ascii="Arial" w:hAnsi="Arial" w:cs="Arial"/>
          <w:sz w:val="20"/>
          <w:szCs w:val="20"/>
        </w:rPr>
        <w:t xml:space="preserve">is removed and </w:t>
      </w:r>
      <w:r w:rsidRPr="00C27D3B">
        <w:rPr>
          <w:rFonts w:ascii="Arial" w:hAnsi="Arial" w:cs="Arial"/>
          <w:sz w:val="20"/>
          <w:szCs w:val="20"/>
        </w:rPr>
        <w:t xml:space="preserve">doors are added to </w:t>
      </w:r>
      <w:r w:rsidR="00AB50DF">
        <w:rPr>
          <w:rFonts w:ascii="Arial" w:hAnsi="Arial" w:cs="Arial"/>
          <w:sz w:val="20"/>
          <w:szCs w:val="20"/>
        </w:rPr>
        <w:t>the</w:t>
      </w:r>
      <w:r w:rsidRPr="00C27D3B">
        <w:rPr>
          <w:rFonts w:ascii="Arial" w:hAnsi="Arial" w:cs="Arial"/>
          <w:sz w:val="20"/>
          <w:szCs w:val="20"/>
        </w:rPr>
        <w:t xml:space="preserve"> walk-in </w:t>
      </w:r>
      <w:r w:rsidR="003A712E">
        <w:rPr>
          <w:rFonts w:ascii="Arial" w:hAnsi="Arial" w:cs="Arial"/>
          <w:sz w:val="20"/>
          <w:szCs w:val="20"/>
        </w:rPr>
        <w:t>space</w:t>
      </w:r>
      <w:r w:rsidRPr="00C27D3B">
        <w:rPr>
          <w:rFonts w:ascii="Arial" w:hAnsi="Arial" w:cs="Arial"/>
          <w:sz w:val="20"/>
          <w:szCs w:val="20"/>
        </w:rPr>
        <w:t xml:space="preserve"> </w:t>
      </w:r>
      <w:r w:rsidR="009E483A">
        <w:rPr>
          <w:rFonts w:ascii="Arial" w:hAnsi="Arial" w:cs="Arial"/>
          <w:sz w:val="20"/>
          <w:szCs w:val="20"/>
        </w:rPr>
        <w:t xml:space="preserve">in order </w:t>
      </w:r>
      <w:r w:rsidRPr="00C27D3B">
        <w:rPr>
          <w:rFonts w:ascii="Arial" w:hAnsi="Arial" w:cs="Arial"/>
          <w:sz w:val="20"/>
          <w:szCs w:val="20"/>
        </w:rPr>
        <w:t>to decrease the load on the refrigeration system there</w:t>
      </w:r>
      <w:r w:rsidR="009E483A">
        <w:rPr>
          <w:rFonts w:ascii="Arial" w:hAnsi="Arial" w:cs="Arial"/>
          <w:sz w:val="20"/>
          <w:szCs w:val="20"/>
        </w:rPr>
        <w:t>by</w:t>
      </w:r>
      <w:r w:rsidRPr="00C27D3B">
        <w:rPr>
          <w:rFonts w:ascii="Arial" w:hAnsi="Arial" w:cs="Arial"/>
          <w:sz w:val="20"/>
          <w:szCs w:val="20"/>
        </w:rPr>
        <w:t xml:space="preserve"> making it more efficient.</w:t>
      </w:r>
    </w:p>
    <w:p w:rsidR="00244A08" w:rsidRPr="00C27D3B" w:rsidRDefault="00244A08" w:rsidP="002C42FB">
      <w:pPr>
        <w:tabs>
          <w:tab w:val="left" w:pos="1305"/>
        </w:tabs>
        <w:rPr>
          <w:rFonts w:ascii="Arial" w:hAnsi="Arial" w:cs="Arial"/>
          <w:sz w:val="20"/>
          <w:szCs w:val="20"/>
        </w:rPr>
      </w:pPr>
    </w:p>
    <w:p w:rsidR="003A1AEA" w:rsidRDefault="00F81385" w:rsidP="00405CE1">
      <w:pPr>
        <w:pStyle w:val="Caption"/>
        <w:keepNext/>
        <w:rPr>
          <w:rFonts w:ascii="Arial" w:hAnsi="Arial" w:cs="Arial"/>
          <w:b w:val="0"/>
          <w:bCs w:val="0"/>
        </w:rPr>
      </w:pPr>
      <w:r w:rsidRPr="00C27D3B">
        <w:rPr>
          <w:rFonts w:ascii="Arial" w:hAnsi="Arial" w:cs="Arial"/>
          <w:b w:val="0"/>
          <w:bCs w:val="0"/>
        </w:rPr>
        <w:t>The DEER Measure Cost Data Users Guide, version 2.01 found on www.deeresources.com under DEER2011 Database Format hyperlink, DEER2011 for 13-14, spreadsheet SPTdata_for</w:t>
      </w:r>
      <w:r w:rsidR="00AE2598" w:rsidRPr="00C27D3B">
        <w:rPr>
          <w:rFonts w:ascii="Arial" w:hAnsi="Arial" w:cs="Arial"/>
          <w:b w:val="0"/>
          <w:bCs w:val="0"/>
        </w:rPr>
        <w:t>mat-V0.97.xls, defines the term</w:t>
      </w:r>
      <w:r w:rsidRPr="00C27D3B">
        <w:rPr>
          <w:rFonts w:ascii="Arial" w:hAnsi="Arial" w:cs="Arial"/>
          <w:b w:val="0"/>
          <w:bCs w:val="0"/>
        </w:rPr>
        <w:t xml:space="preserve"> as follows:</w:t>
      </w:r>
    </w:p>
    <w:p w:rsidR="00405CE1" w:rsidRPr="00405CE1" w:rsidRDefault="00405CE1" w:rsidP="00405CE1"/>
    <w:p w:rsidR="00F81385" w:rsidRPr="00665569" w:rsidRDefault="00F81385" w:rsidP="00A0740B">
      <w:pPr>
        <w:pStyle w:val="Caption"/>
        <w:keepNext/>
        <w:jc w:val="center"/>
        <w:rPr>
          <w:rFonts w:ascii="Arial" w:hAnsi="Arial" w:cs="Arial"/>
          <w:sz w:val="26"/>
          <w:szCs w:val="26"/>
        </w:rPr>
      </w:pPr>
      <w:bookmarkStart w:id="31" w:name="_Toc387914155"/>
      <w:bookmarkStart w:id="32" w:name="_Toc390349967"/>
      <w:r w:rsidRPr="00665569">
        <w:rPr>
          <w:rFonts w:ascii="Arial" w:hAnsi="Arial" w:cs="Arial"/>
        </w:rPr>
        <w:lastRenderedPageBreak/>
        <w:t xml:space="preserve">Table </w:t>
      </w:r>
      <w:r w:rsidR="008B7A6B" w:rsidRPr="00665569">
        <w:rPr>
          <w:rFonts w:ascii="Arial" w:hAnsi="Arial" w:cs="Arial"/>
        </w:rPr>
        <w:fldChar w:fldCharType="begin"/>
      </w:r>
      <w:r w:rsidR="008B7A6B" w:rsidRPr="00665569">
        <w:rPr>
          <w:rFonts w:ascii="Arial" w:hAnsi="Arial" w:cs="Arial"/>
        </w:rPr>
        <w:instrText xml:space="preserve"> SEQ Table \* ARABIC </w:instrText>
      </w:r>
      <w:r w:rsidR="008B7A6B" w:rsidRPr="00665569">
        <w:rPr>
          <w:rFonts w:ascii="Arial" w:hAnsi="Arial" w:cs="Arial"/>
        </w:rPr>
        <w:fldChar w:fldCharType="separate"/>
      </w:r>
      <w:r w:rsidR="007F512F">
        <w:rPr>
          <w:rFonts w:ascii="Arial" w:hAnsi="Arial" w:cs="Arial"/>
          <w:noProof/>
        </w:rPr>
        <w:t>1</w:t>
      </w:r>
      <w:r w:rsidR="008B7A6B" w:rsidRPr="00665569">
        <w:rPr>
          <w:rFonts w:ascii="Arial" w:hAnsi="Arial" w:cs="Arial"/>
          <w:noProof/>
        </w:rPr>
        <w:fldChar w:fldCharType="end"/>
      </w:r>
      <w:bookmarkStart w:id="33" w:name="RANGE!B222"/>
      <w:r w:rsidRPr="00665569">
        <w:rPr>
          <w:rFonts w:ascii="Arial" w:hAnsi="Arial" w:cs="Arial"/>
          <w:sz w:val="26"/>
          <w:szCs w:val="26"/>
        </w:rPr>
        <w:t xml:space="preserve"> </w:t>
      </w:r>
      <w:r w:rsidRPr="00665569">
        <w:rPr>
          <w:rFonts w:ascii="Arial" w:hAnsi="Arial" w:cs="Arial"/>
        </w:rPr>
        <w:t>Measure Application Type</w:t>
      </w:r>
      <w:bookmarkEnd w:id="31"/>
      <w:bookmarkEnd w:id="32"/>
      <w:bookmarkEnd w:id="33"/>
    </w:p>
    <w:p w:rsidR="00F81385" w:rsidRPr="00665569" w:rsidRDefault="00F81385" w:rsidP="00F81385">
      <w:pPr>
        <w:keepNext/>
        <w:rPr>
          <w:rFonts w:ascii="Arial" w:hAnsi="Arial" w:cs="Arial"/>
          <w:sz w:val="20"/>
          <w:szCs w:val="20"/>
        </w:rPr>
      </w:pPr>
      <w:proofErr w:type="gramStart"/>
      <w:r w:rsidRPr="00665569">
        <w:rPr>
          <w:rFonts w:ascii="Arial" w:hAnsi="Arial" w:cs="Arial"/>
          <w:i/>
          <w:iCs/>
          <w:sz w:val="20"/>
          <w:szCs w:val="20"/>
        </w:rPr>
        <w:t>Identifies the measure application type in the Measure Implemen</w:t>
      </w:r>
      <w:r w:rsidR="00586DD0" w:rsidRPr="00665569">
        <w:rPr>
          <w:rFonts w:ascii="Arial" w:hAnsi="Arial" w:cs="Arial"/>
          <w:i/>
          <w:iCs/>
          <w:sz w:val="20"/>
          <w:szCs w:val="20"/>
        </w:rPr>
        <w:t>t</w:t>
      </w:r>
      <w:r w:rsidRPr="00665569">
        <w:rPr>
          <w:rFonts w:ascii="Arial" w:hAnsi="Arial" w:cs="Arial"/>
          <w:i/>
          <w:iCs/>
          <w:sz w:val="20"/>
          <w:szCs w:val="20"/>
        </w:rPr>
        <w:t>ation table in DEER2011.</w:t>
      </w:r>
      <w:proofErr w:type="gramEnd"/>
    </w:p>
    <w:tbl>
      <w:tblPr>
        <w:tblW w:w="9090" w:type="dxa"/>
        <w:tblInd w:w="108" w:type="dxa"/>
        <w:tblLook w:val="04A0" w:firstRow="1" w:lastRow="0" w:firstColumn="1" w:lastColumn="0" w:noHBand="0" w:noVBand="1"/>
      </w:tblPr>
      <w:tblGrid>
        <w:gridCol w:w="900"/>
        <w:gridCol w:w="2610"/>
        <w:gridCol w:w="5580"/>
      </w:tblGrid>
      <w:tr w:rsidR="00F81385" w:rsidRPr="00665569" w:rsidTr="00AE2598">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F81385" w:rsidRPr="00665569" w:rsidRDefault="00F81385" w:rsidP="00AE2598">
            <w:pPr>
              <w:keepNext/>
              <w:rPr>
                <w:rFonts w:ascii="Arial" w:hAnsi="Arial" w:cs="Arial"/>
                <w:b/>
                <w:color w:val="000000"/>
                <w:sz w:val="20"/>
                <w:szCs w:val="20"/>
              </w:rPr>
            </w:pPr>
            <w:r w:rsidRPr="00665569">
              <w:rPr>
                <w:rFonts w:ascii="Arial" w:hAnsi="Arial" w:cs="Arial"/>
                <w:b/>
                <w:color w:val="000000"/>
                <w:sz w:val="20"/>
                <w:szCs w:val="20"/>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F81385" w:rsidRPr="00665569" w:rsidRDefault="00F81385" w:rsidP="00AE2598">
            <w:pPr>
              <w:keepNext/>
              <w:rPr>
                <w:rFonts w:ascii="Arial" w:hAnsi="Arial" w:cs="Arial"/>
                <w:b/>
                <w:color w:val="000000"/>
                <w:sz w:val="20"/>
                <w:szCs w:val="20"/>
              </w:rPr>
            </w:pPr>
            <w:r w:rsidRPr="00665569">
              <w:rPr>
                <w:rFonts w:ascii="Arial" w:hAnsi="Arial" w:cs="Arial"/>
                <w:b/>
                <w:color w:val="000000"/>
                <w:sz w:val="20"/>
                <w:szCs w:val="20"/>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F81385" w:rsidRPr="00665569" w:rsidRDefault="00F81385" w:rsidP="00AE2598">
            <w:pPr>
              <w:keepNext/>
              <w:rPr>
                <w:rFonts w:ascii="Arial" w:hAnsi="Arial" w:cs="Arial"/>
                <w:b/>
                <w:color w:val="000000"/>
                <w:sz w:val="20"/>
                <w:szCs w:val="20"/>
              </w:rPr>
            </w:pPr>
            <w:r w:rsidRPr="00665569">
              <w:rPr>
                <w:rFonts w:ascii="Arial" w:hAnsi="Arial" w:cs="Arial"/>
                <w:b/>
                <w:color w:val="000000"/>
                <w:sz w:val="20"/>
                <w:szCs w:val="20"/>
              </w:rPr>
              <w:t>Comment</w:t>
            </w:r>
          </w:p>
        </w:tc>
      </w:tr>
      <w:tr w:rsidR="00F81385" w:rsidRPr="00665569" w:rsidTr="00AE2598">
        <w:trPr>
          <w:trHeight w:val="600"/>
        </w:trPr>
        <w:tc>
          <w:tcPr>
            <w:tcW w:w="900" w:type="dxa"/>
            <w:tcBorders>
              <w:top w:val="nil"/>
              <w:left w:val="single" w:sz="4" w:space="0" w:color="auto"/>
              <w:bottom w:val="single" w:sz="4" w:space="0" w:color="auto"/>
              <w:right w:val="nil"/>
            </w:tcBorders>
            <w:shd w:val="clear" w:color="auto" w:fill="auto"/>
            <w:noWrap/>
            <w:vAlign w:val="center"/>
            <w:hideMark/>
          </w:tcPr>
          <w:p w:rsidR="00F81385" w:rsidRPr="00665569" w:rsidRDefault="00586DD0" w:rsidP="00AE2598">
            <w:pPr>
              <w:rPr>
                <w:rFonts w:ascii="Arial" w:hAnsi="Arial" w:cs="Arial"/>
                <w:sz w:val="20"/>
                <w:szCs w:val="20"/>
              </w:rPr>
            </w:pPr>
            <w:r w:rsidRPr="00665569">
              <w:rPr>
                <w:rFonts w:ascii="Arial" w:hAnsi="Arial" w:cs="Arial"/>
                <w:sz w:val="20"/>
                <w:szCs w:val="20"/>
              </w:rPr>
              <w:t>REA</w:t>
            </w:r>
          </w:p>
        </w:tc>
        <w:tc>
          <w:tcPr>
            <w:tcW w:w="2610" w:type="dxa"/>
            <w:tcBorders>
              <w:top w:val="nil"/>
              <w:left w:val="nil"/>
              <w:bottom w:val="single" w:sz="4" w:space="0" w:color="auto"/>
              <w:right w:val="nil"/>
            </w:tcBorders>
            <w:shd w:val="clear" w:color="auto" w:fill="auto"/>
            <w:noWrap/>
            <w:vAlign w:val="center"/>
            <w:hideMark/>
          </w:tcPr>
          <w:p w:rsidR="00F81385" w:rsidRPr="00665569" w:rsidRDefault="00586DD0" w:rsidP="00AE2598">
            <w:pPr>
              <w:rPr>
                <w:rFonts w:ascii="Arial" w:hAnsi="Arial" w:cs="Arial"/>
                <w:sz w:val="20"/>
                <w:szCs w:val="20"/>
              </w:rPr>
            </w:pPr>
            <w:r w:rsidRPr="00665569">
              <w:rPr>
                <w:rFonts w:ascii="Arial" w:hAnsi="Arial" w:cs="Arial"/>
                <w:sz w:val="20"/>
                <w:szCs w:val="20"/>
              </w:rPr>
              <w:t>Retrofit Add On</w:t>
            </w:r>
          </w:p>
        </w:tc>
        <w:tc>
          <w:tcPr>
            <w:tcW w:w="5580" w:type="dxa"/>
            <w:tcBorders>
              <w:top w:val="nil"/>
              <w:left w:val="nil"/>
              <w:bottom w:val="single" w:sz="4" w:space="0" w:color="auto"/>
              <w:right w:val="single" w:sz="4" w:space="0" w:color="auto"/>
            </w:tcBorders>
            <w:shd w:val="clear" w:color="auto" w:fill="auto"/>
            <w:vAlign w:val="center"/>
            <w:hideMark/>
          </w:tcPr>
          <w:p w:rsidR="00F81385" w:rsidRPr="00665569" w:rsidRDefault="00586DD0" w:rsidP="00AE2598">
            <w:pPr>
              <w:rPr>
                <w:rFonts w:ascii="Arial" w:hAnsi="Arial" w:cs="Arial"/>
                <w:i/>
                <w:iCs/>
                <w:sz w:val="20"/>
                <w:szCs w:val="20"/>
              </w:rPr>
            </w:pPr>
            <w:r w:rsidRPr="00665569">
              <w:rPr>
                <w:rFonts w:ascii="Arial" w:hAnsi="Arial" w:cs="Arial"/>
                <w:i/>
                <w:iCs/>
                <w:sz w:val="20"/>
                <w:szCs w:val="20"/>
              </w:rPr>
              <w:t>Single baseline (above pre-existing, full measure costs required</w:t>
            </w:r>
          </w:p>
        </w:tc>
      </w:tr>
    </w:tbl>
    <w:p w:rsidR="00244A08" w:rsidRPr="002C42FB" w:rsidRDefault="00244A08" w:rsidP="009C5CA7"/>
    <w:p w:rsidR="00806070" w:rsidRDefault="00806070" w:rsidP="001248A3">
      <w:pPr>
        <w:pStyle w:val="Heading2"/>
      </w:pPr>
      <w:bookmarkStart w:id="34" w:name="_Toc387914050"/>
      <w:bookmarkStart w:id="35" w:name="_Toc390349987"/>
      <w:r>
        <w:t>1.4 Product Base Case and Measure Case Data</w:t>
      </w:r>
      <w:bookmarkEnd w:id="34"/>
      <w:bookmarkEnd w:id="35"/>
    </w:p>
    <w:p w:rsidR="00E71EF1" w:rsidRDefault="001248A3" w:rsidP="00665569">
      <w:pPr>
        <w:pStyle w:val="Heading3"/>
      </w:pPr>
      <w:bookmarkStart w:id="36" w:name="_Toc387914051"/>
      <w:bookmarkStart w:id="37" w:name="_Toc390349988"/>
      <w:r>
        <w:t>1.</w:t>
      </w:r>
      <w:r w:rsidR="00806070">
        <w:t>4.1</w:t>
      </w:r>
      <w:r w:rsidR="00FA595F">
        <w:t xml:space="preserve"> </w:t>
      </w:r>
      <w:r w:rsidR="00C069A2" w:rsidRPr="001248A3">
        <w:t xml:space="preserve">DEER </w:t>
      </w:r>
      <w:r w:rsidR="008C6AD1">
        <w:t>Base Case and Measure Case Information</w:t>
      </w:r>
      <w:bookmarkEnd w:id="36"/>
      <w:bookmarkEnd w:id="37"/>
      <w:r w:rsidR="008C6AD1">
        <w:t xml:space="preserve"> </w:t>
      </w:r>
    </w:p>
    <w:p w:rsidR="00AF5B52" w:rsidRPr="00C27D3B" w:rsidRDefault="005C22B6" w:rsidP="005912E4">
      <w:pPr>
        <w:rPr>
          <w:rFonts w:ascii="Arial" w:hAnsi="Arial" w:cs="Arial"/>
          <w:sz w:val="22"/>
        </w:rPr>
      </w:pPr>
      <w:r>
        <w:rPr>
          <w:rFonts w:ascii="Arial" w:hAnsi="Arial" w:cs="Arial"/>
          <w:sz w:val="22"/>
        </w:rPr>
        <w:t xml:space="preserve">At the time of this work paper </w:t>
      </w:r>
      <w:r w:rsidR="00654E70">
        <w:rPr>
          <w:rFonts w:ascii="Arial" w:hAnsi="Arial" w:cs="Arial"/>
          <w:sz w:val="22"/>
        </w:rPr>
        <w:t>this measure does not exist in</w:t>
      </w:r>
      <w:r w:rsidR="00AF39EA">
        <w:rPr>
          <w:rFonts w:ascii="Arial" w:hAnsi="Arial" w:cs="Arial"/>
          <w:sz w:val="22"/>
        </w:rPr>
        <w:t xml:space="preserve"> DEER </w:t>
      </w:r>
      <w:r w:rsidR="00654E70">
        <w:rPr>
          <w:rFonts w:ascii="Arial" w:hAnsi="Arial" w:cs="Arial"/>
          <w:sz w:val="22"/>
        </w:rPr>
        <w:t xml:space="preserve">2014 </w:t>
      </w:r>
      <w:r w:rsidR="0010115C">
        <w:rPr>
          <w:rFonts w:ascii="Arial" w:hAnsi="Arial" w:cs="Arial"/>
          <w:sz w:val="22"/>
        </w:rPr>
        <w:t xml:space="preserve">or </w:t>
      </w:r>
      <w:r w:rsidR="005D548C">
        <w:rPr>
          <w:rFonts w:ascii="Arial" w:hAnsi="Arial" w:cs="Arial"/>
          <w:sz w:val="22"/>
        </w:rPr>
        <w:t xml:space="preserve">any </w:t>
      </w:r>
      <w:proofErr w:type="spellStart"/>
      <w:r w:rsidR="005D548C">
        <w:rPr>
          <w:rFonts w:ascii="Arial" w:hAnsi="Arial" w:cs="Arial"/>
          <w:sz w:val="22"/>
        </w:rPr>
        <w:t>preivous</w:t>
      </w:r>
      <w:proofErr w:type="spellEnd"/>
      <w:r w:rsidR="005D548C">
        <w:rPr>
          <w:rFonts w:ascii="Arial" w:hAnsi="Arial" w:cs="Arial"/>
          <w:sz w:val="22"/>
        </w:rPr>
        <w:t xml:space="preserve"> versions.</w:t>
      </w:r>
    </w:p>
    <w:p w:rsidR="00AF5B52" w:rsidRDefault="00AF5B52" w:rsidP="00AF5B52">
      <w:pPr>
        <w:rPr>
          <w:highlight w:val="yellow"/>
        </w:rPr>
      </w:pPr>
    </w:p>
    <w:p w:rsidR="002E0043" w:rsidRPr="002E0043" w:rsidRDefault="001248A3" w:rsidP="00665569">
      <w:pPr>
        <w:pStyle w:val="Heading3"/>
      </w:pPr>
      <w:bookmarkStart w:id="38" w:name="_Toc387914052"/>
      <w:bookmarkStart w:id="39" w:name="_Toc390349989"/>
      <w:r>
        <w:t>1.</w:t>
      </w:r>
      <w:r w:rsidR="00FA595F">
        <w:t>4</w:t>
      </w:r>
      <w:r w:rsidR="00793646">
        <w:t>.2</w:t>
      </w:r>
      <w:r w:rsidR="00FA595F">
        <w:t xml:space="preserve"> </w:t>
      </w:r>
      <w:r w:rsidR="00E71EF1" w:rsidRPr="001248A3">
        <w:t xml:space="preserve">Codes &amp; Standards Requirements </w:t>
      </w:r>
      <w:r w:rsidR="009C5CA7">
        <w:t>Base Case and Measure Information</w:t>
      </w:r>
      <w:bookmarkEnd w:id="38"/>
      <w:bookmarkEnd w:id="39"/>
    </w:p>
    <w:p w:rsidR="006441EE" w:rsidRPr="00C27D3B" w:rsidRDefault="006441EE" w:rsidP="006441EE">
      <w:pPr>
        <w:rPr>
          <w:rFonts w:ascii="Arial" w:hAnsi="Arial" w:cs="Arial"/>
          <w:sz w:val="20"/>
        </w:rPr>
      </w:pPr>
      <w:r w:rsidRPr="00C27D3B">
        <w:rPr>
          <w:rFonts w:ascii="Arial" w:hAnsi="Arial" w:cs="Arial"/>
          <w:sz w:val="20"/>
        </w:rPr>
        <w:t>Federal standards exist for refrigerated cases produced on or after January 1</w:t>
      </w:r>
      <w:r w:rsidRPr="00C27D3B">
        <w:rPr>
          <w:rFonts w:ascii="Arial" w:hAnsi="Arial" w:cs="Arial"/>
          <w:sz w:val="20"/>
          <w:vertAlign w:val="superscript"/>
        </w:rPr>
        <w:t>st</w:t>
      </w:r>
      <w:r w:rsidRPr="00C27D3B">
        <w:rPr>
          <w:rFonts w:ascii="Arial" w:hAnsi="Arial" w:cs="Arial"/>
          <w:sz w:val="20"/>
        </w:rPr>
        <w:t>, 2012. These standards limit the total energy consumption of the units when tested under conditions outlined in ARI Standard 1200-2006.</w:t>
      </w:r>
      <w:r w:rsidRPr="00C27D3B">
        <w:rPr>
          <w:rStyle w:val="EndnoteReference"/>
          <w:rFonts w:ascii="Arial" w:hAnsi="Arial" w:cs="Arial"/>
          <w:sz w:val="20"/>
        </w:rPr>
        <w:endnoteReference w:id="1"/>
      </w:r>
      <w:r w:rsidRPr="00C27D3B">
        <w:rPr>
          <w:rFonts w:ascii="Arial" w:hAnsi="Arial" w:cs="Arial"/>
          <w:sz w:val="20"/>
        </w:rPr>
        <w:t xml:space="preserve">  For medium temperature vertical</w:t>
      </w:r>
      <w:r w:rsidR="00A17E51">
        <w:rPr>
          <w:rFonts w:ascii="Arial" w:hAnsi="Arial" w:cs="Arial"/>
          <w:sz w:val="20"/>
        </w:rPr>
        <w:t>-</w:t>
      </w:r>
      <w:r w:rsidRPr="00C27D3B">
        <w:rPr>
          <w:rFonts w:ascii="Arial" w:hAnsi="Arial" w:cs="Arial"/>
          <w:sz w:val="20"/>
        </w:rPr>
        <w:t>open cases designed for use with remote condensers, the maximum energy consumption in kWh/day is equal to 0.82*</w:t>
      </w:r>
      <w:proofErr w:type="spellStart"/>
      <w:r w:rsidRPr="00C27D3B">
        <w:rPr>
          <w:rFonts w:ascii="Arial" w:hAnsi="Arial" w:cs="Arial"/>
          <w:sz w:val="20"/>
        </w:rPr>
        <w:t>DisplayArea</w:t>
      </w:r>
      <w:proofErr w:type="spellEnd"/>
      <w:r w:rsidRPr="00C27D3B">
        <w:rPr>
          <w:rFonts w:ascii="Arial" w:hAnsi="Arial" w:cs="Arial"/>
          <w:sz w:val="20"/>
        </w:rPr>
        <w:t xml:space="preserve"> (ft</w:t>
      </w:r>
      <w:r w:rsidRPr="00C27D3B">
        <w:rPr>
          <w:rFonts w:ascii="Arial" w:hAnsi="Arial" w:cs="Arial"/>
          <w:sz w:val="20"/>
          <w:vertAlign w:val="superscript"/>
        </w:rPr>
        <w:t>2</w:t>
      </w:r>
      <w:proofErr w:type="gramStart"/>
      <w:r w:rsidRPr="00C27D3B">
        <w:rPr>
          <w:rFonts w:ascii="Arial" w:hAnsi="Arial" w:cs="Arial"/>
          <w:sz w:val="20"/>
        </w:rPr>
        <w:t>)+</w:t>
      </w:r>
      <w:proofErr w:type="gramEnd"/>
      <w:r w:rsidRPr="00C27D3B">
        <w:rPr>
          <w:rFonts w:ascii="Arial" w:hAnsi="Arial" w:cs="Arial"/>
          <w:sz w:val="20"/>
        </w:rPr>
        <w:t>4.07.</w:t>
      </w:r>
      <w:r w:rsidRPr="00C27D3B">
        <w:rPr>
          <w:rStyle w:val="EndnoteReference"/>
          <w:rFonts w:ascii="Arial" w:hAnsi="Arial" w:cs="Arial"/>
          <w:sz w:val="20"/>
        </w:rPr>
        <w:endnoteReference w:id="2"/>
      </w:r>
      <w:r w:rsidRPr="00C27D3B">
        <w:rPr>
          <w:rFonts w:ascii="Arial" w:hAnsi="Arial" w:cs="Arial"/>
          <w:sz w:val="20"/>
        </w:rPr>
        <w:t xml:space="preserve">  For medium temperature vertical</w:t>
      </w:r>
      <w:r w:rsidR="00A17E51">
        <w:rPr>
          <w:rFonts w:ascii="Arial" w:hAnsi="Arial" w:cs="Arial"/>
          <w:sz w:val="20"/>
        </w:rPr>
        <w:t>-</w:t>
      </w:r>
      <w:r w:rsidRPr="00C27D3B">
        <w:rPr>
          <w:rFonts w:ascii="Arial" w:hAnsi="Arial" w:cs="Arial"/>
          <w:sz w:val="20"/>
        </w:rPr>
        <w:t>open cases with integrated condensers and compressors, the maximum energy consumption in kWh/day is equal to 1.74*</w:t>
      </w:r>
      <w:proofErr w:type="spellStart"/>
      <w:r w:rsidRPr="00C27D3B">
        <w:rPr>
          <w:rFonts w:ascii="Arial" w:hAnsi="Arial" w:cs="Arial"/>
          <w:sz w:val="20"/>
        </w:rPr>
        <w:t>DisplayArea</w:t>
      </w:r>
      <w:proofErr w:type="spellEnd"/>
      <w:r w:rsidRPr="00C27D3B">
        <w:rPr>
          <w:rFonts w:ascii="Arial" w:hAnsi="Arial" w:cs="Arial"/>
          <w:sz w:val="20"/>
        </w:rPr>
        <w:t xml:space="preserve"> (ft</w:t>
      </w:r>
      <w:r w:rsidRPr="00C27D3B">
        <w:rPr>
          <w:rFonts w:ascii="Arial" w:hAnsi="Arial" w:cs="Arial"/>
          <w:sz w:val="20"/>
          <w:vertAlign w:val="superscript"/>
        </w:rPr>
        <w:t>2</w:t>
      </w:r>
      <w:proofErr w:type="gramStart"/>
      <w:r w:rsidRPr="00C27D3B">
        <w:rPr>
          <w:rFonts w:ascii="Arial" w:hAnsi="Arial" w:cs="Arial"/>
          <w:sz w:val="20"/>
        </w:rPr>
        <w:t>)+</w:t>
      </w:r>
      <w:proofErr w:type="gramEnd"/>
      <w:r w:rsidRPr="00C27D3B">
        <w:rPr>
          <w:rFonts w:ascii="Arial" w:hAnsi="Arial" w:cs="Arial"/>
          <w:sz w:val="20"/>
        </w:rPr>
        <w:t>4.71.</w:t>
      </w:r>
      <w:r w:rsidRPr="00C27D3B">
        <w:rPr>
          <w:rStyle w:val="EndnoteReference"/>
          <w:rFonts w:ascii="Arial" w:hAnsi="Arial" w:cs="Arial"/>
          <w:sz w:val="20"/>
        </w:rPr>
        <w:endnoteReference w:id="3"/>
      </w:r>
    </w:p>
    <w:p w:rsidR="006441EE" w:rsidRPr="00C27D3B" w:rsidRDefault="006441EE" w:rsidP="006441EE">
      <w:pPr>
        <w:rPr>
          <w:rFonts w:ascii="Arial" w:hAnsi="Arial" w:cs="Arial"/>
          <w:sz w:val="20"/>
        </w:rPr>
      </w:pPr>
    </w:p>
    <w:p w:rsidR="006441EE" w:rsidRPr="00C27D3B" w:rsidRDefault="006441EE" w:rsidP="006441EE">
      <w:pPr>
        <w:rPr>
          <w:rFonts w:ascii="Arial" w:hAnsi="Arial" w:cs="Arial"/>
          <w:sz w:val="20"/>
        </w:rPr>
      </w:pPr>
      <w:r w:rsidRPr="00C27D3B">
        <w:rPr>
          <w:rFonts w:ascii="Arial" w:hAnsi="Arial" w:cs="Arial"/>
          <w:sz w:val="20"/>
        </w:rPr>
        <w:t>These standards are not applied to the analysis presented in this work paper as they apply only to new equipment. Such equipment is not expected to significantly influence the typical base case condition until the codes have been in place for several years.</w:t>
      </w:r>
    </w:p>
    <w:p w:rsidR="006441EE" w:rsidRPr="00C27D3B" w:rsidRDefault="006441EE" w:rsidP="006441EE">
      <w:pPr>
        <w:rPr>
          <w:rFonts w:ascii="Arial" w:hAnsi="Arial" w:cs="Arial"/>
          <w:b/>
          <w:i/>
          <w:sz w:val="20"/>
        </w:rPr>
      </w:pPr>
    </w:p>
    <w:p w:rsidR="006441EE" w:rsidRPr="00D92B16" w:rsidRDefault="006441EE" w:rsidP="006441EE">
      <w:pPr>
        <w:rPr>
          <w:rFonts w:ascii="Arial" w:hAnsi="Arial" w:cs="Arial"/>
          <w:i/>
          <w:sz w:val="20"/>
          <w:szCs w:val="20"/>
        </w:rPr>
      </w:pPr>
      <w:r w:rsidRPr="00405CE1">
        <w:rPr>
          <w:rFonts w:ascii="Arial" w:hAnsi="Arial" w:cs="Arial"/>
          <w:b/>
          <w:i/>
          <w:sz w:val="22"/>
        </w:rPr>
        <w:t>Title 20:</w:t>
      </w:r>
      <w:r w:rsidRPr="00405CE1">
        <w:rPr>
          <w:rFonts w:ascii="Arial" w:hAnsi="Arial" w:cs="Arial"/>
          <w:sz w:val="22"/>
        </w:rPr>
        <w:t xml:space="preserve"> </w:t>
      </w:r>
      <w:r w:rsidRPr="00C27D3B">
        <w:rPr>
          <w:rFonts w:ascii="Arial" w:hAnsi="Arial" w:cs="Arial"/>
          <w:sz w:val="20"/>
        </w:rPr>
        <w:t>These measures do not fall under Title 20 of the California Energy Regulations.</w:t>
      </w:r>
    </w:p>
    <w:p w:rsidR="006441EE" w:rsidRPr="00D92B16" w:rsidRDefault="006441EE" w:rsidP="006441EE">
      <w:pPr>
        <w:rPr>
          <w:rFonts w:ascii="Arial" w:hAnsi="Arial" w:cs="Arial"/>
          <w:b/>
          <w:i/>
        </w:rPr>
      </w:pPr>
    </w:p>
    <w:p w:rsidR="006441EE" w:rsidRPr="002C42FB" w:rsidRDefault="006441EE" w:rsidP="006441EE">
      <w:r w:rsidRPr="00405CE1">
        <w:rPr>
          <w:rFonts w:ascii="Arial" w:hAnsi="Arial" w:cs="Arial"/>
          <w:b/>
          <w:i/>
          <w:sz w:val="22"/>
        </w:rPr>
        <w:t>Title 24:</w:t>
      </w:r>
      <w:r w:rsidRPr="00405CE1">
        <w:rPr>
          <w:sz w:val="22"/>
        </w:rPr>
        <w:t xml:space="preserve"> </w:t>
      </w:r>
      <w:r w:rsidRPr="00C27D3B">
        <w:rPr>
          <w:rFonts w:ascii="Arial" w:hAnsi="Arial" w:cs="Arial"/>
          <w:sz w:val="20"/>
        </w:rPr>
        <w:t>These measures do not fall under Title 24 of the California Energy Regulations.</w:t>
      </w:r>
    </w:p>
    <w:p w:rsidR="006441EE" w:rsidRPr="00D92B16" w:rsidRDefault="006441EE" w:rsidP="006441EE">
      <w:pPr>
        <w:rPr>
          <w:rFonts w:ascii="Arial" w:hAnsi="Arial" w:cs="Arial"/>
          <w:b/>
          <w:i/>
        </w:rPr>
      </w:pPr>
    </w:p>
    <w:p w:rsidR="006441EE" w:rsidRPr="00C27D3B" w:rsidRDefault="006441EE" w:rsidP="006441EE">
      <w:pPr>
        <w:rPr>
          <w:rFonts w:ascii="Arial" w:hAnsi="Arial" w:cs="Arial"/>
          <w:sz w:val="20"/>
        </w:rPr>
      </w:pPr>
      <w:r w:rsidRPr="00405CE1">
        <w:rPr>
          <w:rFonts w:ascii="Arial" w:hAnsi="Arial" w:cs="Arial"/>
          <w:b/>
          <w:i/>
          <w:sz w:val="22"/>
        </w:rPr>
        <w:t>Federal Standards:</w:t>
      </w:r>
      <w:r w:rsidRPr="00405CE1">
        <w:rPr>
          <w:sz w:val="22"/>
        </w:rPr>
        <w:t xml:space="preserve"> </w:t>
      </w:r>
      <w:r w:rsidRPr="00C27D3B">
        <w:rPr>
          <w:rFonts w:ascii="Arial" w:hAnsi="Arial" w:cs="Arial"/>
          <w:sz w:val="20"/>
        </w:rPr>
        <w:t xml:space="preserve">These measures do not fall under Federal </w:t>
      </w:r>
      <w:r w:rsidR="005D548C">
        <w:rPr>
          <w:rFonts w:ascii="Arial" w:hAnsi="Arial" w:cs="Arial"/>
          <w:sz w:val="20"/>
        </w:rPr>
        <w:t>DOE or EPA Energy Regulations.</w:t>
      </w:r>
    </w:p>
    <w:p w:rsidR="006F214B" w:rsidRPr="001B4ACB" w:rsidRDefault="006F214B" w:rsidP="006F214B">
      <w:pPr>
        <w:rPr>
          <w:rFonts w:ascii="Arial" w:hAnsi="Arial" w:cs="Arial"/>
          <w:b/>
          <w:color w:val="FF0000"/>
          <w:sz w:val="20"/>
          <w:szCs w:val="20"/>
        </w:rPr>
      </w:pPr>
      <w:r w:rsidRPr="001B4ACB">
        <w:rPr>
          <w:rFonts w:ascii="Arial" w:hAnsi="Arial" w:cs="Arial"/>
          <w:b/>
          <w:color w:val="FF0000"/>
          <w:sz w:val="20"/>
          <w:szCs w:val="20"/>
        </w:rPr>
        <w:t xml:space="preserve"> </w:t>
      </w:r>
    </w:p>
    <w:p w:rsidR="002E0043" w:rsidRDefault="001248A3" w:rsidP="00665569">
      <w:pPr>
        <w:pStyle w:val="Heading3"/>
      </w:pPr>
      <w:bookmarkStart w:id="40" w:name="_Toc387914053"/>
      <w:bookmarkStart w:id="41" w:name="_Toc390349990"/>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40"/>
      <w:bookmarkEnd w:id="41"/>
    </w:p>
    <w:p w:rsidR="00A02F0A" w:rsidRDefault="00A02F0A" w:rsidP="00A35CF8">
      <w:pPr>
        <w:rPr>
          <w:rFonts w:ascii="Arial" w:hAnsi="Arial" w:cs="Arial"/>
          <w:b/>
          <w:i/>
          <w:color w:val="FF0000"/>
          <w:sz w:val="20"/>
          <w:szCs w:val="20"/>
        </w:rPr>
      </w:pPr>
    </w:p>
    <w:p w:rsidR="00A02F0A" w:rsidRPr="00C27D3B" w:rsidRDefault="00A02F0A" w:rsidP="00A35CF8">
      <w:pPr>
        <w:rPr>
          <w:rFonts w:ascii="Arial" w:hAnsi="Arial" w:cs="Arial"/>
          <w:sz w:val="20"/>
        </w:rPr>
      </w:pPr>
      <w:r w:rsidRPr="00C27D3B">
        <w:rPr>
          <w:rFonts w:ascii="Arial" w:hAnsi="Arial" w:cs="Arial"/>
          <w:sz w:val="20"/>
        </w:rPr>
        <w:t xml:space="preserve">There are </w:t>
      </w:r>
      <w:r w:rsidR="002C42FB" w:rsidRPr="00C27D3B">
        <w:rPr>
          <w:rFonts w:ascii="Arial" w:hAnsi="Arial" w:cs="Arial"/>
          <w:sz w:val="20"/>
        </w:rPr>
        <w:t>no M&amp;V or</w:t>
      </w:r>
      <w:r w:rsidRPr="00C27D3B">
        <w:rPr>
          <w:rFonts w:ascii="Arial" w:hAnsi="Arial" w:cs="Arial"/>
          <w:sz w:val="20"/>
        </w:rPr>
        <w:t xml:space="preserve"> other studies which</w:t>
      </w:r>
      <w:r w:rsidR="006441EE" w:rsidRPr="00C27D3B">
        <w:rPr>
          <w:rFonts w:ascii="Arial" w:hAnsi="Arial" w:cs="Arial"/>
          <w:sz w:val="20"/>
        </w:rPr>
        <w:t xml:space="preserve"> directly</w:t>
      </w:r>
      <w:r w:rsidRPr="00C27D3B">
        <w:rPr>
          <w:rFonts w:ascii="Arial" w:hAnsi="Arial" w:cs="Arial"/>
          <w:sz w:val="20"/>
        </w:rPr>
        <w:t xml:space="preserve"> apply to these measures. </w:t>
      </w:r>
      <w:r w:rsidR="006441EE" w:rsidRPr="00C27D3B">
        <w:rPr>
          <w:rFonts w:ascii="Arial" w:hAnsi="Arial" w:cs="Arial"/>
          <w:sz w:val="20"/>
        </w:rPr>
        <w:t>However, some M&amp;</w:t>
      </w:r>
      <w:r w:rsidR="002C42FB" w:rsidRPr="00C27D3B">
        <w:rPr>
          <w:rFonts w:ascii="Arial" w:hAnsi="Arial" w:cs="Arial"/>
          <w:sz w:val="20"/>
        </w:rPr>
        <w:t xml:space="preserve">V exists for a similar measure for </w:t>
      </w:r>
      <w:r w:rsidR="006441EE" w:rsidRPr="00C27D3B">
        <w:rPr>
          <w:rFonts w:ascii="Arial" w:hAnsi="Arial" w:cs="Arial"/>
          <w:sz w:val="20"/>
        </w:rPr>
        <w:t>adding door</w:t>
      </w:r>
      <w:r w:rsidR="002C42FB" w:rsidRPr="00C27D3B">
        <w:rPr>
          <w:rFonts w:ascii="Arial" w:hAnsi="Arial" w:cs="Arial"/>
          <w:sz w:val="20"/>
        </w:rPr>
        <w:t>s to refrigerated display cases (as opposed to walk-in/</w:t>
      </w:r>
      <w:r w:rsidR="005D548C">
        <w:rPr>
          <w:rFonts w:ascii="Arial" w:hAnsi="Arial" w:cs="Arial"/>
          <w:sz w:val="20"/>
        </w:rPr>
        <w:t>reach-ins).</w:t>
      </w:r>
    </w:p>
    <w:p w:rsidR="00C76C24" w:rsidRPr="00C27D3B" w:rsidRDefault="00C76C24" w:rsidP="00657405">
      <w:pPr>
        <w:rPr>
          <w:rFonts w:ascii="Arial" w:hAnsi="Arial" w:cs="Arial"/>
          <w:sz w:val="20"/>
        </w:rPr>
      </w:pPr>
    </w:p>
    <w:p w:rsidR="006441EE" w:rsidRPr="00C27D3B" w:rsidRDefault="006441EE" w:rsidP="006441EE">
      <w:pPr>
        <w:rPr>
          <w:rFonts w:ascii="Arial" w:hAnsi="Arial" w:cs="Arial"/>
          <w:sz w:val="20"/>
        </w:rPr>
      </w:pPr>
      <w:r w:rsidRPr="00C27D3B">
        <w:rPr>
          <w:rFonts w:ascii="Arial" w:hAnsi="Arial" w:cs="Arial"/>
          <w:sz w:val="20"/>
        </w:rPr>
        <w:t>One commonly cited study conducted by researchers at Southern California Edison’s Research and Thermal Test Center found that after retrofitting doors to an open</w:t>
      </w:r>
      <w:r w:rsidR="00A17E51">
        <w:rPr>
          <w:rFonts w:ascii="Arial" w:hAnsi="Arial" w:cs="Arial"/>
          <w:sz w:val="20"/>
        </w:rPr>
        <w:t>-</w:t>
      </w:r>
      <w:r w:rsidRPr="00C27D3B">
        <w:rPr>
          <w:rFonts w:ascii="Arial" w:hAnsi="Arial" w:cs="Arial"/>
          <w:sz w:val="20"/>
        </w:rPr>
        <w:t>display case the cooling load</w:t>
      </w:r>
      <w:r w:rsidR="00A17E51">
        <w:rPr>
          <w:rFonts w:ascii="Arial" w:hAnsi="Arial" w:cs="Arial"/>
          <w:sz w:val="20"/>
        </w:rPr>
        <w:t>,</w:t>
      </w:r>
      <w:r w:rsidRPr="00C27D3B">
        <w:rPr>
          <w:rFonts w:ascii="Arial" w:hAnsi="Arial" w:cs="Arial"/>
          <w:sz w:val="20"/>
        </w:rPr>
        <w:t xml:space="preserve"> attributable to infiltration</w:t>
      </w:r>
      <w:r w:rsidR="00A17E51">
        <w:rPr>
          <w:rFonts w:ascii="Arial" w:hAnsi="Arial" w:cs="Arial"/>
          <w:sz w:val="20"/>
        </w:rPr>
        <w:t>,</w:t>
      </w:r>
      <w:r w:rsidRPr="00C27D3B">
        <w:rPr>
          <w:rFonts w:ascii="Arial" w:hAnsi="Arial" w:cs="Arial"/>
          <w:sz w:val="20"/>
        </w:rPr>
        <w:t xml:space="preserve"> was reduced by 68%.</w:t>
      </w:r>
      <w:bookmarkStart w:id="42" w:name="_Ref295208494"/>
      <w:r w:rsidRPr="005112E0">
        <w:rPr>
          <w:rFonts w:ascii="Arial" w:hAnsi="Arial" w:cs="Arial"/>
          <w:sz w:val="20"/>
          <w:vertAlign w:val="superscript"/>
        </w:rPr>
        <w:endnoteReference w:id="4"/>
      </w:r>
      <w:bookmarkEnd w:id="42"/>
      <w:r w:rsidRPr="00C27D3B">
        <w:rPr>
          <w:rFonts w:ascii="Arial" w:hAnsi="Arial" w:cs="Arial"/>
          <w:sz w:val="20"/>
        </w:rPr>
        <w:t xml:space="preserve"> This conclusion was based on lab testing conducted with static ambient temperature and humidity levels. The retrofit differed from the measure described in the paper because the added doors included anti-sweat heaters, which introduce an additional cooling load on the refrigeration system.</w:t>
      </w:r>
      <w:r w:rsidRPr="005112E0">
        <w:rPr>
          <w:rFonts w:ascii="Arial" w:hAnsi="Arial" w:cs="Arial"/>
          <w:sz w:val="20"/>
          <w:vertAlign w:val="superscript"/>
        </w:rPr>
        <w:endnoteReference w:id="5"/>
      </w:r>
    </w:p>
    <w:p w:rsidR="006441EE" w:rsidRPr="00C27D3B" w:rsidRDefault="006441EE" w:rsidP="006441EE">
      <w:pPr>
        <w:rPr>
          <w:rFonts w:ascii="Arial" w:hAnsi="Arial" w:cs="Arial"/>
          <w:sz w:val="20"/>
        </w:rPr>
      </w:pPr>
    </w:p>
    <w:p w:rsidR="006441EE" w:rsidRPr="00C27D3B" w:rsidRDefault="006441EE" w:rsidP="006441EE">
      <w:pPr>
        <w:rPr>
          <w:rFonts w:ascii="Arial" w:hAnsi="Arial" w:cs="Arial"/>
          <w:sz w:val="20"/>
        </w:rPr>
      </w:pPr>
      <w:r w:rsidRPr="00C27D3B">
        <w:rPr>
          <w:rFonts w:ascii="Arial" w:hAnsi="Arial" w:cs="Arial"/>
          <w:sz w:val="20"/>
        </w:rPr>
        <w:t>Another report based on lab testing concluded that the cooling load of open cases decreased 66% versus cases without doors or night covers and 53% when compared to an open case with night covers in place at night.</w:t>
      </w:r>
      <w:r w:rsidRPr="005112E0">
        <w:rPr>
          <w:rFonts w:ascii="Arial" w:hAnsi="Arial" w:cs="Arial"/>
          <w:sz w:val="20"/>
          <w:vertAlign w:val="superscript"/>
        </w:rPr>
        <w:endnoteReference w:id="6"/>
      </w:r>
    </w:p>
    <w:p w:rsidR="006441EE" w:rsidRPr="00C27D3B" w:rsidRDefault="006441EE" w:rsidP="006441EE">
      <w:pPr>
        <w:rPr>
          <w:rFonts w:ascii="Arial" w:hAnsi="Arial" w:cs="Arial"/>
          <w:sz w:val="20"/>
        </w:rPr>
      </w:pPr>
      <w:r w:rsidRPr="00C27D3B">
        <w:rPr>
          <w:rFonts w:ascii="Arial" w:hAnsi="Arial" w:cs="Arial"/>
          <w:sz w:val="20"/>
        </w:rPr>
        <w:lastRenderedPageBreak/>
        <w:t>The American Society of Heating, Refrigerating, and Air-Conditioning Engineers (ASHRAE) paid for a research project (RP-1402) to compare energy and sales results of open multi-deck vs. reach-in case for medium temperature applications</w:t>
      </w:r>
      <w:bookmarkStart w:id="43" w:name="_Ref295735180"/>
      <w:r w:rsidRPr="00C27D3B">
        <w:rPr>
          <w:rFonts w:ascii="Arial" w:hAnsi="Arial" w:cs="Arial"/>
          <w:sz w:val="20"/>
        </w:rPr>
        <w:t>.</w:t>
      </w:r>
      <w:r w:rsidRPr="005112E0">
        <w:rPr>
          <w:rFonts w:ascii="Arial" w:hAnsi="Arial" w:cs="Arial"/>
          <w:sz w:val="20"/>
          <w:vertAlign w:val="superscript"/>
        </w:rPr>
        <w:endnoteReference w:id="7"/>
      </w:r>
      <w:bookmarkEnd w:id="43"/>
      <w:r w:rsidR="00490CE8">
        <w:rPr>
          <w:rFonts w:ascii="Arial" w:hAnsi="Arial" w:cs="Arial"/>
          <w:sz w:val="20"/>
        </w:rPr>
        <w:t xml:space="preserve"> </w:t>
      </w:r>
      <w:r w:rsidRPr="00C27D3B">
        <w:rPr>
          <w:rFonts w:ascii="Arial" w:hAnsi="Arial" w:cs="Arial"/>
          <w:sz w:val="20"/>
        </w:rPr>
        <w:t xml:space="preserve">The display cases tested held alcoholic beverages and dairy and were located in 2 stores in Kansas. The report summary showed an 18% reduction in energy, using calculated compressor savings and measured refrigeration load. Even though this research compared a new open multi-deck case to a new reach-in case, not adding doors to an existing open </w:t>
      </w:r>
      <w:proofErr w:type="spellStart"/>
      <w:r w:rsidRPr="00C27D3B">
        <w:rPr>
          <w:rFonts w:ascii="Arial" w:hAnsi="Arial" w:cs="Arial"/>
          <w:sz w:val="20"/>
        </w:rPr>
        <w:t>multideck</w:t>
      </w:r>
      <w:proofErr w:type="spellEnd"/>
      <w:r w:rsidRPr="00C27D3B">
        <w:rPr>
          <w:rFonts w:ascii="Arial" w:hAnsi="Arial" w:cs="Arial"/>
          <w:sz w:val="20"/>
        </w:rPr>
        <w:t xml:space="preserve"> case, many of the measurements that were taken are valid for comparison to values used in this work paper including: 1) mean door open time for the reach-in case was 12 sec, occurring 6 times an hour; 2) average lighting power = 0.014 kW/</w:t>
      </w:r>
      <w:proofErr w:type="spellStart"/>
      <w:r w:rsidRPr="00C27D3B">
        <w:rPr>
          <w:rFonts w:ascii="Arial" w:hAnsi="Arial" w:cs="Arial"/>
          <w:sz w:val="20"/>
        </w:rPr>
        <w:t>ft</w:t>
      </w:r>
      <w:proofErr w:type="spellEnd"/>
      <w:r w:rsidRPr="00C27D3B">
        <w:rPr>
          <w:rFonts w:ascii="Arial" w:hAnsi="Arial" w:cs="Arial"/>
          <w:sz w:val="20"/>
        </w:rPr>
        <w:t xml:space="preserve"> in the open case; 3) average fan power = 0.009 kW/</w:t>
      </w:r>
      <w:proofErr w:type="spellStart"/>
      <w:r w:rsidRPr="00C27D3B">
        <w:rPr>
          <w:rFonts w:ascii="Arial" w:hAnsi="Arial" w:cs="Arial"/>
          <w:sz w:val="20"/>
        </w:rPr>
        <w:t>ft</w:t>
      </w:r>
      <w:proofErr w:type="spellEnd"/>
      <w:r w:rsidRPr="00C27D3B">
        <w:rPr>
          <w:rFonts w:ascii="Arial" w:hAnsi="Arial" w:cs="Arial"/>
          <w:sz w:val="20"/>
        </w:rPr>
        <w:t xml:space="preserve"> in the open case; and 4) supply to return air delta temp = 10°F for the open case and 2°F for the reach-in case.</w:t>
      </w:r>
    </w:p>
    <w:p w:rsidR="006441EE" w:rsidRPr="00C27D3B" w:rsidRDefault="006441EE" w:rsidP="006441EE">
      <w:pPr>
        <w:rPr>
          <w:rFonts w:ascii="Arial" w:hAnsi="Arial" w:cs="Arial"/>
          <w:sz w:val="20"/>
        </w:rPr>
      </w:pPr>
    </w:p>
    <w:p w:rsidR="006441EE" w:rsidRPr="00C27D3B" w:rsidRDefault="006441EE" w:rsidP="006441EE">
      <w:pPr>
        <w:rPr>
          <w:rFonts w:ascii="Arial" w:hAnsi="Arial" w:cs="Arial"/>
          <w:sz w:val="20"/>
        </w:rPr>
      </w:pPr>
      <w:r w:rsidRPr="00C27D3B">
        <w:rPr>
          <w:rFonts w:ascii="Arial" w:hAnsi="Arial" w:cs="Arial"/>
          <w:sz w:val="20"/>
        </w:rPr>
        <w:t>The State of California Air Resources Board has estimated that adding doors to all viable open vertical refrigerated display cases in the state would reduce energy consumption by more than 1,000 GWH, or 5% of the total energy consumption attributed to the grocery sector.</w:t>
      </w:r>
      <w:r w:rsidRPr="00490CE8">
        <w:rPr>
          <w:rFonts w:ascii="Arial" w:hAnsi="Arial" w:cs="Arial"/>
          <w:sz w:val="20"/>
          <w:vertAlign w:val="superscript"/>
        </w:rPr>
        <w:endnoteReference w:id="8"/>
      </w:r>
    </w:p>
    <w:p w:rsidR="006441EE" w:rsidRDefault="006441EE" w:rsidP="00657405">
      <w:pPr>
        <w:rPr>
          <w:rFonts w:ascii="Arial" w:hAnsi="Arial" w:cs="Arial"/>
          <w:b/>
          <w:sz w:val="20"/>
          <w:szCs w:val="20"/>
        </w:rPr>
      </w:pPr>
    </w:p>
    <w:p w:rsidR="009C5CA7" w:rsidRDefault="001248A3" w:rsidP="00665569">
      <w:pPr>
        <w:pStyle w:val="Heading3"/>
      </w:pPr>
      <w:bookmarkStart w:id="44" w:name="_Toc387914054"/>
      <w:bookmarkStart w:id="45" w:name="_Toc390349991"/>
      <w:r>
        <w:t>1.</w:t>
      </w:r>
      <w:r w:rsidR="00264B03">
        <w:t xml:space="preserve">4.4 </w:t>
      </w:r>
      <w:r w:rsidR="009C5CA7">
        <w:t xml:space="preserve">Assumptions and </w:t>
      </w:r>
      <w:r w:rsidR="00264B03">
        <w:t>Calculations from other sources—Base and Measure Cases</w:t>
      </w:r>
      <w:bookmarkEnd w:id="44"/>
      <w:bookmarkEnd w:id="45"/>
    </w:p>
    <w:p w:rsidR="000701EB" w:rsidRDefault="000701EB" w:rsidP="009C5CA7">
      <w:pPr>
        <w:rPr>
          <w:rFonts w:ascii="Arial" w:hAnsi="Arial" w:cs="Arial"/>
          <w:i/>
          <w:sz w:val="20"/>
          <w:szCs w:val="20"/>
        </w:rPr>
      </w:pPr>
    </w:p>
    <w:p w:rsidR="00E24E4D" w:rsidRPr="006D0365" w:rsidRDefault="000701EB" w:rsidP="006441EE">
      <w:pPr>
        <w:rPr>
          <w:rFonts w:ascii="Arial" w:hAnsi="Arial" w:cs="Arial"/>
          <w:sz w:val="20"/>
          <w:szCs w:val="20"/>
          <w:highlight w:val="yellow"/>
        </w:rPr>
      </w:pPr>
      <w:r w:rsidRPr="004162E3">
        <w:rPr>
          <w:rFonts w:ascii="Arial" w:hAnsi="Arial" w:cs="Arial"/>
          <w:b/>
          <w:sz w:val="20"/>
          <w:szCs w:val="20"/>
        </w:rPr>
        <w:t>Net-to-Gross Assumption</w:t>
      </w:r>
    </w:p>
    <w:p w:rsidR="00FA595F" w:rsidRPr="00C27D3B" w:rsidRDefault="002C42FB" w:rsidP="00FA595F">
      <w:pPr>
        <w:rPr>
          <w:rFonts w:ascii="Arial" w:hAnsi="Arial" w:cs="Arial"/>
          <w:sz w:val="20"/>
        </w:rPr>
      </w:pPr>
      <w:r w:rsidRPr="00C27D3B">
        <w:rPr>
          <w:rFonts w:ascii="Arial" w:hAnsi="Arial" w:cs="Arial"/>
          <w:sz w:val="20"/>
        </w:rPr>
        <w:t>The table below</w:t>
      </w:r>
      <w:r w:rsidR="00FA595F" w:rsidRPr="00C27D3B">
        <w:rPr>
          <w:rFonts w:ascii="Arial" w:hAnsi="Arial" w:cs="Arial"/>
          <w:sz w:val="20"/>
        </w:rPr>
        <w:t xml:space="preserve"> summarizes all applicable Net-to-Gross ratios for programs that may be used by this measure.</w:t>
      </w:r>
    </w:p>
    <w:p w:rsidR="00FA595F" w:rsidRPr="00665569" w:rsidRDefault="00FA595F" w:rsidP="00FA595F">
      <w:pPr>
        <w:rPr>
          <w:rFonts w:ascii="Arial" w:hAnsi="Arial" w:cs="Arial"/>
          <w:color w:val="FF0000"/>
          <w:sz w:val="20"/>
          <w:szCs w:val="20"/>
        </w:rPr>
      </w:pPr>
    </w:p>
    <w:p w:rsidR="00FA595F" w:rsidRPr="00665569" w:rsidRDefault="00FA595F" w:rsidP="00DC11FF">
      <w:pPr>
        <w:pStyle w:val="Caption"/>
        <w:jc w:val="center"/>
        <w:rPr>
          <w:rFonts w:ascii="Arial" w:hAnsi="Arial" w:cs="Arial"/>
        </w:rPr>
      </w:pPr>
      <w:bookmarkStart w:id="46" w:name="_Toc387914156"/>
      <w:bookmarkStart w:id="47" w:name="_Toc390349968"/>
      <w:r w:rsidRPr="00665569">
        <w:rPr>
          <w:rFonts w:ascii="Arial" w:hAnsi="Arial" w:cs="Arial"/>
        </w:rPr>
        <w:t xml:space="preserve">Table </w:t>
      </w:r>
      <w:r w:rsidR="008B7A6B" w:rsidRPr="00665569">
        <w:rPr>
          <w:rFonts w:ascii="Arial" w:hAnsi="Arial" w:cs="Arial"/>
        </w:rPr>
        <w:fldChar w:fldCharType="begin"/>
      </w:r>
      <w:r w:rsidR="008B7A6B" w:rsidRPr="00665569">
        <w:rPr>
          <w:rFonts w:ascii="Arial" w:hAnsi="Arial" w:cs="Arial"/>
        </w:rPr>
        <w:instrText xml:space="preserve"> SEQ Table \* ARABIC \s 1 </w:instrText>
      </w:r>
      <w:r w:rsidR="008B7A6B" w:rsidRPr="00665569">
        <w:rPr>
          <w:rFonts w:ascii="Arial" w:hAnsi="Arial" w:cs="Arial"/>
        </w:rPr>
        <w:fldChar w:fldCharType="separate"/>
      </w:r>
      <w:r w:rsidR="007F512F">
        <w:rPr>
          <w:rFonts w:ascii="Arial" w:hAnsi="Arial" w:cs="Arial"/>
          <w:noProof/>
        </w:rPr>
        <w:t>2</w:t>
      </w:r>
      <w:r w:rsidR="008B7A6B" w:rsidRPr="00665569">
        <w:rPr>
          <w:rFonts w:ascii="Arial" w:hAnsi="Arial" w:cs="Arial"/>
          <w:noProof/>
        </w:rPr>
        <w:fldChar w:fldCharType="end"/>
      </w:r>
      <w:r w:rsidRPr="00665569">
        <w:rPr>
          <w:rFonts w:ascii="Arial" w:hAnsi="Arial" w:cs="Arial"/>
        </w:rPr>
        <w:t xml:space="preserve"> </w:t>
      </w:r>
      <w:r w:rsidR="008B7A6B" w:rsidRPr="00665569">
        <w:rPr>
          <w:rFonts w:ascii="Arial" w:hAnsi="Arial" w:cs="Arial"/>
        </w:rPr>
        <w:t>DEER</w:t>
      </w:r>
      <w:r w:rsidRPr="00665569">
        <w:rPr>
          <w:rFonts w:ascii="Arial" w:hAnsi="Arial" w:cs="Arial"/>
        </w:rPr>
        <w:t xml:space="preserve"> Net-to-Gross Ratios</w:t>
      </w:r>
      <w:bookmarkEnd w:id="46"/>
      <w:bookmarkEnd w:id="47"/>
    </w:p>
    <w:tbl>
      <w:tblPr>
        <w:tblW w:w="3502" w:type="pct"/>
        <w:jc w:val="center"/>
        <w:tblInd w:w="720" w:type="dxa"/>
        <w:tblBorders>
          <w:insideH w:val="single" w:sz="18" w:space="0" w:color="FFFFFF"/>
          <w:insideV w:val="single" w:sz="18" w:space="0" w:color="FFFFFF"/>
        </w:tblBorders>
        <w:tblLook w:val="01E0" w:firstRow="1" w:lastRow="1" w:firstColumn="1" w:lastColumn="1" w:noHBand="0" w:noVBand="0"/>
      </w:tblPr>
      <w:tblGrid>
        <w:gridCol w:w="2162"/>
        <w:gridCol w:w="750"/>
        <w:gridCol w:w="2578"/>
        <w:gridCol w:w="1217"/>
      </w:tblGrid>
      <w:tr w:rsidR="00600C83" w:rsidRPr="007806DB" w:rsidTr="00600C83">
        <w:trPr>
          <w:jc w:val="center"/>
        </w:trPr>
        <w:tc>
          <w:tcPr>
            <w:tcW w:w="1612" w:type="pct"/>
            <w:shd w:val="pct20" w:color="000000" w:fill="FFFFFF"/>
          </w:tcPr>
          <w:p w:rsidR="00600C83" w:rsidRPr="007806DB" w:rsidRDefault="00600C83" w:rsidP="006D39A9">
            <w:pPr>
              <w:jc w:val="center"/>
              <w:rPr>
                <w:rFonts w:ascii="Arial" w:hAnsi="Arial" w:cs="Arial"/>
                <w:b/>
                <w:bCs/>
                <w:sz w:val="20"/>
                <w:szCs w:val="20"/>
              </w:rPr>
            </w:pPr>
          </w:p>
        </w:tc>
        <w:tc>
          <w:tcPr>
            <w:tcW w:w="559" w:type="pct"/>
            <w:shd w:val="pct20" w:color="000000" w:fill="FFFFFF"/>
          </w:tcPr>
          <w:p w:rsidR="00600C83" w:rsidRPr="007806DB" w:rsidRDefault="00600C83" w:rsidP="006D39A9">
            <w:pPr>
              <w:jc w:val="center"/>
              <w:rPr>
                <w:rFonts w:ascii="Arial" w:hAnsi="Arial" w:cs="Arial"/>
                <w:b/>
                <w:bCs/>
                <w:sz w:val="20"/>
                <w:szCs w:val="20"/>
              </w:rPr>
            </w:pPr>
          </w:p>
        </w:tc>
        <w:tc>
          <w:tcPr>
            <w:tcW w:w="2828" w:type="pct"/>
            <w:gridSpan w:val="2"/>
            <w:shd w:val="pct20" w:color="000000" w:fill="FFFFFF"/>
          </w:tcPr>
          <w:p w:rsidR="00600C83" w:rsidRPr="007806DB" w:rsidRDefault="00600C83" w:rsidP="006D39A9">
            <w:pPr>
              <w:jc w:val="center"/>
              <w:rPr>
                <w:rFonts w:ascii="Arial" w:hAnsi="Arial" w:cs="Arial"/>
                <w:b/>
                <w:bCs/>
                <w:sz w:val="20"/>
                <w:szCs w:val="20"/>
              </w:rPr>
            </w:pPr>
            <w:r w:rsidRPr="007806DB">
              <w:rPr>
                <w:rFonts w:ascii="Arial" w:hAnsi="Arial" w:cs="Arial"/>
                <w:b/>
                <w:bCs/>
                <w:sz w:val="20"/>
                <w:szCs w:val="20"/>
              </w:rPr>
              <w:t>DEER Spreadsheet</w:t>
            </w:r>
          </w:p>
        </w:tc>
      </w:tr>
      <w:tr w:rsidR="00600C83" w:rsidRPr="007806DB" w:rsidTr="00600C83">
        <w:trPr>
          <w:jc w:val="center"/>
        </w:trPr>
        <w:tc>
          <w:tcPr>
            <w:tcW w:w="1612" w:type="pct"/>
            <w:shd w:val="pct5" w:color="000000" w:fill="FFFFFF"/>
          </w:tcPr>
          <w:p w:rsidR="00600C83" w:rsidRPr="007806DB" w:rsidRDefault="00600C83" w:rsidP="006D39A9">
            <w:pPr>
              <w:jc w:val="center"/>
              <w:rPr>
                <w:rFonts w:ascii="Arial" w:hAnsi="Arial" w:cs="Arial"/>
                <w:sz w:val="20"/>
                <w:szCs w:val="20"/>
              </w:rPr>
            </w:pPr>
            <w:r w:rsidRPr="007806DB">
              <w:rPr>
                <w:rFonts w:ascii="Arial" w:hAnsi="Arial" w:cs="Arial"/>
                <w:sz w:val="20"/>
                <w:szCs w:val="20"/>
              </w:rPr>
              <w:t>Program Approach</w:t>
            </w:r>
          </w:p>
        </w:tc>
        <w:tc>
          <w:tcPr>
            <w:tcW w:w="559" w:type="pct"/>
            <w:shd w:val="pct5" w:color="000000" w:fill="FFFFFF"/>
          </w:tcPr>
          <w:p w:rsidR="00600C83" w:rsidRPr="007806DB" w:rsidRDefault="00600C83" w:rsidP="006D39A9">
            <w:pPr>
              <w:jc w:val="center"/>
              <w:rPr>
                <w:rFonts w:ascii="Arial" w:hAnsi="Arial" w:cs="Arial"/>
                <w:sz w:val="20"/>
                <w:szCs w:val="20"/>
              </w:rPr>
            </w:pPr>
            <w:r w:rsidRPr="007806DB">
              <w:rPr>
                <w:rFonts w:ascii="Arial" w:hAnsi="Arial" w:cs="Arial"/>
                <w:sz w:val="20"/>
                <w:szCs w:val="20"/>
              </w:rPr>
              <w:t>NTG</w:t>
            </w:r>
          </w:p>
        </w:tc>
        <w:tc>
          <w:tcPr>
            <w:tcW w:w="1922" w:type="pct"/>
            <w:shd w:val="pct5" w:color="000000" w:fill="FFFFFF"/>
          </w:tcPr>
          <w:p w:rsidR="00600C83" w:rsidRPr="007806DB" w:rsidRDefault="00600C83" w:rsidP="006D39A9">
            <w:pPr>
              <w:jc w:val="center"/>
              <w:rPr>
                <w:rFonts w:ascii="Arial" w:hAnsi="Arial" w:cs="Arial"/>
                <w:sz w:val="20"/>
                <w:szCs w:val="20"/>
              </w:rPr>
            </w:pPr>
            <w:r w:rsidRPr="007806DB">
              <w:rPr>
                <w:rFonts w:ascii="Arial" w:hAnsi="Arial" w:cs="Arial"/>
                <w:sz w:val="20"/>
                <w:szCs w:val="20"/>
              </w:rPr>
              <w:t>File name</w:t>
            </w:r>
          </w:p>
        </w:tc>
        <w:tc>
          <w:tcPr>
            <w:tcW w:w="907" w:type="pct"/>
            <w:shd w:val="pct5" w:color="000000" w:fill="FFFFFF"/>
          </w:tcPr>
          <w:p w:rsidR="00600C83" w:rsidRPr="007806DB" w:rsidRDefault="00600C83" w:rsidP="006D39A9">
            <w:pPr>
              <w:jc w:val="center"/>
              <w:rPr>
                <w:rFonts w:ascii="Arial" w:hAnsi="Arial" w:cs="Arial"/>
                <w:sz w:val="20"/>
                <w:szCs w:val="20"/>
              </w:rPr>
            </w:pPr>
            <w:r w:rsidRPr="007806DB">
              <w:rPr>
                <w:rFonts w:ascii="Arial" w:hAnsi="Arial" w:cs="Arial"/>
                <w:sz w:val="20"/>
                <w:szCs w:val="20"/>
              </w:rPr>
              <w:t>Cell Number</w:t>
            </w:r>
          </w:p>
        </w:tc>
      </w:tr>
      <w:tr w:rsidR="00600C83" w:rsidRPr="007806DB" w:rsidTr="00600C83">
        <w:trPr>
          <w:jc w:val="center"/>
        </w:trPr>
        <w:tc>
          <w:tcPr>
            <w:tcW w:w="1612" w:type="pct"/>
            <w:shd w:val="pct20" w:color="000000" w:fill="FFFFFF"/>
          </w:tcPr>
          <w:p w:rsidR="00600C83" w:rsidRPr="007806DB" w:rsidRDefault="00600C83" w:rsidP="006D39A9">
            <w:pPr>
              <w:rPr>
                <w:rFonts w:ascii="Arial" w:hAnsi="Arial" w:cs="Arial"/>
                <w:sz w:val="20"/>
                <w:szCs w:val="20"/>
              </w:rPr>
            </w:pPr>
            <w:proofErr w:type="spellStart"/>
            <w:r w:rsidRPr="007806DB">
              <w:rPr>
                <w:rFonts w:ascii="Arial" w:hAnsi="Arial" w:cs="Arial"/>
                <w:sz w:val="20"/>
                <w:szCs w:val="20"/>
              </w:rPr>
              <w:t>EnergySmart</w:t>
            </w:r>
            <w:proofErr w:type="spellEnd"/>
            <w:r w:rsidRPr="007806DB">
              <w:rPr>
                <w:rFonts w:ascii="Arial" w:hAnsi="Arial" w:cs="Arial"/>
                <w:sz w:val="20"/>
                <w:szCs w:val="20"/>
              </w:rPr>
              <w:t xml:space="preserve"> Grocer</w:t>
            </w:r>
          </w:p>
        </w:tc>
        <w:tc>
          <w:tcPr>
            <w:tcW w:w="559" w:type="pct"/>
            <w:shd w:val="pct20" w:color="000000" w:fill="FFFFFF"/>
          </w:tcPr>
          <w:p w:rsidR="00600C83" w:rsidRPr="007806DB" w:rsidRDefault="00600C83" w:rsidP="006D39A9">
            <w:pPr>
              <w:jc w:val="center"/>
              <w:rPr>
                <w:rFonts w:ascii="Arial" w:hAnsi="Arial" w:cs="Arial"/>
                <w:sz w:val="20"/>
                <w:szCs w:val="20"/>
              </w:rPr>
            </w:pPr>
            <w:r w:rsidRPr="007806DB">
              <w:rPr>
                <w:rFonts w:ascii="Arial" w:hAnsi="Arial" w:cs="Arial"/>
                <w:sz w:val="20"/>
                <w:szCs w:val="20"/>
              </w:rPr>
              <w:t>0.</w:t>
            </w:r>
            <w:r w:rsidR="003B550B">
              <w:rPr>
                <w:rFonts w:ascii="Arial" w:hAnsi="Arial" w:cs="Arial"/>
                <w:sz w:val="20"/>
                <w:szCs w:val="20"/>
              </w:rPr>
              <w:t>6</w:t>
            </w:r>
            <w:r w:rsidRPr="007806DB">
              <w:rPr>
                <w:rFonts w:ascii="Arial" w:hAnsi="Arial" w:cs="Arial"/>
                <w:sz w:val="20"/>
                <w:szCs w:val="20"/>
              </w:rPr>
              <w:t>0</w:t>
            </w:r>
          </w:p>
        </w:tc>
        <w:tc>
          <w:tcPr>
            <w:tcW w:w="1922" w:type="pct"/>
            <w:shd w:val="pct20" w:color="000000" w:fill="FFFFFF"/>
          </w:tcPr>
          <w:p w:rsidR="00600C83" w:rsidRPr="007806DB" w:rsidRDefault="00600C83" w:rsidP="006D39A9">
            <w:pPr>
              <w:jc w:val="center"/>
              <w:rPr>
                <w:rFonts w:ascii="Arial" w:hAnsi="Arial" w:cs="Arial"/>
                <w:sz w:val="20"/>
                <w:szCs w:val="20"/>
              </w:rPr>
            </w:pPr>
            <w:r w:rsidRPr="007806DB">
              <w:rPr>
                <w:rFonts w:ascii="Arial" w:hAnsi="Arial" w:cs="Arial"/>
                <w:sz w:val="16"/>
                <w:szCs w:val="16"/>
              </w:rPr>
              <w:t>DEER2011_NTGR_2012-05-16</w:t>
            </w:r>
          </w:p>
        </w:tc>
        <w:tc>
          <w:tcPr>
            <w:tcW w:w="907" w:type="pct"/>
            <w:shd w:val="pct20" w:color="000000" w:fill="FFFFFF"/>
          </w:tcPr>
          <w:p w:rsidR="00600C83" w:rsidRPr="007806DB" w:rsidRDefault="00600C83" w:rsidP="006D39A9">
            <w:pPr>
              <w:jc w:val="center"/>
              <w:rPr>
                <w:rFonts w:ascii="Arial" w:hAnsi="Arial" w:cs="Arial"/>
                <w:sz w:val="20"/>
                <w:szCs w:val="20"/>
              </w:rPr>
            </w:pPr>
            <w:r w:rsidRPr="007806DB">
              <w:rPr>
                <w:rFonts w:ascii="Arial" w:hAnsi="Arial" w:cs="Arial"/>
                <w:sz w:val="20"/>
                <w:szCs w:val="20"/>
              </w:rPr>
              <w:t>T</w:t>
            </w:r>
            <w:r w:rsidR="003B550B">
              <w:rPr>
                <w:rFonts w:ascii="Arial" w:hAnsi="Arial" w:cs="Arial"/>
                <w:sz w:val="20"/>
                <w:szCs w:val="20"/>
              </w:rPr>
              <w:t>5</w:t>
            </w:r>
            <w:r w:rsidRPr="007806DB">
              <w:rPr>
                <w:rFonts w:ascii="Arial" w:hAnsi="Arial" w:cs="Arial"/>
                <w:sz w:val="20"/>
                <w:szCs w:val="20"/>
              </w:rPr>
              <w:t>6</w:t>
            </w:r>
          </w:p>
        </w:tc>
      </w:tr>
    </w:tbl>
    <w:p w:rsidR="00FA595F" w:rsidRPr="004162E3" w:rsidRDefault="00FA595F" w:rsidP="00FA595F">
      <w:pPr>
        <w:rPr>
          <w:rFonts w:ascii="Arial" w:hAnsi="Arial" w:cs="Arial"/>
          <w:sz w:val="20"/>
          <w:szCs w:val="20"/>
        </w:rPr>
      </w:pPr>
    </w:p>
    <w:p w:rsidR="009C5CA7" w:rsidRPr="004162E3" w:rsidRDefault="009C5CA7" w:rsidP="009C5CA7">
      <w:pPr>
        <w:rPr>
          <w:rFonts w:ascii="Arial" w:hAnsi="Arial" w:cs="Arial"/>
          <w:sz w:val="20"/>
          <w:szCs w:val="20"/>
        </w:rPr>
      </w:pPr>
    </w:p>
    <w:p w:rsidR="003B550B" w:rsidRPr="00836F9B" w:rsidRDefault="001C2942" w:rsidP="00665569">
      <w:pPr>
        <w:pStyle w:val="Heading3"/>
      </w:pPr>
      <w:bookmarkStart w:id="48" w:name="_Toc387914055"/>
      <w:bookmarkStart w:id="49" w:name="_Toc390349992"/>
      <w:r w:rsidRPr="00836F9B">
        <w:t>1.</w:t>
      </w:r>
      <w:r w:rsidR="00063FA7" w:rsidRPr="00836F9B">
        <w:t>4.5</w:t>
      </w:r>
      <w:r w:rsidRPr="00836F9B">
        <w:t xml:space="preserve"> Time-of-Use Adjustment Factor</w:t>
      </w:r>
      <w:bookmarkEnd w:id="48"/>
      <w:bookmarkEnd w:id="49"/>
    </w:p>
    <w:p w:rsidR="001C2942" w:rsidRDefault="00FF4E87" w:rsidP="002C42FB">
      <w:pPr>
        <w:rPr>
          <w:rFonts w:ascii="Arial" w:hAnsi="Arial" w:cs="Arial"/>
          <w:sz w:val="20"/>
        </w:rPr>
      </w:pPr>
      <w:r w:rsidRPr="00C27D3B">
        <w:rPr>
          <w:rFonts w:ascii="Arial" w:hAnsi="Arial" w:cs="Arial"/>
          <w:sz w:val="20"/>
        </w:rPr>
        <w:t xml:space="preserve">We are required </w:t>
      </w:r>
      <w:r w:rsidR="001C2942" w:rsidRPr="00C27D3B">
        <w:rPr>
          <w:rFonts w:ascii="Arial" w:hAnsi="Arial" w:cs="Arial"/>
          <w:sz w:val="20"/>
        </w:rPr>
        <w:t>by CPUC decision 06-06-063 dated June 29, 2006</w:t>
      </w:r>
      <w:r w:rsidRPr="00C27D3B">
        <w:rPr>
          <w:rFonts w:ascii="Arial" w:hAnsi="Arial" w:cs="Arial"/>
          <w:sz w:val="20"/>
        </w:rPr>
        <w:t xml:space="preserve"> to apply </w:t>
      </w:r>
      <w:r w:rsidR="001C2942" w:rsidRPr="00C27D3B">
        <w:rPr>
          <w:rFonts w:ascii="Arial" w:hAnsi="Arial" w:cs="Arial"/>
          <w:sz w:val="20"/>
        </w:rPr>
        <w:t xml:space="preserve">time-of-use (TOU) adjustment factors </w:t>
      </w:r>
      <w:r w:rsidRPr="00C27D3B">
        <w:rPr>
          <w:rFonts w:ascii="Arial" w:hAnsi="Arial" w:cs="Arial"/>
          <w:sz w:val="20"/>
        </w:rPr>
        <w:t>on</w:t>
      </w:r>
      <w:r w:rsidR="001C2942" w:rsidRPr="00C27D3B">
        <w:rPr>
          <w:rFonts w:ascii="Arial" w:hAnsi="Arial" w:cs="Arial"/>
          <w:sz w:val="20"/>
        </w:rPr>
        <w:t xml:space="preserve"> residential A/C and commercial A/C (packaged and split-system direct-expansion cooling) measures only.   Since this is not an A/C measure, the TOU adjustment factor is 0.  Additionally, if a measure is assigned a DEER08 load shape, i.e. the load shape starts with “DEER:” the TOU assigned to that measure should also be zero.</w:t>
      </w:r>
    </w:p>
    <w:p w:rsidR="00C52450" w:rsidRDefault="00C52450" w:rsidP="00C52450">
      <w:pPr>
        <w:pStyle w:val="Caption"/>
        <w:keepNext/>
        <w:rPr>
          <w:rFonts w:ascii="Arial" w:hAnsi="Arial" w:cs="Arial"/>
          <w:b w:val="0"/>
          <w:bCs w:val="0"/>
        </w:rPr>
      </w:pPr>
    </w:p>
    <w:p w:rsidR="008B7A6B" w:rsidRDefault="00C52450" w:rsidP="00105BB5">
      <w:pPr>
        <w:pStyle w:val="Caption"/>
        <w:keepNext/>
        <w:rPr>
          <w:rFonts w:ascii="Arial" w:hAnsi="Arial" w:cs="Arial"/>
          <w:b w:val="0"/>
          <w:bCs w:val="0"/>
        </w:rPr>
      </w:pPr>
      <w:r w:rsidRPr="000B5DB2">
        <w:rPr>
          <w:rFonts w:ascii="Arial" w:hAnsi="Arial" w:cs="Arial"/>
          <w:b w:val="0"/>
          <w:bCs w:val="0"/>
        </w:rPr>
        <w:t>The specific values and results are summarized in</w:t>
      </w:r>
      <w:bookmarkStart w:id="50" w:name="_Ref242757962"/>
      <w:r w:rsidR="00105BB5">
        <w:rPr>
          <w:rFonts w:ascii="Arial" w:hAnsi="Arial" w:cs="Arial"/>
          <w:b w:val="0"/>
          <w:bCs w:val="0"/>
        </w:rPr>
        <w:t xml:space="preserve"> </w:t>
      </w:r>
      <w:r w:rsidR="00105BB5" w:rsidRPr="00105BB5">
        <w:rPr>
          <w:rFonts w:ascii="Arial" w:hAnsi="Arial" w:cs="Arial"/>
          <w:b w:val="0"/>
          <w:bCs w:val="0"/>
        </w:rPr>
        <w:fldChar w:fldCharType="begin"/>
      </w:r>
      <w:r w:rsidR="00105BB5" w:rsidRPr="00105BB5">
        <w:rPr>
          <w:rFonts w:ascii="Arial" w:hAnsi="Arial" w:cs="Arial"/>
          <w:b w:val="0"/>
          <w:bCs w:val="0"/>
        </w:rPr>
        <w:instrText xml:space="preserve"> REF _Ref390348199 \h  \* MERGEFORMAT </w:instrText>
      </w:r>
      <w:r w:rsidR="00105BB5" w:rsidRPr="00105BB5">
        <w:rPr>
          <w:rFonts w:ascii="Arial" w:hAnsi="Arial" w:cs="Arial"/>
          <w:b w:val="0"/>
          <w:bCs w:val="0"/>
        </w:rPr>
      </w:r>
      <w:r w:rsidR="00105BB5" w:rsidRPr="00105BB5">
        <w:rPr>
          <w:rFonts w:ascii="Arial" w:hAnsi="Arial" w:cs="Arial"/>
          <w:b w:val="0"/>
          <w:bCs w:val="0"/>
        </w:rPr>
        <w:fldChar w:fldCharType="separate"/>
      </w:r>
      <w:r w:rsidR="00105BB5" w:rsidRPr="00105BB5">
        <w:rPr>
          <w:rFonts w:ascii="Arial" w:hAnsi="Arial" w:cs="Arial"/>
          <w:b w:val="0"/>
        </w:rPr>
        <w:t xml:space="preserve">Table </w:t>
      </w:r>
      <w:r w:rsidR="00105BB5" w:rsidRPr="00105BB5">
        <w:rPr>
          <w:rFonts w:ascii="Arial" w:hAnsi="Arial" w:cs="Arial"/>
          <w:b w:val="0"/>
          <w:noProof/>
        </w:rPr>
        <w:t>3</w:t>
      </w:r>
      <w:r w:rsidR="00105BB5" w:rsidRPr="00105BB5">
        <w:rPr>
          <w:rFonts w:ascii="Arial" w:hAnsi="Arial" w:cs="Arial"/>
          <w:b w:val="0"/>
          <w:bCs w:val="0"/>
        </w:rPr>
        <w:fldChar w:fldCharType="end"/>
      </w:r>
    </w:p>
    <w:p w:rsidR="00105BB5" w:rsidRPr="00105BB5" w:rsidRDefault="00105BB5" w:rsidP="00105BB5"/>
    <w:p w:rsidR="00C52450" w:rsidRPr="00665569" w:rsidRDefault="00C52450" w:rsidP="00C52450">
      <w:pPr>
        <w:pStyle w:val="Caption"/>
        <w:keepNext/>
        <w:jc w:val="center"/>
        <w:rPr>
          <w:rFonts w:ascii="Arial" w:hAnsi="Arial" w:cs="Arial"/>
        </w:rPr>
      </w:pPr>
      <w:bookmarkStart w:id="51" w:name="_Ref390348199"/>
      <w:bookmarkStart w:id="52" w:name="_Toc326911185"/>
      <w:bookmarkStart w:id="53" w:name="_Toc387914157"/>
      <w:bookmarkStart w:id="54" w:name="_Toc390349969"/>
      <w:r w:rsidRPr="00665569">
        <w:rPr>
          <w:rFonts w:ascii="Arial" w:hAnsi="Arial" w:cs="Arial"/>
        </w:rPr>
        <w:t xml:space="preserve">Table </w:t>
      </w:r>
      <w:bookmarkEnd w:id="50"/>
      <w:r w:rsidR="00665569" w:rsidRPr="00665569">
        <w:rPr>
          <w:rFonts w:ascii="Arial" w:hAnsi="Arial" w:cs="Arial"/>
        </w:rPr>
        <w:fldChar w:fldCharType="begin"/>
      </w:r>
      <w:r w:rsidR="00665569" w:rsidRPr="00665569">
        <w:rPr>
          <w:rFonts w:ascii="Arial" w:hAnsi="Arial" w:cs="Arial"/>
        </w:rPr>
        <w:instrText xml:space="preserve"> SEQ Table \* ARABIC \s 1 </w:instrText>
      </w:r>
      <w:r w:rsidR="00665569" w:rsidRPr="00665569">
        <w:rPr>
          <w:rFonts w:ascii="Arial" w:hAnsi="Arial" w:cs="Arial"/>
        </w:rPr>
        <w:fldChar w:fldCharType="separate"/>
      </w:r>
      <w:r w:rsidR="007F512F">
        <w:rPr>
          <w:rFonts w:ascii="Arial" w:hAnsi="Arial" w:cs="Arial"/>
          <w:noProof/>
        </w:rPr>
        <w:t>3</w:t>
      </w:r>
      <w:r w:rsidR="00665569" w:rsidRPr="00665569">
        <w:rPr>
          <w:rFonts w:ascii="Arial" w:hAnsi="Arial" w:cs="Arial"/>
          <w:noProof/>
        </w:rPr>
        <w:fldChar w:fldCharType="end"/>
      </w:r>
      <w:bookmarkEnd w:id="51"/>
      <w:r w:rsidR="008B7A6B" w:rsidRPr="00665569">
        <w:rPr>
          <w:rFonts w:ascii="Arial" w:hAnsi="Arial" w:cs="Arial"/>
        </w:rPr>
        <w:t xml:space="preserve"> </w:t>
      </w:r>
      <w:r w:rsidRPr="00665569">
        <w:rPr>
          <w:rFonts w:ascii="Arial" w:hAnsi="Arial" w:cs="Arial"/>
        </w:rPr>
        <w:t>TOU Adjustment Factors</w:t>
      </w:r>
      <w:bookmarkEnd w:id="52"/>
      <w:bookmarkEnd w:id="53"/>
      <w:bookmarkEnd w:id="54"/>
    </w:p>
    <w:tbl>
      <w:tblPr>
        <w:tblW w:w="4944" w:type="pct"/>
        <w:jc w:val="center"/>
        <w:tblInd w:w="10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989"/>
        <w:gridCol w:w="1348"/>
        <w:gridCol w:w="2566"/>
        <w:gridCol w:w="2566"/>
      </w:tblGrid>
      <w:tr w:rsidR="00C52450" w:rsidRPr="00AE53EE" w:rsidTr="00C52450">
        <w:trPr>
          <w:jc w:val="center"/>
        </w:trPr>
        <w:tc>
          <w:tcPr>
            <w:tcW w:w="1578" w:type="pct"/>
            <w:shd w:val="clear" w:color="auto" w:fill="CCCCCC"/>
          </w:tcPr>
          <w:p w:rsidR="00C52450" w:rsidRPr="00AE53EE" w:rsidRDefault="00C52450" w:rsidP="00C52450">
            <w:pPr>
              <w:jc w:val="center"/>
              <w:rPr>
                <w:rFonts w:ascii="Arial" w:hAnsi="Arial" w:cs="Arial"/>
                <w:b/>
                <w:bCs/>
                <w:sz w:val="20"/>
                <w:szCs w:val="20"/>
              </w:rPr>
            </w:pPr>
            <w:r w:rsidRPr="00AE53EE">
              <w:rPr>
                <w:rFonts w:ascii="Arial" w:hAnsi="Arial" w:cs="Arial"/>
                <w:b/>
                <w:bCs/>
                <w:sz w:val="20"/>
                <w:szCs w:val="20"/>
              </w:rPr>
              <w:t>Measure</w:t>
            </w:r>
          </w:p>
        </w:tc>
        <w:tc>
          <w:tcPr>
            <w:tcW w:w="712" w:type="pct"/>
            <w:shd w:val="clear" w:color="auto" w:fill="CCCCCC"/>
          </w:tcPr>
          <w:p w:rsidR="00C52450" w:rsidRPr="00AE53EE" w:rsidRDefault="00C52450" w:rsidP="00C52450">
            <w:pPr>
              <w:jc w:val="center"/>
              <w:rPr>
                <w:rFonts w:ascii="Arial" w:hAnsi="Arial" w:cs="Arial"/>
                <w:b/>
                <w:bCs/>
                <w:sz w:val="20"/>
                <w:szCs w:val="20"/>
              </w:rPr>
            </w:pPr>
            <w:proofErr w:type="spellStart"/>
            <w:r w:rsidRPr="00AE53EE">
              <w:rPr>
                <w:rFonts w:ascii="Arial" w:hAnsi="Arial" w:cs="Arial"/>
                <w:b/>
                <w:bCs/>
                <w:i/>
                <w:sz w:val="20"/>
                <w:szCs w:val="20"/>
              </w:rPr>
              <w:t>kW</w:t>
            </w:r>
            <w:r w:rsidRPr="00AE53EE">
              <w:rPr>
                <w:rFonts w:ascii="Arial" w:hAnsi="Arial" w:cs="Arial"/>
                <w:b/>
                <w:bCs/>
                <w:i/>
                <w:sz w:val="20"/>
                <w:szCs w:val="20"/>
                <w:vertAlign w:val="subscript"/>
              </w:rPr>
              <w:t>AC</w:t>
            </w:r>
            <w:proofErr w:type="spellEnd"/>
          </w:p>
        </w:tc>
        <w:tc>
          <w:tcPr>
            <w:tcW w:w="1355" w:type="pct"/>
            <w:shd w:val="clear" w:color="auto" w:fill="CCCCCC"/>
          </w:tcPr>
          <w:p w:rsidR="00C52450" w:rsidRPr="00AE53EE" w:rsidRDefault="00C52450" w:rsidP="00C52450">
            <w:pPr>
              <w:jc w:val="center"/>
              <w:rPr>
                <w:rFonts w:ascii="Arial" w:hAnsi="Arial" w:cs="Arial"/>
                <w:b/>
                <w:bCs/>
                <w:sz w:val="20"/>
                <w:szCs w:val="20"/>
              </w:rPr>
            </w:pPr>
            <w:proofErr w:type="spellStart"/>
            <w:r w:rsidRPr="00AE53EE">
              <w:rPr>
                <w:rFonts w:ascii="Arial" w:hAnsi="Arial" w:cs="Arial"/>
                <w:b/>
                <w:bCs/>
                <w:i/>
                <w:sz w:val="20"/>
                <w:szCs w:val="20"/>
              </w:rPr>
              <w:t>kW</w:t>
            </w:r>
            <w:r w:rsidRPr="00AE53EE">
              <w:rPr>
                <w:rFonts w:ascii="Arial" w:hAnsi="Arial" w:cs="Arial"/>
                <w:b/>
                <w:bCs/>
                <w:i/>
                <w:sz w:val="20"/>
                <w:szCs w:val="20"/>
                <w:vertAlign w:val="subscript"/>
              </w:rPr>
              <w:t>Total</w:t>
            </w:r>
            <w:proofErr w:type="spellEnd"/>
          </w:p>
        </w:tc>
        <w:tc>
          <w:tcPr>
            <w:tcW w:w="1355" w:type="pct"/>
            <w:shd w:val="clear" w:color="auto" w:fill="CCCCCC"/>
          </w:tcPr>
          <w:p w:rsidR="00C52450" w:rsidRPr="00AE53EE" w:rsidRDefault="00C52450" w:rsidP="00C52450">
            <w:pPr>
              <w:jc w:val="center"/>
              <w:rPr>
                <w:rFonts w:ascii="Arial" w:hAnsi="Arial" w:cs="Arial"/>
                <w:b/>
                <w:bCs/>
                <w:sz w:val="20"/>
                <w:szCs w:val="20"/>
              </w:rPr>
            </w:pPr>
            <w:r w:rsidRPr="00AE53EE">
              <w:rPr>
                <w:rFonts w:ascii="Arial" w:hAnsi="Arial" w:cs="Arial"/>
                <w:b/>
                <w:bCs/>
                <w:sz w:val="20"/>
                <w:szCs w:val="20"/>
              </w:rPr>
              <w:t>%</w:t>
            </w:r>
          </w:p>
        </w:tc>
      </w:tr>
      <w:tr w:rsidR="00C52450" w:rsidRPr="00AE53EE" w:rsidTr="00C52450">
        <w:trPr>
          <w:jc w:val="center"/>
        </w:trPr>
        <w:tc>
          <w:tcPr>
            <w:tcW w:w="1578" w:type="pct"/>
            <w:shd w:val="clear" w:color="auto" w:fill="F3F3F3"/>
          </w:tcPr>
          <w:p w:rsidR="00C52450" w:rsidRPr="00AE53EE" w:rsidRDefault="00C52450" w:rsidP="00C52450">
            <w:pPr>
              <w:rPr>
                <w:rFonts w:ascii="Arial" w:hAnsi="Arial" w:cs="Arial"/>
                <w:sz w:val="20"/>
                <w:szCs w:val="20"/>
              </w:rPr>
            </w:pPr>
            <w:r w:rsidRPr="00AE53EE">
              <w:rPr>
                <w:rFonts w:ascii="Arial" w:hAnsi="Arial" w:cs="Arial"/>
                <w:sz w:val="20"/>
                <w:szCs w:val="20"/>
              </w:rPr>
              <w:t xml:space="preserve">Add Doors to </w:t>
            </w:r>
            <w:r>
              <w:rPr>
                <w:rFonts w:ascii="Arial" w:hAnsi="Arial" w:cs="Arial"/>
                <w:sz w:val="20"/>
                <w:szCs w:val="20"/>
              </w:rPr>
              <w:t>Walk-in Cooler</w:t>
            </w:r>
          </w:p>
        </w:tc>
        <w:tc>
          <w:tcPr>
            <w:tcW w:w="712" w:type="pct"/>
            <w:shd w:val="clear" w:color="auto" w:fill="F3F3F3"/>
          </w:tcPr>
          <w:p w:rsidR="00C52450" w:rsidRPr="00AE53EE" w:rsidRDefault="00C52450" w:rsidP="00C52450">
            <w:pPr>
              <w:jc w:val="center"/>
              <w:rPr>
                <w:rFonts w:ascii="Arial" w:hAnsi="Arial" w:cs="Arial"/>
                <w:sz w:val="20"/>
                <w:szCs w:val="20"/>
              </w:rPr>
            </w:pPr>
            <w:r w:rsidRPr="00AE53EE">
              <w:rPr>
                <w:rFonts w:ascii="Arial" w:hAnsi="Arial" w:cs="Arial"/>
                <w:sz w:val="20"/>
                <w:szCs w:val="20"/>
              </w:rPr>
              <w:t>0</w:t>
            </w:r>
          </w:p>
        </w:tc>
        <w:tc>
          <w:tcPr>
            <w:tcW w:w="1355" w:type="pct"/>
            <w:shd w:val="clear" w:color="auto" w:fill="F3F3F3"/>
          </w:tcPr>
          <w:p w:rsidR="00C52450" w:rsidRPr="00AE53EE" w:rsidRDefault="00C52450" w:rsidP="00C52450">
            <w:pPr>
              <w:jc w:val="center"/>
              <w:rPr>
                <w:rFonts w:ascii="Arial" w:hAnsi="Arial" w:cs="Arial"/>
                <w:sz w:val="20"/>
                <w:szCs w:val="20"/>
              </w:rPr>
            </w:pPr>
            <w:r w:rsidRPr="00AE53EE">
              <w:rPr>
                <w:rFonts w:ascii="Arial" w:hAnsi="Arial" w:cs="Arial"/>
                <w:sz w:val="20"/>
                <w:szCs w:val="20"/>
              </w:rPr>
              <w:t>0</w:t>
            </w:r>
          </w:p>
        </w:tc>
        <w:tc>
          <w:tcPr>
            <w:tcW w:w="1355" w:type="pct"/>
            <w:shd w:val="clear" w:color="auto" w:fill="F3F3F3"/>
          </w:tcPr>
          <w:p w:rsidR="00C52450" w:rsidRPr="00AE53EE" w:rsidRDefault="00C52450" w:rsidP="00C52450">
            <w:pPr>
              <w:jc w:val="center"/>
              <w:rPr>
                <w:rFonts w:ascii="Arial" w:hAnsi="Arial" w:cs="Arial"/>
                <w:sz w:val="20"/>
                <w:szCs w:val="20"/>
              </w:rPr>
            </w:pPr>
            <w:r w:rsidRPr="00AE53EE">
              <w:rPr>
                <w:rFonts w:ascii="Arial" w:hAnsi="Arial" w:cs="Arial"/>
                <w:sz w:val="20"/>
                <w:szCs w:val="20"/>
              </w:rPr>
              <w:t>0</w:t>
            </w:r>
          </w:p>
        </w:tc>
      </w:tr>
    </w:tbl>
    <w:p w:rsidR="00C52450" w:rsidRPr="00AE53EE" w:rsidRDefault="00C52450" w:rsidP="00C52450">
      <w:pPr>
        <w:rPr>
          <w:rFonts w:ascii="Arial" w:hAnsi="Arial" w:cs="Arial"/>
        </w:rPr>
      </w:pPr>
    </w:p>
    <w:p w:rsidR="00C52450" w:rsidRDefault="00C52450" w:rsidP="002C42FB">
      <w:pPr>
        <w:rPr>
          <w:rFonts w:ascii="Arial" w:hAnsi="Arial" w:cs="Arial"/>
          <w:sz w:val="20"/>
        </w:rPr>
      </w:pPr>
    </w:p>
    <w:p w:rsidR="00C069A2" w:rsidRPr="00EC4357" w:rsidRDefault="001248A3" w:rsidP="00665569">
      <w:pPr>
        <w:pStyle w:val="Heading2"/>
        <w:rPr>
          <w:color w:val="FF0000"/>
        </w:rPr>
      </w:pPr>
      <w:bookmarkStart w:id="55" w:name="_Toc387914056"/>
      <w:bookmarkStart w:id="56" w:name="_Toc390349993"/>
      <w:r w:rsidRPr="00EC4357">
        <w:t>1.</w:t>
      </w:r>
      <w:r w:rsidR="00264B03" w:rsidRPr="00EC4357">
        <w:t>5</w:t>
      </w:r>
      <w:r w:rsidRPr="00EC4357">
        <w:t xml:space="preserve"> </w:t>
      </w:r>
      <w:r w:rsidR="00FA595F" w:rsidRPr="00EC4357">
        <w:t>Summary of Inputs for Savings Calculations</w:t>
      </w:r>
      <w:bookmarkEnd w:id="55"/>
      <w:bookmarkEnd w:id="56"/>
      <w:r w:rsidR="00814500" w:rsidRPr="00EC4357">
        <w:t xml:space="preserve"> </w:t>
      </w:r>
    </w:p>
    <w:p w:rsidR="00017F15" w:rsidRDefault="00771260" w:rsidP="00017F15">
      <w:pPr>
        <w:rPr>
          <w:rFonts w:ascii="Arial" w:hAnsi="Arial" w:cs="Arial"/>
          <w:sz w:val="20"/>
        </w:rPr>
      </w:pPr>
      <w:r w:rsidRPr="00C27D3B">
        <w:rPr>
          <w:rFonts w:ascii="Arial" w:hAnsi="Arial" w:cs="Arial"/>
          <w:sz w:val="20"/>
        </w:rPr>
        <w:t xml:space="preserve">See accompanying </w:t>
      </w:r>
      <w:r w:rsidR="005A1A8C">
        <w:rPr>
          <w:rFonts w:ascii="Arial" w:hAnsi="Arial" w:cs="Arial"/>
          <w:sz w:val="20"/>
        </w:rPr>
        <w:t xml:space="preserve">calculation </w:t>
      </w:r>
      <w:r w:rsidRPr="00C27D3B">
        <w:rPr>
          <w:rFonts w:ascii="Arial" w:hAnsi="Arial" w:cs="Arial"/>
          <w:sz w:val="20"/>
        </w:rPr>
        <w:t>spreadsheet</w:t>
      </w:r>
      <w:r w:rsidR="005A1A8C">
        <w:rPr>
          <w:rFonts w:ascii="Arial" w:hAnsi="Arial" w:cs="Arial"/>
          <w:sz w:val="20"/>
        </w:rPr>
        <w:t xml:space="preserve"> “</w:t>
      </w:r>
      <w:r w:rsidR="005A1A8C" w:rsidRPr="005A1A8C">
        <w:rPr>
          <w:rFonts w:ascii="Arial" w:hAnsi="Arial" w:cs="Arial"/>
          <w:sz w:val="20"/>
        </w:rPr>
        <w:t>PGE3PREF127_Add Doors to Open Walk-in Cooler_R3_Attachments.xlsx</w:t>
      </w:r>
      <w:r w:rsidR="005A1A8C">
        <w:rPr>
          <w:rFonts w:ascii="Arial" w:hAnsi="Arial" w:cs="Arial"/>
          <w:sz w:val="20"/>
        </w:rPr>
        <w:t>”</w:t>
      </w:r>
      <w:r w:rsidR="00982B9A">
        <w:rPr>
          <w:rFonts w:ascii="Arial" w:hAnsi="Arial" w:cs="Arial"/>
          <w:sz w:val="20"/>
        </w:rPr>
        <w:t>.</w:t>
      </w:r>
    </w:p>
    <w:p w:rsidR="00C069A2" w:rsidRPr="00017F15" w:rsidRDefault="002655EC" w:rsidP="00017F15">
      <w:pPr>
        <w:pStyle w:val="Heading1"/>
        <w:rPr>
          <w:bCs w:val="0"/>
        </w:rPr>
      </w:pPr>
      <w:r>
        <w:rPr>
          <w:sz w:val="20"/>
        </w:rPr>
        <w:br w:type="page"/>
      </w:r>
      <w:bookmarkStart w:id="57" w:name="_Toc390349994"/>
      <w:proofErr w:type="gramStart"/>
      <w:r w:rsidR="00CF3FF0" w:rsidRPr="00017F15">
        <w:rPr>
          <w:bCs w:val="0"/>
        </w:rPr>
        <w:lastRenderedPageBreak/>
        <w:t xml:space="preserve">Section </w:t>
      </w:r>
      <w:r w:rsidR="00C069A2" w:rsidRPr="00017F15">
        <w:rPr>
          <w:bCs w:val="0"/>
        </w:rPr>
        <w:t>2</w:t>
      </w:r>
      <w:r w:rsidR="003129E8" w:rsidRPr="00017F15">
        <w:rPr>
          <w:bCs w:val="0"/>
        </w:rPr>
        <w:t>.</w:t>
      </w:r>
      <w:proofErr w:type="gramEnd"/>
      <w:r w:rsidR="00C069A2" w:rsidRPr="00017F15">
        <w:rPr>
          <w:bCs w:val="0"/>
        </w:rPr>
        <w:t xml:space="preserve"> Calculation Methods</w:t>
      </w:r>
      <w:bookmarkEnd w:id="57"/>
    </w:p>
    <w:p w:rsidR="006B65CC" w:rsidRPr="001D2372" w:rsidRDefault="006B65CC" w:rsidP="001A3026">
      <w:pPr>
        <w:rPr>
          <w:rFonts w:ascii="Arial" w:hAnsi="Arial" w:cs="Arial"/>
          <w:b/>
          <w:bCs/>
          <w:kern w:val="32"/>
          <w:sz w:val="32"/>
          <w:szCs w:val="32"/>
        </w:rPr>
      </w:pPr>
    </w:p>
    <w:p w:rsidR="00BC2A83" w:rsidRPr="00BD6045" w:rsidRDefault="00D934A8" w:rsidP="00BD6045">
      <w:pPr>
        <w:pStyle w:val="Caption"/>
        <w:keepNext/>
        <w:jc w:val="center"/>
        <w:rPr>
          <w:rFonts w:ascii="Arial" w:hAnsi="Arial" w:cs="Arial"/>
        </w:rPr>
      </w:pPr>
      <w:bookmarkStart w:id="58" w:name="_Toc387914158"/>
      <w:bookmarkStart w:id="59" w:name="_Toc390349970"/>
      <w:r w:rsidRPr="00BD6045">
        <w:rPr>
          <w:rFonts w:ascii="Arial" w:hAnsi="Arial" w:cs="Arial"/>
        </w:rPr>
        <w:t xml:space="preserve">Table </w:t>
      </w:r>
      <w:r w:rsidR="00BD6045" w:rsidRPr="00665569">
        <w:rPr>
          <w:rFonts w:ascii="Arial" w:hAnsi="Arial" w:cs="Arial"/>
        </w:rPr>
        <w:fldChar w:fldCharType="begin"/>
      </w:r>
      <w:r w:rsidR="00BD6045" w:rsidRPr="00665569">
        <w:rPr>
          <w:rFonts w:ascii="Arial" w:hAnsi="Arial" w:cs="Arial"/>
        </w:rPr>
        <w:instrText xml:space="preserve"> SEQ Table \* ARABIC \s 1 </w:instrText>
      </w:r>
      <w:r w:rsidR="00BD6045" w:rsidRPr="00665569">
        <w:rPr>
          <w:rFonts w:ascii="Arial" w:hAnsi="Arial" w:cs="Arial"/>
        </w:rPr>
        <w:fldChar w:fldCharType="separate"/>
      </w:r>
      <w:r w:rsidR="007F512F">
        <w:rPr>
          <w:rFonts w:ascii="Arial" w:hAnsi="Arial" w:cs="Arial"/>
          <w:noProof/>
        </w:rPr>
        <w:t>4</w:t>
      </w:r>
      <w:r w:rsidR="00BD6045" w:rsidRPr="00665569">
        <w:rPr>
          <w:rFonts w:ascii="Arial" w:hAnsi="Arial" w:cs="Arial"/>
          <w:noProof/>
        </w:rPr>
        <w:fldChar w:fldCharType="end"/>
      </w:r>
      <w:r w:rsidR="002C0819" w:rsidRPr="00BD6045">
        <w:rPr>
          <w:rFonts w:ascii="Arial" w:hAnsi="Arial" w:cs="Arial"/>
        </w:rPr>
        <w:t xml:space="preserve"> Baseline by Measure Application Type</w:t>
      </w:r>
      <w:bookmarkEnd w:id="58"/>
      <w:bookmarkEnd w:id="59"/>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1D2372" w:rsidRPr="001E4C31" w:rsidTr="00C52450">
        <w:trPr>
          <w:trHeight w:val="927"/>
        </w:trPr>
        <w:tc>
          <w:tcPr>
            <w:tcW w:w="2808" w:type="dxa"/>
            <w:shd w:val="clear" w:color="auto" w:fill="262626"/>
            <w:vAlign w:val="bottom"/>
          </w:tcPr>
          <w:p w:rsidR="001D2372" w:rsidRPr="001E4C31" w:rsidRDefault="001D2372" w:rsidP="003F18E3">
            <w:pPr>
              <w:rPr>
                <w:rStyle w:val="Strong"/>
                <w:b w:val="0"/>
                <w:bCs w:val="0"/>
                <w:i/>
                <w:color w:val="F2F2F2"/>
              </w:rPr>
            </w:pPr>
            <w:bookmarkStart w:id="60" w:name="_Toc324340490"/>
            <w:bookmarkStart w:id="61" w:name="_Toc383441995"/>
            <w:r>
              <w:rPr>
                <w:rStyle w:val="Strong"/>
                <w:color w:val="F2F2F2"/>
              </w:rPr>
              <w:t xml:space="preserve">Measure Application </w:t>
            </w:r>
            <w:r w:rsidRPr="001E4C31">
              <w:rPr>
                <w:rStyle w:val="Strong"/>
                <w:color w:val="F2F2F2"/>
              </w:rPr>
              <w:t>Type</w:t>
            </w:r>
            <w:bookmarkEnd w:id="60"/>
            <w:bookmarkEnd w:id="61"/>
          </w:p>
        </w:tc>
        <w:tc>
          <w:tcPr>
            <w:tcW w:w="1710" w:type="dxa"/>
            <w:shd w:val="clear" w:color="auto" w:fill="262626"/>
            <w:vAlign w:val="bottom"/>
          </w:tcPr>
          <w:p w:rsidR="001D2372" w:rsidRPr="001E4C31" w:rsidRDefault="001D2372" w:rsidP="003F18E3">
            <w:pPr>
              <w:rPr>
                <w:rStyle w:val="Strong"/>
                <w:b w:val="0"/>
                <w:bCs w:val="0"/>
                <w:i/>
                <w:color w:val="F2F2F2"/>
              </w:rPr>
            </w:pPr>
            <w:bookmarkStart w:id="62" w:name="_Toc324340491"/>
            <w:bookmarkStart w:id="63" w:name="_Toc383441996"/>
            <w:r w:rsidRPr="001E4C31">
              <w:rPr>
                <w:rStyle w:val="Strong"/>
                <w:color w:val="F2F2F2"/>
              </w:rPr>
              <w:t>Measure Life Basis</w:t>
            </w:r>
            <w:bookmarkEnd w:id="62"/>
            <w:bookmarkEnd w:id="63"/>
          </w:p>
        </w:tc>
        <w:tc>
          <w:tcPr>
            <w:tcW w:w="2790" w:type="dxa"/>
            <w:shd w:val="clear" w:color="auto" w:fill="262626"/>
            <w:vAlign w:val="bottom"/>
          </w:tcPr>
          <w:p w:rsidR="001D2372" w:rsidRPr="001E4C31" w:rsidRDefault="001D2372" w:rsidP="003F18E3">
            <w:pPr>
              <w:rPr>
                <w:rStyle w:val="Strong"/>
                <w:b w:val="0"/>
                <w:bCs w:val="0"/>
                <w:i/>
                <w:color w:val="F2F2F2"/>
              </w:rPr>
            </w:pPr>
            <w:bookmarkStart w:id="64" w:name="_Toc324340492"/>
            <w:bookmarkStart w:id="65" w:name="_Toc383441997"/>
            <w:r w:rsidRPr="001E4C31">
              <w:rPr>
                <w:rStyle w:val="Strong"/>
                <w:color w:val="F2F2F2"/>
              </w:rPr>
              <w:t>First Baseline Period: Energy Savings Baseline</w:t>
            </w:r>
            <w:bookmarkEnd w:id="64"/>
            <w:bookmarkEnd w:id="65"/>
          </w:p>
        </w:tc>
        <w:tc>
          <w:tcPr>
            <w:tcW w:w="2268" w:type="dxa"/>
            <w:shd w:val="clear" w:color="auto" w:fill="262626"/>
            <w:vAlign w:val="bottom"/>
          </w:tcPr>
          <w:p w:rsidR="001D2372" w:rsidRPr="001E4C31" w:rsidRDefault="001D2372" w:rsidP="003F18E3">
            <w:pPr>
              <w:rPr>
                <w:rStyle w:val="Strong"/>
                <w:b w:val="0"/>
                <w:bCs w:val="0"/>
                <w:i/>
                <w:color w:val="F2F2F2"/>
              </w:rPr>
            </w:pPr>
            <w:bookmarkStart w:id="66" w:name="_Toc324340493"/>
            <w:bookmarkStart w:id="67" w:name="_Toc383441998"/>
            <w:r w:rsidRPr="001E4C31">
              <w:rPr>
                <w:rStyle w:val="Strong"/>
                <w:color w:val="F2F2F2"/>
              </w:rPr>
              <w:t>Second Baseline Period: Energy Savings Baseline</w:t>
            </w:r>
            <w:bookmarkEnd w:id="66"/>
            <w:bookmarkEnd w:id="67"/>
          </w:p>
        </w:tc>
      </w:tr>
      <w:tr w:rsidR="001D2372" w:rsidRPr="00C41E61" w:rsidTr="00C52450">
        <w:tc>
          <w:tcPr>
            <w:tcW w:w="2808" w:type="dxa"/>
            <w:shd w:val="pct5" w:color="000000" w:fill="FFFFFF"/>
          </w:tcPr>
          <w:p w:rsidR="001D2372" w:rsidRPr="001D2372" w:rsidRDefault="001D2372" w:rsidP="001D2372">
            <w:pPr>
              <w:spacing w:before="120" w:after="120"/>
              <w:jc w:val="center"/>
            </w:pPr>
            <w:r w:rsidRPr="001D2372">
              <w:rPr>
                <w:rStyle w:val="Strong"/>
                <w:i/>
              </w:rPr>
              <w:t>REA</w:t>
            </w:r>
            <w:r>
              <w:rPr>
                <w:rStyle w:val="Strong"/>
                <w:i/>
              </w:rPr>
              <w:t xml:space="preserve"> </w:t>
            </w:r>
            <w:r>
              <w:rPr>
                <w:rStyle w:val="Strong"/>
                <w:b w:val="0"/>
              </w:rPr>
              <w:t>(retrofit add on)</w:t>
            </w:r>
          </w:p>
        </w:tc>
        <w:tc>
          <w:tcPr>
            <w:tcW w:w="1710" w:type="dxa"/>
            <w:shd w:val="pct5" w:color="000000" w:fill="FFFFFF"/>
          </w:tcPr>
          <w:p w:rsidR="001D2372" w:rsidRPr="001D2372" w:rsidRDefault="001D2372" w:rsidP="001D2372">
            <w:pPr>
              <w:spacing w:before="120" w:after="120"/>
              <w:jc w:val="center"/>
              <w:rPr>
                <w:rFonts w:ascii="Arial" w:hAnsi="Arial"/>
                <w:sz w:val="20"/>
                <w:szCs w:val="20"/>
              </w:rPr>
            </w:pPr>
            <w:r w:rsidRPr="001D2372">
              <w:rPr>
                <w:rFonts w:ascii="Arial" w:hAnsi="Arial"/>
                <w:sz w:val="20"/>
                <w:szCs w:val="20"/>
              </w:rPr>
              <w:t>EUL</w:t>
            </w:r>
          </w:p>
        </w:tc>
        <w:tc>
          <w:tcPr>
            <w:tcW w:w="2790" w:type="dxa"/>
            <w:shd w:val="pct5" w:color="000000" w:fill="FFFFFF"/>
          </w:tcPr>
          <w:p w:rsidR="001D2372" w:rsidRPr="001D2372" w:rsidRDefault="001D2372" w:rsidP="001D2372">
            <w:pPr>
              <w:spacing w:before="120" w:after="120"/>
              <w:jc w:val="center"/>
              <w:rPr>
                <w:rFonts w:ascii="Arial" w:hAnsi="Arial"/>
                <w:sz w:val="20"/>
                <w:szCs w:val="20"/>
              </w:rPr>
            </w:pPr>
            <w:r w:rsidRPr="001D2372">
              <w:rPr>
                <w:rFonts w:ascii="Arial" w:hAnsi="Arial"/>
                <w:sz w:val="20"/>
                <w:szCs w:val="20"/>
              </w:rPr>
              <w:t>Customer Average Baseline</w:t>
            </w:r>
          </w:p>
        </w:tc>
        <w:tc>
          <w:tcPr>
            <w:tcW w:w="2268" w:type="dxa"/>
            <w:shd w:val="pct5" w:color="000000" w:fill="FFFFFF"/>
          </w:tcPr>
          <w:p w:rsidR="001D2372" w:rsidRPr="001D2372" w:rsidRDefault="001D2372" w:rsidP="001D2372">
            <w:pPr>
              <w:spacing w:before="120" w:after="120"/>
              <w:jc w:val="center"/>
              <w:rPr>
                <w:rFonts w:ascii="Arial" w:hAnsi="Arial"/>
                <w:sz w:val="20"/>
                <w:szCs w:val="20"/>
              </w:rPr>
            </w:pPr>
            <w:r w:rsidRPr="001D2372">
              <w:rPr>
                <w:rFonts w:ascii="Arial" w:hAnsi="Arial"/>
                <w:sz w:val="20"/>
                <w:szCs w:val="20"/>
              </w:rPr>
              <w:t>N/A</w:t>
            </w:r>
          </w:p>
        </w:tc>
      </w:tr>
    </w:tbl>
    <w:p w:rsidR="00BC2A83" w:rsidRPr="00BC2A83" w:rsidRDefault="00BC2A83" w:rsidP="00665569"/>
    <w:p w:rsidR="00C069A2" w:rsidRDefault="00C069A2" w:rsidP="00D20486">
      <w:pPr>
        <w:pStyle w:val="Heading2"/>
      </w:pPr>
      <w:bookmarkStart w:id="68" w:name="_Toc387914057"/>
      <w:bookmarkStart w:id="69" w:name="_Toc390349995"/>
      <w:r>
        <w:t xml:space="preserve">2.1 </w:t>
      </w:r>
      <w:r w:rsidR="007878B9">
        <w:t xml:space="preserve">Electric </w:t>
      </w:r>
      <w:r>
        <w:t>Energy Savings Estimation Methodologies</w:t>
      </w:r>
      <w:bookmarkEnd w:id="68"/>
      <w:bookmarkEnd w:id="69"/>
    </w:p>
    <w:p w:rsidR="002C1F11" w:rsidRPr="00C27D3B" w:rsidRDefault="002C1F11" w:rsidP="002C1F11">
      <w:pPr>
        <w:rPr>
          <w:rFonts w:ascii="Arial" w:hAnsi="Arial" w:cs="Arial"/>
          <w:sz w:val="20"/>
        </w:rPr>
      </w:pPr>
      <w:r w:rsidRPr="00C27D3B">
        <w:rPr>
          <w:rFonts w:ascii="Arial" w:hAnsi="Arial" w:cs="Arial"/>
          <w:sz w:val="20"/>
        </w:rPr>
        <w:t xml:space="preserve">The electrical savings from this measure are primarily from a reduction in infiltration to the display case from the sales area due to the addition of doors. The doors prevent the infiltration of the store’s sales floor area into the refrigerated space of the case. This allows for the removal of the case evaporator coils and fans; further lowering the auxiliary load. The annual electric savings was determined using the </w:t>
      </w:r>
      <w:r w:rsidR="005E02C0">
        <w:rPr>
          <w:rFonts w:ascii="Arial" w:hAnsi="Arial" w:cs="Arial"/>
          <w:sz w:val="20"/>
        </w:rPr>
        <w:t>e</w:t>
      </w:r>
      <w:r w:rsidRPr="00C27D3B">
        <w:rPr>
          <w:rFonts w:ascii="Arial" w:hAnsi="Arial" w:cs="Arial"/>
          <w:sz w:val="20"/>
        </w:rPr>
        <w:t>quation</w:t>
      </w:r>
      <w:r w:rsidR="005E02C0">
        <w:rPr>
          <w:rFonts w:ascii="Arial" w:hAnsi="Arial" w:cs="Arial"/>
          <w:sz w:val="20"/>
        </w:rPr>
        <w:t xml:space="preserve"> </w:t>
      </w:r>
      <w:r w:rsidR="005E02C0">
        <w:rPr>
          <w:rFonts w:ascii="Arial" w:hAnsi="Arial" w:cs="Arial"/>
          <w:sz w:val="20"/>
        </w:rPr>
        <w:fldChar w:fldCharType="begin"/>
      </w:r>
      <w:r w:rsidR="005E02C0">
        <w:rPr>
          <w:rFonts w:ascii="Arial" w:hAnsi="Arial" w:cs="Arial"/>
          <w:sz w:val="20"/>
        </w:rPr>
        <w:instrText xml:space="preserve"> REF _Ref390350031 \p \h </w:instrText>
      </w:r>
      <w:r w:rsidR="005E02C0">
        <w:rPr>
          <w:rFonts w:ascii="Arial" w:hAnsi="Arial" w:cs="Arial"/>
          <w:sz w:val="20"/>
        </w:rPr>
      </w:r>
      <w:r w:rsidR="005E02C0">
        <w:rPr>
          <w:rFonts w:ascii="Arial" w:hAnsi="Arial" w:cs="Arial"/>
          <w:sz w:val="20"/>
        </w:rPr>
        <w:fldChar w:fldCharType="separate"/>
      </w:r>
      <w:r w:rsidR="005E02C0">
        <w:rPr>
          <w:rFonts w:ascii="Arial" w:hAnsi="Arial" w:cs="Arial"/>
          <w:sz w:val="20"/>
        </w:rPr>
        <w:t>below</w:t>
      </w:r>
      <w:r w:rsidR="005E02C0">
        <w:rPr>
          <w:rFonts w:ascii="Arial" w:hAnsi="Arial" w:cs="Arial"/>
          <w:sz w:val="20"/>
        </w:rPr>
        <w:fldChar w:fldCharType="end"/>
      </w:r>
      <w:r w:rsidRPr="00C27D3B">
        <w:rPr>
          <w:rFonts w:ascii="Arial" w:hAnsi="Arial" w:cs="Arial"/>
          <w:sz w:val="20"/>
        </w:rPr>
        <w:t>:</w:t>
      </w:r>
    </w:p>
    <w:p w:rsidR="002C1F11" w:rsidRPr="00C27D3B" w:rsidRDefault="002C1F11" w:rsidP="002C1F11">
      <w:pPr>
        <w:rPr>
          <w:rFonts w:ascii="Arial" w:hAnsi="Arial" w:cs="Arial"/>
          <w:sz w:val="20"/>
        </w:rPr>
      </w:pPr>
    </w:p>
    <w:p w:rsidR="002C1F11" w:rsidRDefault="002C1F11" w:rsidP="002C1F11">
      <w:pPr>
        <w:pStyle w:val="Caption"/>
        <w:jc w:val="center"/>
      </w:pPr>
      <w:bookmarkStart w:id="70" w:name="_Ref390350303"/>
      <w:bookmarkStart w:id="71" w:name="_Ref390350031"/>
      <w:r>
        <w:t xml:space="preserve">Equation </w:t>
      </w:r>
      <w:fldSimple w:instr=" SEQ Equation \* ARABIC ">
        <w:r w:rsidR="007F512F">
          <w:rPr>
            <w:noProof/>
          </w:rPr>
          <w:t>1</w:t>
        </w:r>
      </w:fldSimple>
      <w:bookmarkEnd w:id="70"/>
      <w:r>
        <w:t>- Annual Electric Savings Equation</w:t>
      </w:r>
      <w:bookmarkEnd w:id="71"/>
    </w:p>
    <w:p w:rsidR="002655EC" w:rsidRPr="002655EC" w:rsidRDefault="002655EC" w:rsidP="002655EC"/>
    <w:p w:rsidR="002C1F11" w:rsidRDefault="002655EC" w:rsidP="002655EC">
      <w:pPr>
        <w:jc w:val="center"/>
      </w:pPr>
      <w:r w:rsidRPr="00D02663">
        <w:rPr>
          <w:position w:val="-14"/>
        </w:rPr>
        <w:object w:dxaOrig="48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55pt;height:19pt" o:ole="" o:allowoverlap="f" filled="t">
            <v:imagedata r:id="rId23" o:title=""/>
          </v:shape>
          <o:OLEObject Type="Embed" ProgID="Equation.3" ShapeID="_x0000_i1025" DrawAspect="Content" ObjectID="_1464119817" r:id="rId24"/>
        </w:object>
      </w:r>
    </w:p>
    <w:p w:rsidR="002C1F11" w:rsidRDefault="002C1F11" w:rsidP="002C1F11">
      <w:pPr>
        <w:jc w:val="center"/>
      </w:pPr>
    </w:p>
    <w:p w:rsidR="002C1F11" w:rsidRPr="002655EC" w:rsidRDefault="002C1F11" w:rsidP="002C1F11">
      <w:pPr>
        <w:rPr>
          <w:rFonts w:ascii="Arial" w:hAnsi="Arial" w:cs="Arial"/>
          <w:sz w:val="20"/>
          <w:szCs w:val="20"/>
        </w:rPr>
      </w:pPr>
      <w:proofErr w:type="gramStart"/>
      <w:r w:rsidRPr="002655EC">
        <w:rPr>
          <w:rFonts w:ascii="Arial" w:hAnsi="Arial" w:cs="Arial"/>
          <w:sz w:val="20"/>
          <w:szCs w:val="20"/>
        </w:rPr>
        <w:t>where</w:t>
      </w:r>
      <w:proofErr w:type="gramEnd"/>
      <w:r w:rsidRPr="002655EC">
        <w:rPr>
          <w:rFonts w:ascii="Arial" w:hAnsi="Arial" w:cs="Arial"/>
          <w:sz w:val="20"/>
          <w:szCs w:val="20"/>
        </w:rPr>
        <w:t xml:space="preserve"> </w:t>
      </w:r>
      <w:proofErr w:type="spellStart"/>
      <w:r w:rsidRPr="002655EC">
        <w:rPr>
          <w:rFonts w:ascii="Arial" w:hAnsi="Arial" w:cs="Arial"/>
          <w:sz w:val="20"/>
          <w:szCs w:val="20"/>
        </w:rPr>
        <w:t>kWh</w:t>
      </w:r>
      <w:r w:rsidRPr="002655EC">
        <w:rPr>
          <w:rFonts w:ascii="Arial" w:hAnsi="Arial" w:cs="Arial"/>
          <w:sz w:val="20"/>
          <w:szCs w:val="20"/>
          <w:vertAlign w:val="subscript"/>
        </w:rPr>
        <w:t>base</w:t>
      </w:r>
      <w:proofErr w:type="spellEnd"/>
      <w:r w:rsidRPr="002655EC">
        <w:rPr>
          <w:rFonts w:ascii="Arial" w:hAnsi="Arial" w:cs="Arial"/>
          <w:sz w:val="20"/>
          <w:szCs w:val="20"/>
        </w:rPr>
        <w:t xml:space="preserve"> is found using the equation:</w:t>
      </w:r>
    </w:p>
    <w:p w:rsidR="002C1F11" w:rsidRPr="00405CE1" w:rsidRDefault="002C1F11" w:rsidP="002C1F11">
      <w:pPr>
        <w:rPr>
          <w:rFonts w:ascii="Arial" w:hAnsi="Arial" w:cs="Arial"/>
          <w:sz w:val="20"/>
        </w:rPr>
      </w:pPr>
    </w:p>
    <w:p w:rsidR="002C1F11" w:rsidRDefault="002C1F11" w:rsidP="002C1F11">
      <w:pPr>
        <w:pStyle w:val="Caption"/>
        <w:jc w:val="center"/>
      </w:pPr>
      <w:bookmarkStart w:id="72" w:name="_Ref390350104"/>
      <w:bookmarkStart w:id="73" w:name="_Ref390350113"/>
      <w:r>
        <w:t xml:space="preserve">Equation </w:t>
      </w:r>
      <w:fldSimple w:instr=" SEQ Equation \* ARABIC ">
        <w:r w:rsidR="007F512F">
          <w:rPr>
            <w:noProof/>
          </w:rPr>
          <w:t>2</w:t>
        </w:r>
      </w:fldSimple>
      <w:bookmarkEnd w:id="72"/>
      <w:r>
        <w:t>- Base Cas</w:t>
      </w:r>
      <w:r w:rsidR="000D326B">
        <w:t>e (Walk-in/</w:t>
      </w:r>
      <w:r>
        <w:t>Reach-in Case without Door) Annual Electric Energy Used</w:t>
      </w:r>
      <w:bookmarkEnd w:id="73"/>
    </w:p>
    <w:p w:rsidR="00405CE1" w:rsidRPr="00405CE1" w:rsidRDefault="00405CE1" w:rsidP="00405CE1"/>
    <w:p w:rsidR="002C1F11" w:rsidRDefault="002655EC" w:rsidP="002655EC">
      <w:pPr>
        <w:jc w:val="center"/>
      </w:pPr>
      <w:r w:rsidRPr="00D02663">
        <w:rPr>
          <w:position w:val="-60"/>
        </w:rPr>
        <w:object w:dxaOrig="7500" w:dyaOrig="1359">
          <v:shape id="_x0000_i1026" type="#_x0000_t75" style="width:374.95pt;height:67.9pt" o:ole="" o:allowoverlap="f" filled="t">
            <v:imagedata r:id="rId25" o:title=""/>
          </v:shape>
          <o:OLEObject Type="Embed" ProgID="Equation.3" ShapeID="_x0000_i1026" DrawAspect="Content" ObjectID="_1464119818" r:id="rId26"/>
        </w:object>
      </w:r>
    </w:p>
    <w:p w:rsidR="00405CE1" w:rsidRDefault="00405CE1" w:rsidP="002C1F11"/>
    <w:p w:rsidR="002C1F11" w:rsidRPr="003A3A3C" w:rsidRDefault="002C1F11" w:rsidP="002C1F11">
      <w:pPr>
        <w:rPr>
          <w:rFonts w:ascii="Arial" w:hAnsi="Arial" w:cs="Arial"/>
          <w:sz w:val="20"/>
          <w:szCs w:val="20"/>
        </w:rPr>
      </w:pPr>
      <w:proofErr w:type="spellStart"/>
      <w:proofErr w:type="gramStart"/>
      <w:r w:rsidRPr="003A3A3C">
        <w:rPr>
          <w:rFonts w:ascii="Arial" w:hAnsi="Arial" w:cs="Arial"/>
          <w:sz w:val="20"/>
          <w:szCs w:val="20"/>
        </w:rPr>
        <w:t>kWh</w:t>
      </w:r>
      <w:r w:rsidRPr="003A3A3C">
        <w:rPr>
          <w:rFonts w:ascii="Arial" w:hAnsi="Arial" w:cs="Arial"/>
          <w:sz w:val="20"/>
          <w:szCs w:val="20"/>
          <w:vertAlign w:val="subscript"/>
        </w:rPr>
        <w:t>ee</w:t>
      </w:r>
      <w:proofErr w:type="spellEnd"/>
      <w:proofErr w:type="gramEnd"/>
      <w:r w:rsidRPr="003A3A3C">
        <w:rPr>
          <w:rFonts w:ascii="Arial" w:hAnsi="Arial" w:cs="Arial"/>
          <w:sz w:val="20"/>
          <w:szCs w:val="20"/>
        </w:rPr>
        <w:t xml:space="preserve"> (the energy efficient annual electric energy used) is found using </w:t>
      </w:r>
      <w:r w:rsidR="005E02C0" w:rsidRPr="005E02C0">
        <w:rPr>
          <w:rFonts w:ascii="Arial" w:hAnsi="Arial" w:cs="Arial"/>
          <w:b/>
          <w:sz w:val="20"/>
          <w:szCs w:val="20"/>
        </w:rPr>
        <w:fldChar w:fldCharType="begin"/>
      </w:r>
      <w:r w:rsidR="005E02C0" w:rsidRPr="005E02C0">
        <w:rPr>
          <w:rFonts w:ascii="Arial" w:hAnsi="Arial" w:cs="Arial"/>
          <w:b/>
          <w:sz w:val="20"/>
          <w:szCs w:val="20"/>
        </w:rPr>
        <w:instrText xml:space="preserve"> REF _Ref390350104 \h  \* MERGEFORMAT </w:instrText>
      </w:r>
      <w:r w:rsidR="005E02C0" w:rsidRPr="005E02C0">
        <w:rPr>
          <w:rFonts w:ascii="Arial" w:hAnsi="Arial" w:cs="Arial"/>
          <w:b/>
          <w:sz w:val="20"/>
          <w:szCs w:val="20"/>
        </w:rPr>
      </w:r>
      <w:r w:rsidR="005E02C0" w:rsidRPr="005E02C0">
        <w:rPr>
          <w:rFonts w:ascii="Arial" w:hAnsi="Arial" w:cs="Arial"/>
          <w:b/>
          <w:sz w:val="20"/>
          <w:szCs w:val="20"/>
        </w:rPr>
        <w:fldChar w:fldCharType="separate"/>
      </w:r>
      <w:r w:rsidR="005E02C0" w:rsidRPr="005E02C0">
        <w:rPr>
          <w:rFonts w:ascii="Arial" w:hAnsi="Arial" w:cs="Arial"/>
          <w:b/>
          <w:sz w:val="20"/>
          <w:szCs w:val="20"/>
        </w:rPr>
        <w:t xml:space="preserve">Equation </w:t>
      </w:r>
      <w:r w:rsidR="005E02C0" w:rsidRPr="005E02C0">
        <w:rPr>
          <w:rFonts w:ascii="Arial" w:hAnsi="Arial" w:cs="Arial"/>
          <w:b/>
          <w:noProof/>
          <w:sz w:val="20"/>
          <w:szCs w:val="20"/>
        </w:rPr>
        <w:t>2</w:t>
      </w:r>
      <w:r w:rsidR="005E02C0" w:rsidRPr="005E02C0">
        <w:rPr>
          <w:rFonts w:ascii="Arial" w:hAnsi="Arial" w:cs="Arial"/>
          <w:b/>
          <w:sz w:val="20"/>
          <w:szCs w:val="20"/>
        </w:rPr>
        <w:fldChar w:fldCharType="end"/>
      </w:r>
      <w:r w:rsidRPr="005E02C0">
        <w:rPr>
          <w:rFonts w:ascii="Arial" w:hAnsi="Arial" w:cs="Arial"/>
          <w:sz w:val="20"/>
          <w:szCs w:val="20"/>
        </w:rPr>
        <w:t xml:space="preserve"> </w:t>
      </w:r>
      <w:r w:rsidR="005E02C0" w:rsidRPr="005E02C0">
        <w:rPr>
          <w:rFonts w:ascii="Arial" w:hAnsi="Arial" w:cs="Arial"/>
          <w:sz w:val="20"/>
          <w:szCs w:val="20"/>
        </w:rPr>
        <w:fldChar w:fldCharType="begin"/>
      </w:r>
      <w:r w:rsidR="005E02C0" w:rsidRPr="005E02C0">
        <w:rPr>
          <w:rFonts w:ascii="Arial" w:hAnsi="Arial" w:cs="Arial"/>
          <w:sz w:val="20"/>
          <w:szCs w:val="20"/>
        </w:rPr>
        <w:instrText xml:space="preserve"> REF _Ref390350113 \p \h  \* MERGEFORMAT </w:instrText>
      </w:r>
      <w:r w:rsidR="005E02C0" w:rsidRPr="005E02C0">
        <w:rPr>
          <w:rFonts w:ascii="Arial" w:hAnsi="Arial" w:cs="Arial"/>
          <w:sz w:val="20"/>
          <w:szCs w:val="20"/>
        </w:rPr>
      </w:r>
      <w:r w:rsidR="005E02C0" w:rsidRPr="005E02C0">
        <w:rPr>
          <w:rFonts w:ascii="Arial" w:hAnsi="Arial" w:cs="Arial"/>
          <w:sz w:val="20"/>
          <w:szCs w:val="20"/>
        </w:rPr>
        <w:fldChar w:fldCharType="separate"/>
      </w:r>
      <w:r w:rsidR="005E02C0" w:rsidRPr="005E02C0">
        <w:rPr>
          <w:rFonts w:ascii="Arial" w:hAnsi="Arial" w:cs="Arial"/>
          <w:sz w:val="20"/>
          <w:szCs w:val="20"/>
        </w:rPr>
        <w:t>above</w:t>
      </w:r>
      <w:r w:rsidR="005E02C0" w:rsidRPr="005E02C0">
        <w:rPr>
          <w:rFonts w:ascii="Arial" w:hAnsi="Arial" w:cs="Arial"/>
          <w:sz w:val="20"/>
          <w:szCs w:val="20"/>
        </w:rPr>
        <w:fldChar w:fldCharType="end"/>
      </w:r>
      <w:r w:rsidRPr="003A3A3C">
        <w:rPr>
          <w:rFonts w:ascii="Arial" w:hAnsi="Arial" w:cs="Arial"/>
          <w:sz w:val="20"/>
          <w:szCs w:val="20"/>
        </w:rPr>
        <w:t>, but with energy efficient values.</w:t>
      </w:r>
    </w:p>
    <w:p w:rsidR="002C1F11" w:rsidRPr="003A3A3C" w:rsidRDefault="002C1F11" w:rsidP="002C1F11">
      <w:pPr>
        <w:rPr>
          <w:rFonts w:ascii="Arial" w:hAnsi="Arial" w:cs="Arial"/>
          <w:sz w:val="20"/>
          <w:szCs w:val="20"/>
        </w:rPr>
      </w:pPr>
    </w:p>
    <w:p w:rsidR="002C1F11" w:rsidRPr="003A3A3C" w:rsidRDefault="00C822A8" w:rsidP="002C1F11">
      <w:pPr>
        <w:rPr>
          <w:rFonts w:ascii="Arial" w:hAnsi="Arial" w:cs="Arial"/>
          <w:sz w:val="20"/>
          <w:szCs w:val="20"/>
        </w:rPr>
      </w:pPr>
      <w:r w:rsidRPr="003A3A3C">
        <w:rPr>
          <w:rFonts w:ascii="Arial" w:hAnsi="Arial" w:cs="Arial"/>
          <w:sz w:val="20"/>
          <w:szCs w:val="20"/>
        </w:rPr>
        <w:t>The variable</w:t>
      </w:r>
      <w:r w:rsidRPr="005E02C0">
        <w:rPr>
          <w:rFonts w:ascii="Arial" w:hAnsi="Arial" w:cs="Arial"/>
          <w:sz w:val="20"/>
          <w:szCs w:val="20"/>
        </w:rPr>
        <w:t>s</w:t>
      </w:r>
      <w:r w:rsidR="00405CE1" w:rsidRPr="005E02C0">
        <w:rPr>
          <w:rFonts w:ascii="Arial" w:hAnsi="Arial" w:cs="Arial"/>
          <w:sz w:val="20"/>
          <w:szCs w:val="20"/>
        </w:rPr>
        <w:t xml:space="preserve"> for </w:t>
      </w:r>
      <w:r w:rsidR="005E02C0" w:rsidRPr="005E02C0">
        <w:rPr>
          <w:rFonts w:ascii="Arial" w:hAnsi="Arial" w:cs="Arial"/>
          <w:b/>
          <w:sz w:val="20"/>
          <w:szCs w:val="20"/>
        </w:rPr>
        <w:fldChar w:fldCharType="begin"/>
      </w:r>
      <w:r w:rsidR="005E02C0" w:rsidRPr="005E02C0">
        <w:rPr>
          <w:rFonts w:ascii="Arial" w:hAnsi="Arial" w:cs="Arial"/>
          <w:sz w:val="20"/>
          <w:szCs w:val="20"/>
        </w:rPr>
        <w:instrText xml:space="preserve"> REF _Ref390350104 \h </w:instrText>
      </w:r>
      <w:r w:rsidR="005E02C0" w:rsidRPr="005E02C0">
        <w:rPr>
          <w:rFonts w:ascii="Arial" w:hAnsi="Arial" w:cs="Arial"/>
          <w:b/>
          <w:sz w:val="20"/>
          <w:szCs w:val="20"/>
        </w:rPr>
        <w:instrText xml:space="preserve"> \* MERGEFORMAT </w:instrText>
      </w:r>
      <w:r w:rsidR="005E02C0" w:rsidRPr="005E02C0">
        <w:rPr>
          <w:rFonts w:ascii="Arial" w:hAnsi="Arial" w:cs="Arial"/>
          <w:b/>
          <w:sz w:val="20"/>
          <w:szCs w:val="20"/>
        </w:rPr>
      </w:r>
      <w:r w:rsidR="005E02C0" w:rsidRPr="005E02C0">
        <w:rPr>
          <w:rFonts w:ascii="Arial" w:hAnsi="Arial" w:cs="Arial"/>
          <w:b/>
          <w:sz w:val="20"/>
          <w:szCs w:val="20"/>
        </w:rPr>
        <w:fldChar w:fldCharType="separate"/>
      </w:r>
      <w:r w:rsidR="005E02C0" w:rsidRPr="005E02C0">
        <w:rPr>
          <w:rFonts w:ascii="Arial" w:hAnsi="Arial" w:cs="Arial"/>
          <w:sz w:val="20"/>
          <w:szCs w:val="20"/>
        </w:rPr>
        <w:t xml:space="preserve">Equation </w:t>
      </w:r>
      <w:r w:rsidR="005E02C0" w:rsidRPr="005E02C0">
        <w:rPr>
          <w:rFonts w:ascii="Arial" w:hAnsi="Arial" w:cs="Arial"/>
          <w:noProof/>
          <w:sz w:val="20"/>
          <w:szCs w:val="20"/>
        </w:rPr>
        <w:t>2</w:t>
      </w:r>
      <w:r w:rsidR="005E02C0" w:rsidRPr="005E02C0">
        <w:rPr>
          <w:rFonts w:ascii="Arial" w:hAnsi="Arial" w:cs="Arial"/>
          <w:b/>
          <w:sz w:val="20"/>
          <w:szCs w:val="20"/>
        </w:rPr>
        <w:fldChar w:fldCharType="end"/>
      </w:r>
      <w:r w:rsidR="002C1F11" w:rsidRPr="005E02C0">
        <w:rPr>
          <w:rFonts w:ascii="Arial" w:hAnsi="Arial" w:cs="Arial"/>
          <w:sz w:val="20"/>
          <w:szCs w:val="20"/>
        </w:rPr>
        <w:t xml:space="preserve"> </w:t>
      </w:r>
      <w:r w:rsidRPr="005E02C0">
        <w:rPr>
          <w:rFonts w:ascii="Arial" w:hAnsi="Arial" w:cs="Arial"/>
          <w:sz w:val="20"/>
          <w:szCs w:val="20"/>
        </w:rPr>
        <w:t>are defined as</w:t>
      </w:r>
      <w:r w:rsidR="002C1F11" w:rsidRPr="005E02C0">
        <w:rPr>
          <w:rFonts w:ascii="Arial" w:hAnsi="Arial" w:cs="Arial"/>
          <w:sz w:val="20"/>
          <w:szCs w:val="20"/>
        </w:rPr>
        <w:t xml:space="preserve"> follo</w:t>
      </w:r>
      <w:r w:rsidR="002C1F11" w:rsidRPr="003A3A3C">
        <w:rPr>
          <w:rFonts w:ascii="Arial" w:hAnsi="Arial" w:cs="Arial"/>
          <w:sz w:val="20"/>
          <w:szCs w:val="20"/>
        </w:rPr>
        <w:t>ws:</w:t>
      </w:r>
    </w:p>
    <w:p w:rsidR="002655EC" w:rsidRPr="003A3A3C" w:rsidRDefault="002655EC" w:rsidP="002C1F11">
      <w:pPr>
        <w:rPr>
          <w:rFonts w:ascii="Arial" w:hAnsi="Arial" w:cs="Arial"/>
          <w:sz w:val="20"/>
          <w:szCs w:val="20"/>
        </w:rPr>
      </w:pPr>
    </w:p>
    <w:p w:rsidR="002C1F11" w:rsidRPr="003A3A3C" w:rsidRDefault="002655EC" w:rsidP="002C1F11">
      <w:pPr>
        <w:rPr>
          <w:rFonts w:ascii="Arial" w:hAnsi="Arial" w:cs="Arial"/>
          <w:sz w:val="20"/>
          <w:szCs w:val="20"/>
        </w:rPr>
      </w:pPr>
      <w:r w:rsidRPr="003A3A3C">
        <w:rPr>
          <w:rFonts w:ascii="Arial" w:hAnsi="Arial" w:cs="Arial"/>
          <w:position w:val="-10"/>
          <w:sz w:val="20"/>
          <w:szCs w:val="20"/>
        </w:rPr>
        <w:object w:dxaOrig="7020" w:dyaOrig="320">
          <v:shape id="_x0000_i1027" type="#_x0000_t75" style="width:389.9pt;height:16.3pt" o:ole="" o:allowoverlap="f" filled="t">
            <v:imagedata r:id="rId27" o:title=""/>
          </v:shape>
          <o:OLEObject Type="Embed" ProgID="Equation.3" ShapeID="_x0000_i1027" DrawAspect="Content" ObjectID="_1464119819" r:id="rId28"/>
        </w:object>
      </w:r>
    </w:p>
    <w:p w:rsidR="002C1F11" w:rsidRPr="003A3A3C" w:rsidRDefault="002C1F11" w:rsidP="002C1F11">
      <w:pPr>
        <w:rPr>
          <w:rFonts w:ascii="Arial" w:hAnsi="Arial" w:cs="Arial"/>
          <w:sz w:val="20"/>
          <w:szCs w:val="20"/>
        </w:rPr>
      </w:pPr>
    </w:p>
    <w:p w:rsidR="002C1F11" w:rsidRPr="003A3A3C" w:rsidRDefault="002C1F11" w:rsidP="002C1F11">
      <w:pPr>
        <w:rPr>
          <w:rFonts w:ascii="Arial" w:hAnsi="Arial" w:cs="Arial"/>
          <w:sz w:val="20"/>
          <w:szCs w:val="20"/>
        </w:rPr>
      </w:pPr>
      <w:r w:rsidRPr="003A3A3C">
        <w:rPr>
          <w:rFonts w:ascii="Arial" w:hAnsi="Arial" w:cs="Arial"/>
          <w:sz w:val="20"/>
          <w:szCs w:val="20"/>
        </w:rPr>
        <w:t>FLH = annual compressor system full-load hours</w:t>
      </w:r>
      <w:r w:rsidR="00865488" w:rsidRPr="003A3A3C">
        <w:rPr>
          <w:rFonts w:ascii="Arial" w:hAnsi="Arial" w:cs="Arial"/>
          <w:sz w:val="20"/>
          <w:szCs w:val="20"/>
          <w:vertAlign w:val="superscript"/>
        </w:rPr>
        <w:endnoteReference w:id="9"/>
      </w:r>
    </w:p>
    <w:p w:rsidR="002655EC" w:rsidRPr="003A3A3C" w:rsidRDefault="002655EC" w:rsidP="002C1F11">
      <w:pPr>
        <w:rPr>
          <w:rFonts w:ascii="Arial" w:hAnsi="Arial" w:cs="Arial"/>
          <w:sz w:val="20"/>
          <w:szCs w:val="20"/>
        </w:rPr>
      </w:pPr>
    </w:p>
    <w:p w:rsidR="002C1F11" w:rsidRPr="003A3A3C" w:rsidRDefault="002655EC" w:rsidP="002C1F11">
      <w:pPr>
        <w:rPr>
          <w:rFonts w:ascii="Arial" w:hAnsi="Arial" w:cs="Arial"/>
          <w:sz w:val="20"/>
          <w:szCs w:val="20"/>
        </w:rPr>
      </w:pPr>
      <w:r w:rsidRPr="003A3A3C">
        <w:rPr>
          <w:rFonts w:ascii="Arial" w:hAnsi="Arial" w:cs="Arial"/>
          <w:position w:val="-4"/>
          <w:sz w:val="20"/>
          <w:szCs w:val="20"/>
        </w:rPr>
        <w:object w:dxaOrig="540" w:dyaOrig="320">
          <v:shape id="_x0000_i1028" type="#_x0000_t75" style="width:27.15pt;height:16.3pt" o:ole="" o:allowoverlap="f" fillcolor="window">
            <v:imagedata r:id="rId29" o:title=""/>
          </v:shape>
          <o:OLEObject Type="Embed" ProgID="Equation.3" ShapeID="_x0000_i1028" DrawAspect="Content" ObjectID="_1464119820" r:id="rId30"/>
        </w:object>
      </w:r>
      <w:r w:rsidR="002C1F11" w:rsidRPr="003A3A3C">
        <w:rPr>
          <w:rFonts w:ascii="Arial" w:hAnsi="Arial" w:cs="Arial"/>
          <w:sz w:val="20"/>
          <w:szCs w:val="20"/>
        </w:rPr>
        <w:t>= annual average compressor system efficiency</w:t>
      </w:r>
    </w:p>
    <w:p w:rsidR="002C1F11" w:rsidRPr="003A3A3C" w:rsidRDefault="002C1F11" w:rsidP="002C1F11">
      <w:pPr>
        <w:rPr>
          <w:rFonts w:ascii="Arial" w:hAnsi="Arial" w:cs="Arial"/>
          <w:sz w:val="20"/>
          <w:szCs w:val="20"/>
        </w:rPr>
      </w:pPr>
    </w:p>
    <w:p w:rsidR="002C1F11" w:rsidRPr="003A3A3C" w:rsidRDefault="002C1F11" w:rsidP="002C1F11">
      <w:pPr>
        <w:rPr>
          <w:rFonts w:ascii="Arial" w:hAnsi="Arial" w:cs="Arial"/>
          <w:sz w:val="20"/>
          <w:szCs w:val="20"/>
        </w:rPr>
      </w:pPr>
      <w:proofErr w:type="spellStart"/>
      <w:r w:rsidRPr="003A3A3C">
        <w:rPr>
          <w:rFonts w:ascii="Arial" w:hAnsi="Arial" w:cs="Arial"/>
          <w:sz w:val="20"/>
          <w:szCs w:val="20"/>
        </w:rPr>
        <w:t>W</w:t>
      </w:r>
      <w:r w:rsidRPr="003A3A3C">
        <w:rPr>
          <w:rFonts w:ascii="Arial" w:hAnsi="Arial" w:cs="Arial"/>
          <w:sz w:val="20"/>
          <w:szCs w:val="20"/>
          <w:vertAlign w:val="subscript"/>
        </w:rPr>
        <w:t>aux</w:t>
      </w:r>
      <w:proofErr w:type="spellEnd"/>
      <w:r w:rsidRPr="003A3A3C">
        <w:rPr>
          <w:rFonts w:ascii="Arial" w:hAnsi="Arial" w:cs="Arial"/>
          <w:sz w:val="20"/>
          <w:szCs w:val="20"/>
          <w:vertAlign w:val="subscript"/>
        </w:rPr>
        <w:t xml:space="preserve"> </w:t>
      </w:r>
      <w:r w:rsidRPr="003A3A3C">
        <w:rPr>
          <w:rFonts w:ascii="Arial" w:hAnsi="Arial" w:cs="Arial"/>
          <w:sz w:val="20"/>
          <w:szCs w:val="20"/>
        </w:rPr>
        <w:t>= case auxiliary loads (W/</w:t>
      </w:r>
      <w:proofErr w:type="spellStart"/>
      <w:r w:rsidRPr="003A3A3C">
        <w:rPr>
          <w:rFonts w:ascii="Arial" w:hAnsi="Arial" w:cs="Arial"/>
          <w:sz w:val="20"/>
          <w:szCs w:val="20"/>
        </w:rPr>
        <w:t>ft</w:t>
      </w:r>
      <w:proofErr w:type="spellEnd"/>
      <w:r w:rsidRPr="003A3A3C">
        <w:rPr>
          <w:rFonts w:ascii="Arial" w:hAnsi="Arial" w:cs="Arial"/>
          <w:sz w:val="20"/>
          <w:szCs w:val="20"/>
        </w:rPr>
        <w:t>)</w:t>
      </w:r>
    </w:p>
    <w:p w:rsidR="002C1F11" w:rsidRPr="003A3A3C" w:rsidRDefault="002C1F11" w:rsidP="002C1F11">
      <w:pPr>
        <w:rPr>
          <w:rFonts w:ascii="Arial" w:hAnsi="Arial" w:cs="Arial"/>
          <w:sz w:val="20"/>
          <w:szCs w:val="20"/>
        </w:rPr>
      </w:pPr>
    </w:p>
    <w:p w:rsidR="002C1F11" w:rsidRPr="003A3A3C" w:rsidRDefault="002C1F11" w:rsidP="002C1F11">
      <w:pPr>
        <w:rPr>
          <w:rFonts w:ascii="Arial" w:hAnsi="Arial" w:cs="Arial"/>
          <w:sz w:val="20"/>
          <w:szCs w:val="20"/>
        </w:rPr>
      </w:pPr>
      <w:proofErr w:type="spellStart"/>
      <w:r w:rsidRPr="003A3A3C">
        <w:rPr>
          <w:rFonts w:ascii="Arial" w:hAnsi="Arial" w:cs="Arial"/>
          <w:sz w:val="20"/>
          <w:szCs w:val="20"/>
        </w:rPr>
        <w:t>L</w:t>
      </w:r>
      <w:r w:rsidRPr="003A3A3C">
        <w:rPr>
          <w:rFonts w:ascii="Arial" w:hAnsi="Arial" w:cs="Arial"/>
          <w:sz w:val="20"/>
          <w:szCs w:val="20"/>
          <w:vertAlign w:val="subscript"/>
        </w:rPr>
        <w:t>case</w:t>
      </w:r>
      <w:proofErr w:type="spellEnd"/>
      <w:r w:rsidRPr="003A3A3C">
        <w:rPr>
          <w:rFonts w:ascii="Arial" w:hAnsi="Arial" w:cs="Arial"/>
          <w:sz w:val="20"/>
          <w:szCs w:val="20"/>
          <w:vertAlign w:val="subscript"/>
        </w:rPr>
        <w:t xml:space="preserve"> </w:t>
      </w:r>
      <w:r w:rsidRPr="003A3A3C">
        <w:rPr>
          <w:rFonts w:ascii="Arial" w:hAnsi="Arial" w:cs="Arial"/>
          <w:sz w:val="20"/>
          <w:szCs w:val="20"/>
        </w:rPr>
        <w:t>= case length (</w:t>
      </w:r>
      <w:proofErr w:type="spellStart"/>
      <w:r w:rsidRPr="003A3A3C">
        <w:rPr>
          <w:rFonts w:ascii="Arial" w:hAnsi="Arial" w:cs="Arial"/>
          <w:sz w:val="20"/>
          <w:szCs w:val="20"/>
        </w:rPr>
        <w:t>ft</w:t>
      </w:r>
      <w:proofErr w:type="spellEnd"/>
      <w:r w:rsidRPr="003A3A3C">
        <w:rPr>
          <w:rFonts w:ascii="Arial" w:hAnsi="Arial" w:cs="Arial"/>
          <w:sz w:val="20"/>
          <w:szCs w:val="20"/>
        </w:rPr>
        <w:t xml:space="preserve">), length of 12 </w:t>
      </w:r>
      <w:proofErr w:type="spellStart"/>
      <w:r w:rsidRPr="003A3A3C">
        <w:rPr>
          <w:rFonts w:ascii="Arial" w:hAnsi="Arial" w:cs="Arial"/>
          <w:sz w:val="20"/>
          <w:szCs w:val="20"/>
        </w:rPr>
        <w:t>ft</w:t>
      </w:r>
      <w:proofErr w:type="spellEnd"/>
      <w:r w:rsidRPr="003A3A3C">
        <w:rPr>
          <w:rFonts w:ascii="Arial" w:hAnsi="Arial" w:cs="Arial"/>
          <w:sz w:val="20"/>
          <w:szCs w:val="20"/>
        </w:rPr>
        <w:t xml:space="preserve"> was used in all calculations</w:t>
      </w:r>
    </w:p>
    <w:p w:rsidR="002C1F11" w:rsidRPr="003A3A3C" w:rsidRDefault="002C1F11" w:rsidP="002C1F11">
      <w:pPr>
        <w:rPr>
          <w:rFonts w:ascii="Arial" w:hAnsi="Arial" w:cs="Arial"/>
          <w:sz w:val="20"/>
          <w:szCs w:val="20"/>
        </w:rPr>
      </w:pPr>
    </w:p>
    <w:p w:rsidR="002C1F11" w:rsidRPr="003A3A3C" w:rsidRDefault="002C1F11" w:rsidP="002C1F11">
      <w:pPr>
        <w:rPr>
          <w:rFonts w:ascii="Arial" w:hAnsi="Arial" w:cs="Arial"/>
          <w:sz w:val="20"/>
          <w:szCs w:val="20"/>
        </w:rPr>
      </w:pPr>
      <w:r w:rsidRPr="003A3A3C">
        <w:rPr>
          <w:rFonts w:ascii="Arial" w:hAnsi="Arial" w:cs="Arial"/>
          <w:sz w:val="20"/>
          <w:szCs w:val="20"/>
        </w:rPr>
        <w:t>DF = age/condition degradation factor</w:t>
      </w:r>
      <w:r w:rsidRPr="003A3A3C">
        <w:rPr>
          <w:rFonts w:ascii="Arial" w:hAnsi="Arial" w:cs="Arial"/>
          <w:sz w:val="20"/>
          <w:szCs w:val="20"/>
          <w:vertAlign w:val="superscript"/>
        </w:rPr>
        <w:endnoteReference w:id="10"/>
      </w:r>
    </w:p>
    <w:p w:rsidR="002C1F11" w:rsidRPr="00405CE1" w:rsidRDefault="002C1F11" w:rsidP="002C1F11">
      <w:pPr>
        <w:pStyle w:val="EndnoteText"/>
        <w:rPr>
          <w:rFonts w:ascii="Arial" w:hAnsi="Arial" w:cs="Arial"/>
          <w:szCs w:val="24"/>
        </w:rPr>
      </w:pPr>
      <w:r w:rsidRPr="00405CE1">
        <w:rPr>
          <w:rFonts w:ascii="Arial" w:hAnsi="Arial" w:cs="Arial"/>
          <w:szCs w:val="24"/>
        </w:rPr>
        <w:lastRenderedPageBreak/>
        <w:t>In performing the above calculations, it was assumed the heat load absorbed by the case evaporator is transferred to the walk-in evaporator co</w:t>
      </w:r>
      <w:r w:rsidR="00C822A8" w:rsidRPr="00405CE1">
        <w:rPr>
          <w:rFonts w:ascii="Arial" w:hAnsi="Arial" w:cs="Arial"/>
          <w:szCs w:val="24"/>
        </w:rPr>
        <w:t>ils</w:t>
      </w:r>
      <w:r w:rsidRPr="00405CE1">
        <w:rPr>
          <w:rFonts w:ascii="Arial" w:hAnsi="Arial" w:cs="Arial"/>
          <w:szCs w:val="24"/>
        </w:rPr>
        <w:t xml:space="preserve"> and that the refrigeration system that served the cases is identical to the ref</w:t>
      </w:r>
      <w:r w:rsidRPr="005E02C0">
        <w:rPr>
          <w:rFonts w:ascii="Arial" w:hAnsi="Arial" w:cs="Arial"/>
          <w:szCs w:val="24"/>
        </w:rPr>
        <w:t>rigeration system that serves the walk-in. See note</w:t>
      </w:r>
      <w:r w:rsidR="00490CE8" w:rsidRPr="005E02C0">
        <w:rPr>
          <w:rFonts w:ascii="Arial" w:hAnsi="Arial" w:cs="Arial"/>
          <w:szCs w:val="24"/>
        </w:rPr>
        <w:t xml:space="preserve"> </w:t>
      </w:r>
      <w:r w:rsidR="005110C4">
        <w:rPr>
          <w:rFonts w:ascii="Arial" w:hAnsi="Arial" w:cs="Arial"/>
          <w:szCs w:val="24"/>
        </w:rPr>
        <w:fldChar w:fldCharType="begin"/>
      </w:r>
      <w:r w:rsidR="005110C4">
        <w:rPr>
          <w:rFonts w:ascii="Arial" w:hAnsi="Arial" w:cs="Arial"/>
          <w:szCs w:val="24"/>
        </w:rPr>
        <w:instrText xml:space="preserve"> NOTEREF _Ref390350852 \h </w:instrText>
      </w:r>
      <w:r w:rsidR="005110C4">
        <w:rPr>
          <w:rFonts w:ascii="Arial" w:hAnsi="Arial" w:cs="Arial"/>
          <w:szCs w:val="24"/>
        </w:rPr>
      </w:r>
      <w:r w:rsidR="005110C4">
        <w:rPr>
          <w:rFonts w:ascii="Arial" w:hAnsi="Arial" w:cs="Arial"/>
          <w:szCs w:val="24"/>
        </w:rPr>
        <w:fldChar w:fldCharType="separate"/>
      </w:r>
      <w:r w:rsidR="005110C4">
        <w:rPr>
          <w:rFonts w:ascii="Arial" w:hAnsi="Arial" w:cs="Arial"/>
          <w:szCs w:val="24"/>
        </w:rPr>
        <w:t>11</w:t>
      </w:r>
      <w:r w:rsidR="005110C4">
        <w:rPr>
          <w:rFonts w:ascii="Arial" w:hAnsi="Arial" w:cs="Arial"/>
          <w:szCs w:val="24"/>
        </w:rPr>
        <w:fldChar w:fldCharType="end"/>
      </w:r>
      <w:r w:rsidRPr="005E02C0">
        <w:rPr>
          <w:rFonts w:ascii="Arial" w:hAnsi="Arial" w:cs="Arial"/>
          <w:szCs w:val="24"/>
        </w:rPr>
        <w:t xml:space="preserve"> for basis of the calculations in </w:t>
      </w:r>
      <w:r w:rsidR="005E02C0" w:rsidRPr="005E02C0">
        <w:rPr>
          <w:rFonts w:ascii="Arial" w:hAnsi="Arial" w:cs="Arial"/>
          <w:b/>
          <w:szCs w:val="24"/>
        </w:rPr>
        <w:fldChar w:fldCharType="begin"/>
      </w:r>
      <w:r w:rsidR="005E02C0" w:rsidRPr="005E02C0">
        <w:rPr>
          <w:rFonts w:ascii="Arial" w:hAnsi="Arial" w:cs="Arial"/>
          <w:b/>
          <w:szCs w:val="24"/>
        </w:rPr>
        <w:instrText xml:space="preserve"> REF _Ref390350303 \h  \* MERGEFORMAT </w:instrText>
      </w:r>
      <w:r w:rsidR="005E02C0" w:rsidRPr="005E02C0">
        <w:rPr>
          <w:rFonts w:ascii="Arial" w:hAnsi="Arial" w:cs="Arial"/>
          <w:b/>
          <w:szCs w:val="24"/>
        </w:rPr>
      </w:r>
      <w:r w:rsidR="005E02C0" w:rsidRPr="005E02C0">
        <w:rPr>
          <w:rFonts w:ascii="Arial" w:hAnsi="Arial" w:cs="Arial"/>
          <w:b/>
          <w:szCs w:val="24"/>
        </w:rPr>
        <w:fldChar w:fldCharType="separate"/>
      </w:r>
      <w:r w:rsidR="005E02C0" w:rsidRPr="005E02C0">
        <w:rPr>
          <w:rFonts w:ascii="Arial" w:hAnsi="Arial" w:cs="Arial"/>
          <w:b/>
        </w:rPr>
        <w:t xml:space="preserve">Equation </w:t>
      </w:r>
      <w:r w:rsidR="005E02C0" w:rsidRPr="005E02C0">
        <w:rPr>
          <w:rFonts w:ascii="Arial" w:hAnsi="Arial" w:cs="Arial"/>
          <w:b/>
          <w:noProof/>
        </w:rPr>
        <w:t>1</w:t>
      </w:r>
      <w:r w:rsidR="005E02C0" w:rsidRPr="005E02C0">
        <w:rPr>
          <w:rFonts w:ascii="Arial" w:hAnsi="Arial" w:cs="Arial"/>
          <w:b/>
          <w:szCs w:val="24"/>
        </w:rPr>
        <w:fldChar w:fldCharType="end"/>
      </w:r>
      <w:r w:rsidR="005E02C0" w:rsidRPr="005E02C0">
        <w:rPr>
          <w:rFonts w:ascii="Arial" w:hAnsi="Arial" w:cs="Arial"/>
          <w:szCs w:val="24"/>
        </w:rPr>
        <w:t xml:space="preserve"> </w:t>
      </w:r>
      <w:r w:rsidRPr="005E02C0">
        <w:rPr>
          <w:rFonts w:ascii="Arial" w:hAnsi="Arial" w:cs="Arial"/>
          <w:szCs w:val="24"/>
        </w:rPr>
        <w:t xml:space="preserve">and </w:t>
      </w:r>
      <w:r w:rsidR="005E02C0" w:rsidRPr="005E02C0">
        <w:rPr>
          <w:rFonts w:ascii="Arial" w:hAnsi="Arial" w:cs="Arial"/>
          <w:b/>
          <w:szCs w:val="24"/>
        </w:rPr>
        <w:fldChar w:fldCharType="begin"/>
      </w:r>
      <w:r w:rsidR="005E02C0" w:rsidRPr="005E02C0">
        <w:rPr>
          <w:rFonts w:ascii="Arial" w:hAnsi="Arial" w:cs="Arial"/>
          <w:b/>
          <w:szCs w:val="24"/>
        </w:rPr>
        <w:instrText xml:space="preserve"> REF _Ref390350104 \h  \* MERGEFORMAT </w:instrText>
      </w:r>
      <w:r w:rsidR="005E02C0" w:rsidRPr="005E02C0">
        <w:rPr>
          <w:rFonts w:ascii="Arial" w:hAnsi="Arial" w:cs="Arial"/>
          <w:b/>
          <w:szCs w:val="24"/>
        </w:rPr>
      </w:r>
      <w:r w:rsidR="005E02C0" w:rsidRPr="005E02C0">
        <w:rPr>
          <w:rFonts w:ascii="Arial" w:hAnsi="Arial" w:cs="Arial"/>
          <w:b/>
          <w:szCs w:val="24"/>
        </w:rPr>
        <w:fldChar w:fldCharType="separate"/>
      </w:r>
      <w:r w:rsidR="005E02C0" w:rsidRPr="005E02C0">
        <w:rPr>
          <w:rFonts w:ascii="Arial" w:hAnsi="Arial" w:cs="Arial"/>
          <w:b/>
        </w:rPr>
        <w:t xml:space="preserve">Equation </w:t>
      </w:r>
      <w:r w:rsidR="005E02C0" w:rsidRPr="005E02C0">
        <w:rPr>
          <w:rFonts w:ascii="Arial" w:hAnsi="Arial" w:cs="Arial"/>
          <w:b/>
          <w:noProof/>
        </w:rPr>
        <w:t>2</w:t>
      </w:r>
      <w:r w:rsidR="005E02C0" w:rsidRPr="005E02C0">
        <w:rPr>
          <w:rFonts w:ascii="Arial" w:hAnsi="Arial" w:cs="Arial"/>
          <w:b/>
          <w:szCs w:val="24"/>
        </w:rPr>
        <w:fldChar w:fldCharType="end"/>
      </w:r>
      <w:r w:rsidRPr="005E02C0">
        <w:rPr>
          <w:rFonts w:ascii="Arial" w:hAnsi="Arial" w:cs="Arial"/>
          <w:szCs w:val="24"/>
        </w:rPr>
        <w:t>.</w:t>
      </w:r>
      <w:bookmarkStart w:id="74" w:name="_Ref390350852"/>
      <w:r w:rsidR="00490CE8" w:rsidRPr="00490CE8">
        <w:rPr>
          <w:rFonts w:ascii="Arial" w:hAnsi="Arial" w:cs="Arial"/>
          <w:vertAlign w:val="superscript"/>
        </w:rPr>
        <w:endnoteReference w:id="11"/>
      </w:r>
      <w:bookmarkEnd w:id="74"/>
    </w:p>
    <w:p w:rsidR="002C1F11" w:rsidRDefault="002C1F11" w:rsidP="002C1F11"/>
    <w:p w:rsidR="002C1F11" w:rsidRPr="00405CE1" w:rsidRDefault="002C1F11" w:rsidP="002C1F11">
      <w:pPr>
        <w:rPr>
          <w:rFonts w:ascii="Arial" w:hAnsi="Arial" w:cs="Arial"/>
          <w:sz w:val="20"/>
        </w:rPr>
      </w:pPr>
      <w:r w:rsidRPr="00405CE1">
        <w:rPr>
          <w:rFonts w:ascii="Arial" w:hAnsi="Arial" w:cs="Arial"/>
          <w:sz w:val="20"/>
        </w:rPr>
        <w:t>The additional HVAC cooling required is because of the inadvertent convective and radiant cooling effect the open case’s evaporators provided to the store’s sales floor (during the warmer months) from not having doors installed on the walk-in reach-in case. As the store’s HVAC system was aided by this inadvertent cooling, after implementation of this measure the HVAC system will</w:t>
      </w:r>
      <w:r w:rsidR="00405CE1">
        <w:rPr>
          <w:rFonts w:ascii="Arial" w:hAnsi="Arial" w:cs="Arial"/>
          <w:sz w:val="20"/>
        </w:rPr>
        <w:t xml:space="preserve"> have to provide this cooling.</w:t>
      </w:r>
      <w:r w:rsidRPr="00405CE1">
        <w:rPr>
          <w:rFonts w:ascii="Arial" w:hAnsi="Arial" w:cs="Arial"/>
          <w:sz w:val="20"/>
        </w:rPr>
        <w:t xml:space="preserve"> </w:t>
      </w:r>
    </w:p>
    <w:p w:rsidR="002C1F11" w:rsidRDefault="002C1F11" w:rsidP="002C1F11"/>
    <w:p w:rsidR="000D1686" w:rsidRDefault="00161663" w:rsidP="002655EC">
      <w:pPr>
        <w:jc w:val="center"/>
      </w:pPr>
      <w:r w:rsidRPr="00D02663">
        <w:rPr>
          <w:position w:val="-32"/>
        </w:rPr>
        <w:object w:dxaOrig="4660" w:dyaOrig="700">
          <v:shape id="_x0000_i1029" type="#_x0000_t75" style="width:233pt;height:35.3pt" o:ole="" filled="t">
            <v:imagedata r:id="rId31" o:title=""/>
          </v:shape>
          <o:OLEObject Type="Embed" ProgID="Equation.3" ShapeID="_x0000_i1029" DrawAspect="Content" ObjectID="_1464119821" r:id="rId32"/>
        </w:object>
      </w:r>
    </w:p>
    <w:p w:rsidR="00CE493E" w:rsidRDefault="00CE493E" w:rsidP="002C1F11"/>
    <w:p w:rsidR="00CE493E" w:rsidRDefault="00CE493E" w:rsidP="002655EC">
      <w:pPr>
        <w:jc w:val="center"/>
      </w:pPr>
      <w:r w:rsidRPr="00CE493E">
        <w:rPr>
          <w:noProof/>
        </w:rPr>
        <w:drawing>
          <wp:inline distT="0" distB="0" distL="0" distR="0" wp14:anchorId="73516B03" wp14:editId="15833EE3">
            <wp:extent cx="5067300" cy="4000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55" name="Picture 80"/>
                    <pic:cNvPicPr>
                      <a:picLocks noChangeAspect="1" noChangeArrowheads="1"/>
                    </pic:cNvPicPr>
                  </pic:nvPicPr>
                  <pic:blipFill>
                    <a:blip r:embed="rId33" cstate="print"/>
                    <a:srcRect/>
                    <a:stretch>
                      <a:fillRect/>
                    </a:stretch>
                  </pic:blipFill>
                  <pic:spPr bwMode="auto">
                    <a:xfrm>
                      <a:off x="0" y="0"/>
                      <a:ext cx="5067300" cy="400050"/>
                    </a:xfrm>
                    <a:prstGeom prst="rect">
                      <a:avLst/>
                    </a:prstGeom>
                    <a:noFill/>
                  </pic:spPr>
                </pic:pic>
              </a:graphicData>
            </a:graphic>
          </wp:inline>
        </w:drawing>
      </w:r>
    </w:p>
    <w:p w:rsidR="00405CE1" w:rsidRDefault="00405CE1" w:rsidP="002C1F11"/>
    <w:tbl>
      <w:tblPr>
        <w:tblW w:w="9884" w:type="dxa"/>
        <w:tblInd w:w="108" w:type="dxa"/>
        <w:tblLayout w:type="fixed"/>
        <w:tblLook w:val="04A0" w:firstRow="1" w:lastRow="0" w:firstColumn="1" w:lastColumn="0" w:noHBand="0" w:noVBand="1"/>
      </w:tblPr>
      <w:tblGrid>
        <w:gridCol w:w="2160"/>
        <w:gridCol w:w="1133"/>
        <w:gridCol w:w="3294"/>
        <w:gridCol w:w="2575"/>
        <w:gridCol w:w="722"/>
      </w:tblGrid>
      <w:tr w:rsidR="00FA1377" w:rsidTr="00985722">
        <w:trPr>
          <w:trHeight w:val="279"/>
        </w:trPr>
        <w:tc>
          <w:tcPr>
            <w:tcW w:w="3293" w:type="dxa"/>
            <w:gridSpan w:val="2"/>
            <w:tcBorders>
              <w:top w:val="nil"/>
              <w:left w:val="nil"/>
              <w:bottom w:val="nil"/>
              <w:right w:val="nil"/>
            </w:tcBorders>
            <w:shd w:val="clear" w:color="auto" w:fill="auto"/>
            <w:noWrap/>
            <w:vAlign w:val="bottom"/>
            <w:hideMark/>
          </w:tcPr>
          <w:p w:rsidR="00FA1377" w:rsidRDefault="00FA1377">
            <w:pPr>
              <w:rPr>
                <w:rFonts w:ascii="Arial" w:hAnsi="Arial" w:cs="Arial"/>
                <w:sz w:val="20"/>
                <w:szCs w:val="20"/>
              </w:rPr>
            </w:pPr>
            <w:r>
              <w:rPr>
                <w:rFonts w:ascii="Arial" w:hAnsi="Arial" w:cs="Arial"/>
                <w:sz w:val="20"/>
                <w:szCs w:val="20"/>
              </w:rPr>
              <w:t>Where</w:t>
            </w:r>
          </w:p>
        </w:tc>
        <w:tc>
          <w:tcPr>
            <w:tcW w:w="3294" w:type="dxa"/>
            <w:tcBorders>
              <w:top w:val="nil"/>
              <w:left w:val="nil"/>
              <w:bottom w:val="nil"/>
              <w:right w:val="nil"/>
            </w:tcBorders>
            <w:shd w:val="clear" w:color="auto" w:fill="auto"/>
            <w:noWrap/>
            <w:vAlign w:val="bottom"/>
            <w:hideMark/>
          </w:tcPr>
          <w:p w:rsidR="00FA1377" w:rsidRDefault="00FA1377">
            <w:pPr>
              <w:rPr>
                <w:rFonts w:ascii="Arial" w:hAnsi="Arial" w:cs="Arial"/>
                <w:sz w:val="20"/>
                <w:szCs w:val="20"/>
              </w:rPr>
            </w:pPr>
          </w:p>
        </w:tc>
        <w:tc>
          <w:tcPr>
            <w:tcW w:w="3297" w:type="dxa"/>
            <w:gridSpan w:val="2"/>
            <w:tcBorders>
              <w:top w:val="nil"/>
              <w:left w:val="nil"/>
              <w:bottom w:val="nil"/>
              <w:right w:val="nil"/>
            </w:tcBorders>
            <w:shd w:val="clear" w:color="auto" w:fill="auto"/>
            <w:noWrap/>
            <w:vAlign w:val="bottom"/>
            <w:hideMark/>
          </w:tcPr>
          <w:p w:rsidR="00FA1377" w:rsidRDefault="00FA1377">
            <w:pPr>
              <w:rPr>
                <w:rFonts w:ascii="Arial" w:hAnsi="Arial" w:cs="Arial"/>
                <w:sz w:val="20"/>
                <w:szCs w:val="20"/>
              </w:rPr>
            </w:pPr>
          </w:p>
        </w:tc>
      </w:tr>
      <w:tr w:rsidR="00FA1377" w:rsidTr="00985722">
        <w:trPr>
          <w:trHeight w:val="279"/>
        </w:trPr>
        <w:tc>
          <w:tcPr>
            <w:tcW w:w="2160" w:type="dxa"/>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HVAC cooling</w:t>
            </w:r>
          </w:p>
        </w:tc>
        <w:tc>
          <w:tcPr>
            <w:tcW w:w="7724" w:type="dxa"/>
            <w:gridSpan w:val="4"/>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 Annual energy needed for HVAC cooling (kWh)</w:t>
            </w:r>
          </w:p>
        </w:tc>
      </w:tr>
      <w:tr w:rsidR="00FA1377" w:rsidTr="00985722">
        <w:trPr>
          <w:trHeight w:val="279"/>
        </w:trPr>
        <w:tc>
          <w:tcPr>
            <w:tcW w:w="2160" w:type="dxa"/>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Annual Load cooling</w:t>
            </w:r>
          </w:p>
        </w:tc>
        <w:tc>
          <w:tcPr>
            <w:tcW w:w="7724" w:type="dxa"/>
            <w:gridSpan w:val="4"/>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 Annual heat rejected by HVAC for cooling (Btu)</w:t>
            </w:r>
          </w:p>
        </w:tc>
      </w:tr>
      <w:tr w:rsidR="00FA1377" w:rsidTr="00985722">
        <w:trPr>
          <w:trHeight w:val="279"/>
        </w:trPr>
        <w:tc>
          <w:tcPr>
            <w:tcW w:w="2160" w:type="dxa"/>
            <w:tcBorders>
              <w:top w:val="nil"/>
              <w:left w:val="nil"/>
              <w:bottom w:val="nil"/>
              <w:right w:val="nil"/>
            </w:tcBorders>
            <w:shd w:val="clear" w:color="auto" w:fill="auto"/>
            <w:noWrap/>
            <w:hideMark/>
          </w:tcPr>
          <w:p w:rsidR="00FA1377" w:rsidRDefault="00E6019A" w:rsidP="00161663">
            <w:pPr>
              <w:ind w:right="-113"/>
              <w:rPr>
                <w:rFonts w:ascii="Arial" w:hAnsi="Arial" w:cs="Arial"/>
                <w:sz w:val="20"/>
                <w:szCs w:val="20"/>
              </w:rPr>
            </w:pPr>
            <w:r>
              <w:rPr>
                <w:rFonts w:ascii="Arial" w:hAnsi="Arial" w:cs="Arial"/>
                <w:sz w:val="20"/>
                <w:szCs w:val="20"/>
              </w:rPr>
              <w:t>EER HVAC</w:t>
            </w:r>
            <w:r w:rsidR="00FA1377">
              <w:rPr>
                <w:rFonts w:ascii="Arial" w:hAnsi="Arial" w:cs="Arial"/>
                <w:sz w:val="20"/>
                <w:szCs w:val="20"/>
              </w:rPr>
              <w:t xml:space="preserve"> cooling</w:t>
            </w:r>
          </w:p>
        </w:tc>
        <w:tc>
          <w:tcPr>
            <w:tcW w:w="7724" w:type="dxa"/>
            <w:gridSpan w:val="4"/>
            <w:tcBorders>
              <w:top w:val="nil"/>
              <w:left w:val="nil"/>
              <w:bottom w:val="nil"/>
              <w:right w:val="nil"/>
            </w:tcBorders>
            <w:shd w:val="clear" w:color="auto" w:fill="auto"/>
            <w:noWrap/>
            <w:hideMark/>
          </w:tcPr>
          <w:p w:rsidR="00C171CB" w:rsidRDefault="00FA1377" w:rsidP="00161663">
            <w:pPr>
              <w:ind w:right="-113"/>
              <w:rPr>
                <w:rFonts w:ascii="Arial" w:hAnsi="Arial" w:cs="Arial"/>
                <w:sz w:val="20"/>
                <w:szCs w:val="20"/>
              </w:rPr>
            </w:pPr>
            <w:r>
              <w:rPr>
                <w:rFonts w:ascii="Arial" w:hAnsi="Arial" w:cs="Arial"/>
                <w:sz w:val="20"/>
                <w:szCs w:val="20"/>
              </w:rPr>
              <w:t>=Energy Efficiency Ratio for the HVAC cooling system (Btu/h / W )</w:t>
            </w:r>
            <w:r w:rsidR="00B654F0">
              <w:rPr>
                <w:rFonts w:ascii="Arial" w:hAnsi="Arial" w:cs="Arial"/>
                <w:sz w:val="20"/>
                <w:szCs w:val="20"/>
              </w:rPr>
              <w:t>Citation 14</w:t>
            </w:r>
          </w:p>
        </w:tc>
      </w:tr>
      <w:tr w:rsidR="00FA1377" w:rsidTr="00985722">
        <w:trPr>
          <w:trHeight w:val="303"/>
        </w:trPr>
        <w:tc>
          <w:tcPr>
            <w:tcW w:w="2160" w:type="dxa"/>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1000</w:t>
            </w:r>
          </w:p>
        </w:tc>
        <w:tc>
          <w:tcPr>
            <w:tcW w:w="7724" w:type="dxa"/>
            <w:gridSpan w:val="4"/>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=conversion from W</w:t>
            </w:r>
            <w:r w:rsidR="00161663">
              <w:rPr>
                <w:rFonts w:ascii="Arial" w:hAnsi="Arial" w:cs="Arial"/>
                <w:sz w:val="20"/>
                <w:szCs w:val="20"/>
              </w:rPr>
              <w:t>atts</w:t>
            </w:r>
            <w:r>
              <w:rPr>
                <w:rFonts w:ascii="Arial" w:hAnsi="Arial" w:cs="Arial"/>
                <w:sz w:val="20"/>
                <w:szCs w:val="20"/>
              </w:rPr>
              <w:t xml:space="preserve"> to kW</w:t>
            </w:r>
          </w:p>
        </w:tc>
      </w:tr>
      <w:tr w:rsidR="00FA1377" w:rsidTr="00985722">
        <w:trPr>
          <w:gridAfter w:val="1"/>
          <w:wAfter w:w="722" w:type="dxa"/>
          <w:trHeight w:val="387"/>
        </w:trPr>
        <w:tc>
          <w:tcPr>
            <w:tcW w:w="2160" w:type="dxa"/>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Delta Zone Load</w:t>
            </w:r>
          </w:p>
        </w:tc>
        <w:tc>
          <w:tcPr>
            <w:tcW w:w="7002" w:type="dxa"/>
            <w:gridSpan w:val="3"/>
            <w:tcBorders>
              <w:top w:val="nil"/>
              <w:left w:val="nil"/>
              <w:bottom w:val="nil"/>
              <w:right w:val="nil"/>
            </w:tcBorders>
            <w:shd w:val="clear" w:color="auto" w:fill="auto"/>
            <w:noWrap/>
            <w:hideMark/>
          </w:tcPr>
          <w:p w:rsidR="00FA1377" w:rsidRDefault="00FA1377" w:rsidP="00161663">
            <w:pPr>
              <w:ind w:right="-113"/>
              <w:rPr>
                <w:rFonts w:ascii="Arial" w:hAnsi="Arial" w:cs="Arial"/>
                <w:sz w:val="20"/>
                <w:szCs w:val="20"/>
              </w:rPr>
            </w:pPr>
            <w:r>
              <w:rPr>
                <w:rFonts w:ascii="Arial" w:hAnsi="Arial" w:cs="Arial"/>
                <w:sz w:val="20"/>
                <w:szCs w:val="20"/>
              </w:rPr>
              <w:t>=Difference in Base Case Zone Load and Energy Efficient Case Zone Load (Btu/h)</w:t>
            </w:r>
          </w:p>
        </w:tc>
      </w:tr>
    </w:tbl>
    <w:p w:rsidR="00126A4E" w:rsidRDefault="00126A4E" w:rsidP="00CF3FF0">
      <w:pPr>
        <w:rPr>
          <w:rFonts w:ascii="Arial" w:hAnsi="Arial" w:cs="Arial"/>
          <w:b/>
          <w:color w:val="FF0000"/>
          <w:sz w:val="20"/>
          <w:szCs w:val="20"/>
        </w:rPr>
      </w:pPr>
    </w:p>
    <w:p w:rsidR="00C069A2" w:rsidRDefault="0030550A" w:rsidP="002E0043">
      <w:pPr>
        <w:pStyle w:val="Heading2"/>
        <w:keepNext w:val="0"/>
      </w:pPr>
      <w:bookmarkStart w:id="75" w:name="_Toc387914058"/>
      <w:bookmarkStart w:id="76" w:name="_Toc390349996"/>
      <w:r>
        <w:t>2.2. Demand R</w:t>
      </w:r>
      <w:r w:rsidR="00C069A2">
        <w:t>eduction Estimation Methodologies</w:t>
      </w:r>
      <w:bookmarkEnd w:id="75"/>
      <w:bookmarkEnd w:id="76"/>
    </w:p>
    <w:p w:rsidR="002C1F11" w:rsidRPr="00405CE1" w:rsidRDefault="00A95746" w:rsidP="002C1F11">
      <w:pPr>
        <w:rPr>
          <w:rFonts w:ascii="Arial" w:hAnsi="Arial" w:cs="Arial"/>
          <w:sz w:val="20"/>
        </w:rPr>
      </w:pPr>
      <w:r w:rsidRPr="00F740A9">
        <w:rPr>
          <w:rFonts w:ascii="Arial" w:hAnsi="Arial" w:cs="Arial"/>
          <w:sz w:val="20"/>
          <w:szCs w:val="20"/>
        </w:rPr>
        <w:t xml:space="preserve"> </w:t>
      </w:r>
      <w:r w:rsidR="002C1F11" w:rsidRPr="00405CE1">
        <w:rPr>
          <w:rFonts w:ascii="Arial" w:hAnsi="Arial" w:cs="Arial"/>
          <w:sz w:val="20"/>
        </w:rPr>
        <w:t>Peak demand electric energy reduction was found using the equation:</w:t>
      </w:r>
    </w:p>
    <w:p w:rsidR="002C1F11" w:rsidRDefault="002C1F11" w:rsidP="002C1F11">
      <w:pPr>
        <w:pStyle w:val="Caption"/>
        <w:jc w:val="center"/>
      </w:pPr>
      <w:r>
        <w:t xml:space="preserve">Equation </w:t>
      </w:r>
      <w:fldSimple w:instr=" SEQ Equation \* ARABIC ">
        <w:r w:rsidR="007F512F">
          <w:rPr>
            <w:noProof/>
          </w:rPr>
          <w:t>3</w:t>
        </w:r>
      </w:fldSimple>
      <w:r>
        <w:t>- Annual Peak Demand Energy Savings</w:t>
      </w:r>
    </w:p>
    <w:p w:rsidR="002C1F11" w:rsidRDefault="002C1F11" w:rsidP="002C1F11"/>
    <w:p w:rsidR="002C1F11" w:rsidRDefault="002655EC" w:rsidP="002655EC">
      <w:pPr>
        <w:jc w:val="center"/>
      </w:pPr>
      <w:r w:rsidRPr="00D02663">
        <w:rPr>
          <w:position w:val="-60"/>
        </w:rPr>
        <w:object w:dxaOrig="7580" w:dyaOrig="1359">
          <v:shape id="_x0000_i1030" type="#_x0000_t75" style="width:378.35pt;height:67.9pt" o:ole="" o:allowoverlap="f" filled="t">
            <v:imagedata r:id="rId34" o:title=""/>
          </v:shape>
          <o:OLEObject Type="Embed" ProgID="Equation.3" ShapeID="_x0000_i1030" DrawAspect="Content" ObjectID="_1464119822" r:id="rId35"/>
        </w:object>
      </w:r>
    </w:p>
    <w:p w:rsidR="002655EC" w:rsidRDefault="002655EC" w:rsidP="002C1F11">
      <w:pPr>
        <w:rPr>
          <w:rFonts w:ascii="Arial" w:hAnsi="Arial" w:cs="Arial"/>
          <w:sz w:val="20"/>
        </w:rPr>
      </w:pPr>
    </w:p>
    <w:p w:rsidR="002C1F11" w:rsidRDefault="002C1F11" w:rsidP="002C1F11">
      <w:proofErr w:type="gramStart"/>
      <w:r w:rsidRPr="00405CE1">
        <w:rPr>
          <w:rFonts w:ascii="Arial" w:hAnsi="Arial" w:cs="Arial"/>
          <w:sz w:val="20"/>
        </w:rPr>
        <w:t>where</w:t>
      </w:r>
      <w:proofErr w:type="gramEnd"/>
      <w:r w:rsidRPr="00405CE1">
        <w:rPr>
          <w:rFonts w:ascii="Arial" w:hAnsi="Arial" w:cs="Arial"/>
          <w:sz w:val="20"/>
        </w:rPr>
        <w:t xml:space="preserve"> </w:t>
      </w:r>
      <w:r>
        <w:t xml:space="preserve">HVAC </w:t>
      </w:r>
      <w:proofErr w:type="spellStart"/>
      <w:r>
        <w:t>Power</w:t>
      </w:r>
      <w:r>
        <w:rPr>
          <w:vertAlign w:val="subscript"/>
        </w:rPr>
        <w:t>cooling</w:t>
      </w:r>
      <w:proofErr w:type="spellEnd"/>
      <w:r>
        <w:t xml:space="preserve"> </w:t>
      </w:r>
      <w:r w:rsidRPr="00405CE1">
        <w:rPr>
          <w:rFonts w:ascii="Arial" w:hAnsi="Arial" w:cs="Arial"/>
          <w:sz w:val="20"/>
        </w:rPr>
        <w:t>found using the equation:</w:t>
      </w:r>
    </w:p>
    <w:p w:rsidR="002C1F11" w:rsidRDefault="002C1F11" w:rsidP="002C1F11"/>
    <w:p w:rsidR="002C1F11" w:rsidRDefault="002C1F11" w:rsidP="002C1F11">
      <w:pPr>
        <w:pStyle w:val="Caption"/>
        <w:jc w:val="center"/>
      </w:pPr>
      <w:r>
        <w:t xml:space="preserve">Equation </w:t>
      </w:r>
      <w:fldSimple w:instr=" SEQ Equation \* ARABIC ">
        <w:r w:rsidR="007F512F">
          <w:rPr>
            <w:noProof/>
          </w:rPr>
          <w:t>4</w:t>
        </w:r>
      </w:fldSimple>
      <w:r>
        <w:t xml:space="preserve">-Additional Power Consumed by Air Conditioning </w:t>
      </w:r>
    </w:p>
    <w:p w:rsidR="002C1F11" w:rsidRDefault="002655EC" w:rsidP="002655EC">
      <w:pPr>
        <w:jc w:val="center"/>
      </w:pPr>
      <w:r w:rsidRPr="00D02663">
        <w:rPr>
          <w:position w:val="-60"/>
        </w:rPr>
        <w:object w:dxaOrig="4660" w:dyaOrig="980">
          <v:shape id="_x0000_i1031" type="#_x0000_t75" style="width:233pt;height:48.9pt" o:ole="" o:allowoverlap="f" filled="t">
            <v:imagedata r:id="rId36" o:title=""/>
          </v:shape>
          <o:OLEObject Type="Embed" ProgID="Equation.3" ShapeID="_x0000_i1031" DrawAspect="Content" ObjectID="_1464119823" r:id="rId37"/>
        </w:object>
      </w:r>
    </w:p>
    <w:p w:rsidR="002C1F11" w:rsidRDefault="002C1F11" w:rsidP="002C1F11"/>
    <w:p w:rsidR="002655EC" w:rsidRDefault="002C1F11" w:rsidP="002C1F11">
      <w:pPr>
        <w:rPr>
          <w:rFonts w:ascii="Arial" w:hAnsi="Arial" w:cs="Arial"/>
          <w:sz w:val="20"/>
        </w:rPr>
      </w:pPr>
      <w:proofErr w:type="gramStart"/>
      <w:r w:rsidRPr="00405CE1">
        <w:rPr>
          <w:rFonts w:ascii="Arial" w:hAnsi="Arial" w:cs="Arial"/>
          <w:sz w:val="20"/>
        </w:rPr>
        <w:t>where</w:t>
      </w:r>
      <w:proofErr w:type="gramEnd"/>
      <w:r w:rsidRPr="00405CE1">
        <w:rPr>
          <w:rFonts w:ascii="Arial" w:hAnsi="Arial" w:cs="Arial"/>
          <w:sz w:val="20"/>
        </w:rPr>
        <w:t xml:space="preserve"> </w:t>
      </w:r>
      <w:proofErr w:type="spellStart"/>
      <w:r>
        <w:t>EER</w:t>
      </w:r>
      <w:r>
        <w:rPr>
          <w:vertAlign w:val="subscript"/>
        </w:rPr>
        <w:t>HVACcooling</w:t>
      </w:r>
      <w:proofErr w:type="spellEnd"/>
      <w:r>
        <w:rPr>
          <w:vertAlign w:val="subscript"/>
        </w:rPr>
        <w:t xml:space="preserve"> </w:t>
      </w:r>
      <w:r>
        <w:t xml:space="preserve">= </w:t>
      </w:r>
      <w:r w:rsidRPr="00405CE1">
        <w:rPr>
          <w:rFonts w:ascii="Arial" w:hAnsi="Arial" w:cs="Arial"/>
          <w:sz w:val="20"/>
        </w:rPr>
        <w:t>energy efficiency ratio for the HVAC cooling system (Btu/h / W)</w:t>
      </w:r>
      <w:r w:rsidRPr="006B65CC">
        <w:rPr>
          <w:rFonts w:ascii="Arial" w:hAnsi="Arial" w:cs="Arial"/>
          <w:sz w:val="20"/>
          <w:vertAlign w:val="superscript"/>
        </w:rPr>
        <w:endnoteReference w:id="12"/>
      </w:r>
    </w:p>
    <w:p w:rsidR="007878B9" w:rsidRPr="00BF0332" w:rsidRDefault="002655EC" w:rsidP="002655EC">
      <w:pPr>
        <w:pStyle w:val="Heading2"/>
      </w:pPr>
      <w:r>
        <w:rPr>
          <w:sz w:val="20"/>
        </w:rPr>
        <w:br w:type="page"/>
      </w:r>
      <w:bookmarkStart w:id="77" w:name="_Toc387914059"/>
      <w:bookmarkStart w:id="78" w:name="_Toc390349997"/>
      <w:r w:rsidR="00276ED1" w:rsidRPr="00BF0332">
        <w:lastRenderedPageBreak/>
        <w:t xml:space="preserve">2.3. </w:t>
      </w:r>
      <w:r w:rsidR="007878B9" w:rsidRPr="00BF0332">
        <w:t>Gas Energy Savings Estimation Methodologies</w:t>
      </w:r>
      <w:bookmarkEnd w:id="77"/>
      <w:bookmarkEnd w:id="78"/>
    </w:p>
    <w:p w:rsidR="00CF3FF0" w:rsidRPr="00405CE1" w:rsidRDefault="00CF3FF0" w:rsidP="00C822A8">
      <w:pPr>
        <w:rPr>
          <w:rFonts w:ascii="Arial" w:hAnsi="Arial" w:cs="Arial"/>
          <w:sz w:val="20"/>
        </w:rPr>
      </w:pPr>
      <w:r w:rsidRPr="00405CE1">
        <w:rPr>
          <w:rFonts w:ascii="Arial" w:hAnsi="Arial" w:cs="Arial"/>
          <w:sz w:val="20"/>
        </w:rPr>
        <w:t>This measure includes HVAC interactive effects savings.</w:t>
      </w:r>
    </w:p>
    <w:p w:rsidR="00A95746" w:rsidRPr="00405CE1" w:rsidRDefault="00A95746" w:rsidP="00A95746">
      <w:pPr>
        <w:rPr>
          <w:rFonts w:ascii="Arial" w:hAnsi="Arial" w:cs="Arial"/>
          <w:sz w:val="20"/>
        </w:rPr>
      </w:pPr>
    </w:p>
    <w:p w:rsidR="00746058" w:rsidRPr="00405CE1" w:rsidRDefault="00746058" w:rsidP="00746058">
      <w:pPr>
        <w:rPr>
          <w:rFonts w:ascii="Arial" w:hAnsi="Arial" w:cs="Arial"/>
          <w:sz w:val="20"/>
        </w:rPr>
      </w:pPr>
      <w:r w:rsidRPr="00405CE1">
        <w:rPr>
          <w:rFonts w:ascii="Arial" w:hAnsi="Arial" w:cs="Arial"/>
          <w:sz w:val="20"/>
        </w:rPr>
        <w:t xml:space="preserve">In addition to electric energy savings, there </w:t>
      </w:r>
      <w:r w:rsidR="00C822A8" w:rsidRPr="00405CE1">
        <w:rPr>
          <w:rFonts w:ascii="Arial" w:hAnsi="Arial" w:cs="Arial"/>
          <w:sz w:val="20"/>
        </w:rPr>
        <w:t>is also an annual gas savings (</w:t>
      </w:r>
      <w:proofErr w:type="spellStart"/>
      <w:r w:rsidR="00C822A8" w:rsidRPr="00405CE1">
        <w:rPr>
          <w:rFonts w:ascii="Arial" w:hAnsi="Arial" w:cs="Arial"/>
          <w:sz w:val="20"/>
        </w:rPr>
        <w:t>t</w:t>
      </w:r>
      <w:r w:rsidRPr="00405CE1">
        <w:rPr>
          <w:rFonts w:ascii="Arial" w:hAnsi="Arial" w:cs="Arial"/>
          <w:sz w:val="20"/>
        </w:rPr>
        <w:t>herms</w:t>
      </w:r>
      <w:proofErr w:type="spellEnd"/>
      <w:r w:rsidRPr="00405CE1">
        <w:rPr>
          <w:rFonts w:ascii="Arial" w:hAnsi="Arial" w:cs="Arial"/>
          <w:sz w:val="20"/>
        </w:rPr>
        <w:t>) benefit to this measure. This is from the heating requirement the HVAC system had (during the cooler months) when the case’s evaporators were providing cold air to the sales floor from not having doors installed. These savings were found during th</w:t>
      </w:r>
      <w:r w:rsidR="00982B9A">
        <w:rPr>
          <w:rFonts w:ascii="Arial" w:hAnsi="Arial" w:cs="Arial"/>
          <w:sz w:val="20"/>
        </w:rPr>
        <w:t>e same modeling as noted above.</w:t>
      </w:r>
    </w:p>
    <w:p w:rsidR="00A95746" w:rsidRDefault="00A95746" w:rsidP="00A95746">
      <w:pPr>
        <w:rPr>
          <w:rFonts w:ascii="Arial" w:hAnsi="Arial" w:cs="Arial"/>
          <w:sz w:val="20"/>
        </w:rPr>
      </w:pPr>
    </w:p>
    <w:p w:rsidR="002655EC" w:rsidRPr="00405CE1" w:rsidRDefault="002655EC" w:rsidP="00A95746">
      <w:pPr>
        <w:rPr>
          <w:rFonts w:ascii="Arial" w:hAnsi="Arial" w:cs="Arial"/>
          <w:sz w:val="20"/>
        </w:rPr>
      </w:pPr>
    </w:p>
    <w:p w:rsidR="00B42822" w:rsidRPr="00405CE1" w:rsidRDefault="00B42822" w:rsidP="00AD4B84">
      <w:pPr>
        <w:rPr>
          <w:rFonts w:ascii="Arial" w:hAnsi="Arial" w:cs="Arial"/>
          <w:sz w:val="20"/>
        </w:rPr>
      </w:pPr>
      <w:r w:rsidRPr="00405CE1">
        <w:rPr>
          <w:rFonts w:ascii="Arial" w:hAnsi="Arial" w:cs="Arial"/>
          <w:sz w:val="20"/>
        </w:rPr>
        <w:t>Annual Gas Savings:</w:t>
      </w:r>
    </w:p>
    <w:p w:rsidR="00B42822" w:rsidRDefault="005E02C0" w:rsidP="002655EC">
      <w:pPr>
        <w:jc w:val="center"/>
      </w:pPr>
      <w:r w:rsidRPr="00D02663">
        <w:rPr>
          <w:position w:val="-30"/>
        </w:rPr>
        <w:object w:dxaOrig="4580" w:dyaOrig="680">
          <v:shape id="_x0000_i1032" type="#_x0000_t75" style="width:247.9pt;height:33.95pt" o:ole="" filled="t">
            <v:imagedata r:id="rId38" o:title=""/>
          </v:shape>
          <o:OLEObject Type="Embed" ProgID="Equation.3" ShapeID="_x0000_i1032" DrawAspect="Content" ObjectID="_1464119824" r:id="rId39"/>
        </w:object>
      </w:r>
    </w:p>
    <w:p w:rsidR="00FA1377" w:rsidRDefault="000E1EB4" w:rsidP="00AD4B84">
      <w:r>
        <w:t>Where:</w:t>
      </w:r>
    </w:p>
    <w:tbl>
      <w:tblPr>
        <w:tblW w:w="7971" w:type="dxa"/>
        <w:tblInd w:w="108" w:type="dxa"/>
        <w:tblLook w:val="04A0" w:firstRow="1" w:lastRow="0" w:firstColumn="1" w:lastColumn="0" w:noHBand="0" w:noVBand="1"/>
      </w:tblPr>
      <w:tblGrid>
        <w:gridCol w:w="2256"/>
        <w:gridCol w:w="5715"/>
      </w:tblGrid>
      <w:tr w:rsidR="000E1EB4" w:rsidTr="000E1EB4">
        <w:trPr>
          <w:trHeight w:val="255"/>
        </w:trPr>
        <w:tc>
          <w:tcPr>
            <w:tcW w:w="2256" w:type="dxa"/>
            <w:tcBorders>
              <w:top w:val="nil"/>
              <w:left w:val="nil"/>
              <w:bottom w:val="nil"/>
              <w:right w:val="nil"/>
            </w:tcBorders>
            <w:shd w:val="clear" w:color="auto" w:fill="auto"/>
            <w:noWrap/>
            <w:vAlign w:val="bottom"/>
            <w:hideMark/>
          </w:tcPr>
          <w:p w:rsidR="000E1EB4" w:rsidRPr="00405CE1" w:rsidRDefault="000E1EB4">
            <w:pPr>
              <w:rPr>
                <w:rFonts w:ascii="Arial" w:hAnsi="Arial" w:cs="Arial"/>
                <w:sz w:val="20"/>
              </w:rPr>
            </w:pPr>
            <w:r w:rsidRPr="00405CE1">
              <w:rPr>
                <w:rFonts w:ascii="Arial" w:hAnsi="Arial" w:cs="Arial"/>
                <w:sz w:val="20"/>
              </w:rPr>
              <w:t>HVAC heating</w:t>
            </w:r>
          </w:p>
        </w:tc>
        <w:tc>
          <w:tcPr>
            <w:tcW w:w="5715" w:type="dxa"/>
            <w:tcBorders>
              <w:top w:val="nil"/>
              <w:left w:val="nil"/>
              <w:bottom w:val="nil"/>
              <w:right w:val="nil"/>
            </w:tcBorders>
            <w:shd w:val="clear" w:color="auto" w:fill="auto"/>
            <w:noWrap/>
            <w:vAlign w:val="bottom"/>
            <w:hideMark/>
          </w:tcPr>
          <w:p w:rsidR="000E1EB4" w:rsidRPr="00405CE1" w:rsidRDefault="000E1EB4">
            <w:pPr>
              <w:rPr>
                <w:rFonts w:ascii="Arial" w:hAnsi="Arial" w:cs="Arial"/>
                <w:sz w:val="20"/>
              </w:rPr>
            </w:pPr>
            <w:r w:rsidRPr="00405CE1">
              <w:rPr>
                <w:rFonts w:ascii="Arial" w:hAnsi="Arial" w:cs="Arial"/>
                <w:sz w:val="20"/>
              </w:rPr>
              <w:t>=</w:t>
            </w:r>
            <w:r w:rsidR="005E02C0">
              <w:rPr>
                <w:rFonts w:ascii="Arial" w:hAnsi="Arial" w:cs="Arial"/>
                <w:sz w:val="20"/>
              </w:rPr>
              <w:t xml:space="preserve"> </w:t>
            </w:r>
            <w:r w:rsidRPr="00405CE1">
              <w:rPr>
                <w:rFonts w:ascii="Arial" w:hAnsi="Arial" w:cs="Arial"/>
                <w:sz w:val="20"/>
              </w:rPr>
              <w:t>Annual energy needed for HVAC heating (</w:t>
            </w:r>
            <w:proofErr w:type="spellStart"/>
            <w:r w:rsidRPr="00405CE1">
              <w:rPr>
                <w:rFonts w:ascii="Arial" w:hAnsi="Arial" w:cs="Arial"/>
                <w:sz w:val="20"/>
              </w:rPr>
              <w:t>therms</w:t>
            </w:r>
            <w:proofErr w:type="spellEnd"/>
            <w:r w:rsidRPr="00405CE1">
              <w:rPr>
                <w:rFonts w:ascii="Arial" w:hAnsi="Arial" w:cs="Arial"/>
                <w:sz w:val="20"/>
              </w:rPr>
              <w:t>)</w:t>
            </w:r>
          </w:p>
        </w:tc>
      </w:tr>
      <w:tr w:rsidR="000E1EB4" w:rsidTr="000E1EB4">
        <w:trPr>
          <w:trHeight w:val="255"/>
        </w:trPr>
        <w:tc>
          <w:tcPr>
            <w:tcW w:w="2256" w:type="dxa"/>
            <w:tcBorders>
              <w:top w:val="nil"/>
              <w:left w:val="nil"/>
              <w:bottom w:val="nil"/>
              <w:right w:val="nil"/>
            </w:tcBorders>
            <w:shd w:val="clear" w:color="auto" w:fill="auto"/>
            <w:noWrap/>
            <w:vAlign w:val="bottom"/>
            <w:hideMark/>
          </w:tcPr>
          <w:p w:rsidR="000E1EB4" w:rsidRPr="00405CE1" w:rsidRDefault="000E1EB4" w:rsidP="000E1EB4">
            <w:pPr>
              <w:rPr>
                <w:rFonts w:ascii="Arial" w:hAnsi="Arial" w:cs="Arial"/>
                <w:sz w:val="20"/>
              </w:rPr>
            </w:pPr>
            <w:r w:rsidRPr="00405CE1">
              <w:rPr>
                <w:rFonts w:ascii="Arial" w:hAnsi="Arial" w:cs="Arial"/>
                <w:sz w:val="20"/>
              </w:rPr>
              <w:t>100,000</w:t>
            </w:r>
          </w:p>
        </w:tc>
        <w:tc>
          <w:tcPr>
            <w:tcW w:w="5715" w:type="dxa"/>
            <w:tcBorders>
              <w:top w:val="nil"/>
              <w:left w:val="nil"/>
              <w:bottom w:val="nil"/>
              <w:right w:val="nil"/>
            </w:tcBorders>
            <w:shd w:val="clear" w:color="auto" w:fill="auto"/>
            <w:noWrap/>
            <w:vAlign w:val="bottom"/>
            <w:hideMark/>
          </w:tcPr>
          <w:p w:rsidR="000E1EB4" w:rsidRPr="00405CE1" w:rsidRDefault="00C822A8">
            <w:pPr>
              <w:rPr>
                <w:rFonts w:ascii="Arial" w:hAnsi="Arial" w:cs="Arial"/>
                <w:sz w:val="20"/>
              </w:rPr>
            </w:pPr>
            <w:r w:rsidRPr="00405CE1">
              <w:rPr>
                <w:rFonts w:ascii="Arial" w:hAnsi="Arial" w:cs="Arial"/>
                <w:sz w:val="20"/>
              </w:rPr>
              <w:t>=</w:t>
            </w:r>
            <w:r w:rsidR="005E02C0">
              <w:rPr>
                <w:rFonts w:ascii="Arial" w:hAnsi="Arial" w:cs="Arial"/>
                <w:sz w:val="20"/>
              </w:rPr>
              <w:t xml:space="preserve"> </w:t>
            </w:r>
            <w:r w:rsidRPr="00405CE1">
              <w:rPr>
                <w:rFonts w:ascii="Arial" w:hAnsi="Arial" w:cs="Arial"/>
                <w:sz w:val="20"/>
              </w:rPr>
              <w:t xml:space="preserve">Conversion form Btu to </w:t>
            </w:r>
            <w:proofErr w:type="spellStart"/>
            <w:r w:rsidRPr="00405CE1">
              <w:rPr>
                <w:rFonts w:ascii="Arial" w:hAnsi="Arial" w:cs="Arial"/>
                <w:sz w:val="20"/>
              </w:rPr>
              <w:t>t</w:t>
            </w:r>
            <w:r w:rsidR="000E1EB4" w:rsidRPr="00405CE1">
              <w:rPr>
                <w:rFonts w:ascii="Arial" w:hAnsi="Arial" w:cs="Arial"/>
                <w:sz w:val="20"/>
              </w:rPr>
              <w:t>herms</w:t>
            </w:r>
            <w:proofErr w:type="spellEnd"/>
          </w:p>
        </w:tc>
      </w:tr>
      <w:tr w:rsidR="000E1EB4" w:rsidTr="000E1EB4">
        <w:trPr>
          <w:trHeight w:val="255"/>
        </w:trPr>
        <w:tc>
          <w:tcPr>
            <w:tcW w:w="2256" w:type="dxa"/>
            <w:tcBorders>
              <w:top w:val="nil"/>
              <w:left w:val="nil"/>
              <w:bottom w:val="nil"/>
              <w:right w:val="nil"/>
            </w:tcBorders>
            <w:shd w:val="clear" w:color="auto" w:fill="auto"/>
            <w:noWrap/>
            <w:vAlign w:val="bottom"/>
            <w:hideMark/>
          </w:tcPr>
          <w:p w:rsidR="000E1EB4" w:rsidRPr="00405CE1" w:rsidRDefault="000E1EB4">
            <w:pPr>
              <w:rPr>
                <w:rFonts w:ascii="Arial" w:hAnsi="Arial" w:cs="Arial"/>
                <w:sz w:val="20"/>
              </w:rPr>
            </w:pPr>
            <w:r w:rsidRPr="00405CE1">
              <w:rPr>
                <w:rFonts w:ascii="Arial" w:hAnsi="Arial" w:cs="Arial"/>
                <w:sz w:val="20"/>
              </w:rPr>
              <w:t>Gas Efficiency</w:t>
            </w:r>
          </w:p>
        </w:tc>
        <w:tc>
          <w:tcPr>
            <w:tcW w:w="5715" w:type="dxa"/>
            <w:tcBorders>
              <w:top w:val="nil"/>
              <w:left w:val="nil"/>
              <w:bottom w:val="nil"/>
              <w:right w:val="nil"/>
            </w:tcBorders>
            <w:shd w:val="clear" w:color="auto" w:fill="auto"/>
            <w:noWrap/>
            <w:vAlign w:val="bottom"/>
            <w:hideMark/>
          </w:tcPr>
          <w:p w:rsidR="000E1EB4" w:rsidRPr="00405CE1" w:rsidRDefault="000E1EB4">
            <w:pPr>
              <w:rPr>
                <w:rFonts w:ascii="Arial" w:hAnsi="Arial" w:cs="Arial"/>
                <w:sz w:val="20"/>
              </w:rPr>
            </w:pPr>
            <w:r w:rsidRPr="00405CE1">
              <w:rPr>
                <w:rFonts w:ascii="Arial" w:hAnsi="Arial" w:cs="Arial"/>
                <w:sz w:val="20"/>
              </w:rPr>
              <w:t>=</w:t>
            </w:r>
            <w:r w:rsidR="005E02C0">
              <w:rPr>
                <w:rFonts w:ascii="Arial" w:hAnsi="Arial" w:cs="Arial"/>
                <w:sz w:val="20"/>
              </w:rPr>
              <w:t xml:space="preserve"> </w:t>
            </w:r>
            <w:r w:rsidRPr="00405CE1">
              <w:rPr>
                <w:rFonts w:ascii="Arial" w:hAnsi="Arial" w:cs="Arial"/>
                <w:sz w:val="20"/>
              </w:rPr>
              <w:t xml:space="preserve">Efficiency of HVAC heating </w:t>
            </w:r>
          </w:p>
        </w:tc>
      </w:tr>
      <w:tr w:rsidR="000E1EB4" w:rsidTr="00625B56">
        <w:trPr>
          <w:trHeight w:val="255"/>
        </w:trPr>
        <w:tc>
          <w:tcPr>
            <w:tcW w:w="2256" w:type="dxa"/>
            <w:tcBorders>
              <w:top w:val="nil"/>
              <w:left w:val="nil"/>
              <w:bottom w:val="nil"/>
              <w:right w:val="nil"/>
            </w:tcBorders>
            <w:shd w:val="clear" w:color="auto" w:fill="auto"/>
            <w:noWrap/>
            <w:hideMark/>
          </w:tcPr>
          <w:p w:rsidR="000E1EB4" w:rsidRPr="00625B56" w:rsidRDefault="00625B56" w:rsidP="00625B56">
            <w:pPr>
              <w:rPr>
                <w:rFonts w:ascii="Arial" w:hAnsi="Arial" w:cs="Arial"/>
                <w:sz w:val="20"/>
                <w:vertAlign w:val="subscript"/>
              </w:rPr>
            </w:pPr>
            <w:r>
              <w:rPr>
                <w:rFonts w:ascii="Arial" w:hAnsi="Arial" w:cs="Arial"/>
                <w:sz w:val="20"/>
              </w:rPr>
              <w:t xml:space="preserve">Annual </w:t>
            </w:r>
            <w:proofErr w:type="spellStart"/>
            <w:r>
              <w:rPr>
                <w:rFonts w:ascii="Arial" w:hAnsi="Arial" w:cs="Arial"/>
                <w:sz w:val="20"/>
              </w:rPr>
              <w:t>Load</w:t>
            </w:r>
            <w:r>
              <w:rPr>
                <w:rFonts w:ascii="Arial" w:hAnsi="Arial" w:cs="Arial"/>
                <w:sz w:val="20"/>
                <w:vertAlign w:val="subscript"/>
              </w:rPr>
              <w:t>Heating</w:t>
            </w:r>
            <w:proofErr w:type="spellEnd"/>
          </w:p>
        </w:tc>
        <w:tc>
          <w:tcPr>
            <w:tcW w:w="5715" w:type="dxa"/>
            <w:tcBorders>
              <w:top w:val="nil"/>
              <w:left w:val="nil"/>
              <w:bottom w:val="nil"/>
              <w:right w:val="nil"/>
            </w:tcBorders>
            <w:shd w:val="clear" w:color="auto" w:fill="auto"/>
            <w:noWrap/>
            <w:vAlign w:val="bottom"/>
            <w:hideMark/>
          </w:tcPr>
          <w:p w:rsidR="000E1EB4" w:rsidRPr="00405CE1" w:rsidRDefault="000E1EB4" w:rsidP="005E02C0">
            <w:pPr>
              <w:ind w:left="156" w:hanging="156"/>
              <w:rPr>
                <w:rFonts w:ascii="Arial" w:hAnsi="Arial" w:cs="Arial"/>
                <w:sz w:val="20"/>
              </w:rPr>
            </w:pPr>
            <w:r w:rsidRPr="00405CE1">
              <w:rPr>
                <w:rFonts w:ascii="Arial" w:hAnsi="Arial" w:cs="Arial"/>
                <w:sz w:val="20"/>
              </w:rPr>
              <w:t>=</w:t>
            </w:r>
            <w:r w:rsidR="005E02C0">
              <w:rPr>
                <w:rFonts w:ascii="Arial" w:hAnsi="Arial" w:cs="Arial"/>
                <w:sz w:val="20"/>
              </w:rPr>
              <w:t xml:space="preserve"> </w:t>
            </w:r>
            <w:r w:rsidRPr="00405CE1">
              <w:rPr>
                <w:rFonts w:ascii="Arial" w:hAnsi="Arial" w:cs="Arial"/>
                <w:sz w:val="20"/>
              </w:rPr>
              <w:t>Annual heat needed to offset refrigeration system heat sink (Btu)</w:t>
            </w:r>
          </w:p>
        </w:tc>
      </w:tr>
    </w:tbl>
    <w:p w:rsidR="00FA1377" w:rsidRDefault="00FA1377" w:rsidP="00AD4B84"/>
    <w:p w:rsidR="000E1EB4" w:rsidRDefault="000E1EB4" w:rsidP="00AD4B84"/>
    <w:p w:rsidR="000E1EB4" w:rsidRDefault="000E1EB4" w:rsidP="00D57E77">
      <w:pPr>
        <w:jc w:val="center"/>
      </w:pPr>
      <w:r w:rsidRPr="000E1EB4">
        <w:rPr>
          <w:noProof/>
        </w:rPr>
        <w:drawing>
          <wp:inline distT="0" distB="0" distL="0" distR="0" wp14:anchorId="67105A69" wp14:editId="79696713">
            <wp:extent cx="5943600" cy="292735"/>
            <wp:effectExtent l="0" t="0" r="0" b="0"/>
            <wp:docPr id="4" name="Picture 2"/>
            <wp:cNvGraphicFramePr/>
            <a:graphic xmlns:a="http://schemas.openxmlformats.org/drawingml/2006/main">
              <a:graphicData uri="http://schemas.openxmlformats.org/drawingml/2006/picture">
                <pic:pic xmlns:pic="http://schemas.openxmlformats.org/drawingml/2006/picture">
                  <pic:nvPicPr>
                    <pic:cNvPr id="57" name="Picture 82"/>
                    <pic:cNvPicPr>
                      <a:picLocks noChangeAspect="1" noChangeArrowheads="1"/>
                    </pic:cNvPicPr>
                  </pic:nvPicPr>
                  <pic:blipFill>
                    <a:blip r:embed="rId40" cstate="print"/>
                    <a:srcRect/>
                    <a:stretch>
                      <a:fillRect/>
                    </a:stretch>
                  </pic:blipFill>
                  <pic:spPr bwMode="auto">
                    <a:xfrm>
                      <a:off x="0" y="0"/>
                      <a:ext cx="5943600" cy="292735"/>
                    </a:xfrm>
                    <a:prstGeom prst="rect">
                      <a:avLst/>
                    </a:prstGeom>
                    <a:noFill/>
                  </pic:spPr>
                </pic:pic>
              </a:graphicData>
            </a:graphic>
          </wp:inline>
        </w:drawing>
      </w:r>
    </w:p>
    <w:p w:rsidR="000E1EB4" w:rsidRDefault="000E1EB4" w:rsidP="00AD4B84"/>
    <w:p w:rsidR="00B7164C" w:rsidRPr="008C4D5E" w:rsidRDefault="00C069A2" w:rsidP="00D20486">
      <w:pPr>
        <w:pStyle w:val="Heading1"/>
      </w:pPr>
      <w:bookmarkStart w:id="79" w:name="_Toc387914060"/>
      <w:bookmarkStart w:id="80" w:name="_Toc390349998"/>
      <w:proofErr w:type="gramStart"/>
      <w:r w:rsidRPr="008C4D5E">
        <w:t>Section 3</w:t>
      </w:r>
      <w:r w:rsidR="003129E8" w:rsidRPr="008C4D5E">
        <w:t>.</w:t>
      </w:r>
      <w:proofErr w:type="gramEnd"/>
      <w:r w:rsidRPr="008C4D5E">
        <w:t xml:space="preserve"> Load Shapes</w:t>
      </w:r>
      <w:bookmarkEnd w:id="79"/>
      <w:bookmarkEnd w:id="80"/>
    </w:p>
    <w:p w:rsidR="00B7164C" w:rsidRPr="007A4D97" w:rsidRDefault="00BF0332" w:rsidP="00B7164C">
      <w:pPr>
        <w:pStyle w:val="Heading2"/>
        <w:keepNext w:val="0"/>
      </w:pPr>
      <w:bookmarkStart w:id="81" w:name="_Toc173742996"/>
      <w:bookmarkStart w:id="82" w:name="_Toc387914061"/>
      <w:bookmarkStart w:id="83" w:name="_Toc390349999"/>
      <w:r w:rsidRPr="007A4D97">
        <w:t>3.1 Base Case</w:t>
      </w:r>
      <w:r w:rsidR="00B7164C" w:rsidRPr="007A4D97">
        <w:t xml:space="preserve"> Load Shapes</w:t>
      </w:r>
      <w:bookmarkEnd w:id="81"/>
      <w:bookmarkEnd w:id="82"/>
      <w:bookmarkEnd w:id="83"/>
    </w:p>
    <w:bookmarkStart w:id="84" w:name="_Toc173742997"/>
    <w:p w:rsidR="000E1EB4" w:rsidRPr="00405CE1" w:rsidRDefault="000E1EB4" w:rsidP="000E1EB4">
      <w:pPr>
        <w:rPr>
          <w:rFonts w:ascii="Arial" w:hAnsi="Arial" w:cs="Arial"/>
          <w:sz w:val="20"/>
        </w:rPr>
      </w:pPr>
      <w:r w:rsidRPr="00405CE1">
        <w:rPr>
          <w:rFonts w:ascii="Arial" w:hAnsi="Arial" w:cs="Arial"/>
          <w:sz w:val="20"/>
        </w:rPr>
        <w:fldChar w:fldCharType="begin"/>
      </w:r>
      <w:r w:rsidRPr="00405CE1">
        <w:rPr>
          <w:rFonts w:ascii="Arial" w:hAnsi="Arial" w:cs="Arial"/>
          <w:sz w:val="20"/>
        </w:rPr>
        <w:instrText xml:space="preserve"> XE "load shape" </w:instrText>
      </w:r>
      <w:r w:rsidRPr="00405CE1">
        <w:rPr>
          <w:rFonts w:ascii="Arial" w:hAnsi="Arial" w:cs="Arial"/>
          <w:sz w:val="20"/>
        </w:rPr>
        <w:fldChar w:fldCharType="end"/>
      </w:r>
      <w:r w:rsidRPr="00405CE1">
        <w:rPr>
          <w:rFonts w:ascii="Arial" w:hAnsi="Arial" w:cs="Arial"/>
          <w:sz w:val="20"/>
        </w:rPr>
        <w:t xml:space="preserve">The base case load shape follows a typical commercial refrigeration load shape. This load shape closely follows outside temperatures, with the highest load associated with high outside temperatures and the smallest load associated with cooler outside temperatures. </w:t>
      </w:r>
      <w:r w:rsidRPr="00405CE1">
        <w:rPr>
          <w:rFonts w:ascii="Arial" w:hAnsi="Arial" w:cs="Arial"/>
          <w:sz w:val="20"/>
        </w:rPr>
        <w:fldChar w:fldCharType="begin"/>
      </w:r>
      <w:r w:rsidRPr="00405CE1">
        <w:rPr>
          <w:rFonts w:ascii="Arial" w:hAnsi="Arial" w:cs="Arial"/>
          <w:sz w:val="20"/>
        </w:rPr>
        <w:instrText xml:space="preserve"> REF _Ref326569946 \h </w:instrText>
      </w:r>
      <w:r w:rsidR="00405CE1">
        <w:rPr>
          <w:rFonts w:ascii="Arial" w:hAnsi="Arial" w:cs="Arial"/>
          <w:sz w:val="20"/>
        </w:rPr>
        <w:instrText xml:space="preserve"> \* MERGEFORMAT </w:instrText>
      </w:r>
      <w:r w:rsidRPr="00405CE1">
        <w:rPr>
          <w:rFonts w:ascii="Arial" w:hAnsi="Arial" w:cs="Arial"/>
          <w:sz w:val="20"/>
        </w:rPr>
      </w:r>
      <w:r w:rsidRPr="00405CE1">
        <w:rPr>
          <w:rFonts w:ascii="Arial" w:hAnsi="Arial" w:cs="Arial"/>
          <w:sz w:val="20"/>
        </w:rPr>
        <w:fldChar w:fldCharType="separate"/>
      </w:r>
      <w:r w:rsidR="007F512F" w:rsidRPr="007F512F">
        <w:rPr>
          <w:rFonts w:ascii="Arial" w:hAnsi="Arial" w:cs="Arial"/>
          <w:sz w:val="20"/>
        </w:rPr>
        <w:t>Figure 1 - Base Case Daily Load Profiles</w:t>
      </w:r>
      <w:r w:rsidRPr="00405CE1">
        <w:rPr>
          <w:rFonts w:ascii="Arial" w:hAnsi="Arial" w:cs="Arial"/>
          <w:sz w:val="20"/>
        </w:rPr>
        <w:fldChar w:fldCharType="end"/>
      </w:r>
      <w:r w:rsidRPr="00405CE1">
        <w:rPr>
          <w:rFonts w:ascii="Arial" w:hAnsi="Arial" w:cs="Arial"/>
          <w:sz w:val="20"/>
        </w:rPr>
        <w:t xml:space="preserve"> displays the load profile of the base case models used for Climate Zone 3 over the course of a typical day in July.</w:t>
      </w:r>
    </w:p>
    <w:p w:rsidR="000E1EB4" w:rsidRPr="00405CE1" w:rsidRDefault="000E1EB4" w:rsidP="000E1EB4">
      <w:pPr>
        <w:rPr>
          <w:rFonts w:ascii="Arial" w:hAnsi="Arial" w:cs="Arial"/>
          <w:sz w:val="20"/>
        </w:rPr>
      </w:pPr>
    </w:p>
    <w:p w:rsidR="000E1EB4" w:rsidRDefault="000E1EB4" w:rsidP="000E1EB4">
      <w:pPr>
        <w:keepNext/>
        <w:jc w:val="center"/>
      </w:pPr>
      <w:r>
        <w:rPr>
          <w:noProof/>
        </w:rPr>
        <w:drawing>
          <wp:inline distT="0" distB="0" distL="0" distR="0" wp14:anchorId="5BA44A8C" wp14:editId="48CCC66F">
            <wp:extent cx="3622040" cy="1983105"/>
            <wp:effectExtent l="19050" t="0" r="0" b="0"/>
            <wp:docPr id="8"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1" cstate="print"/>
                    <a:srcRect/>
                    <a:stretch>
                      <a:fillRect/>
                    </a:stretch>
                  </pic:blipFill>
                  <pic:spPr bwMode="auto">
                    <a:xfrm>
                      <a:off x="0" y="0"/>
                      <a:ext cx="3622040" cy="1983105"/>
                    </a:xfrm>
                    <a:prstGeom prst="rect">
                      <a:avLst/>
                    </a:prstGeom>
                    <a:noFill/>
                    <a:ln w="9525">
                      <a:noFill/>
                      <a:miter lim="800000"/>
                      <a:headEnd/>
                      <a:tailEnd/>
                    </a:ln>
                  </pic:spPr>
                </pic:pic>
              </a:graphicData>
            </a:graphic>
          </wp:inline>
        </w:drawing>
      </w:r>
    </w:p>
    <w:p w:rsidR="000E1EB4" w:rsidRPr="00AB5678" w:rsidRDefault="000E1EB4" w:rsidP="000E1EB4">
      <w:pPr>
        <w:pStyle w:val="Caption"/>
        <w:jc w:val="center"/>
      </w:pPr>
      <w:bookmarkStart w:id="85" w:name="_Toc296005722"/>
      <w:bookmarkStart w:id="86" w:name="_Ref326569946"/>
      <w:bookmarkStart w:id="87" w:name="_Toc326911161"/>
      <w:bookmarkStart w:id="88" w:name="_Toc390349971"/>
      <w:r>
        <w:t xml:space="preserve">Figure </w:t>
      </w:r>
      <w:fldSimple w:instr=" SEQ Figure \* ARABIC ">
        <w:r w:rsidR="007F512F">
          <w:rPr>
            <w:noProof/>
          </w:rPr>
          <w:t>1</w:t>
        </w:r>
      </w:fldSimple>
      <w:r>
        <w:t xml:space="preserve"> - Base Case Daily Load Profiles</w:t>
      </w:r>
      <w:bookmarkEnd w:id="85"/>
      <w:bookmarkEnd w:id="86"/>
      <w:bookmarkEnd w:id="87"/>
      <w:bookmarkEnd w:id="88"/>
    </w:p>
    <w:p w:rsidR="000E1EB4" w:rsidRDefault="000E1EB4" w:rsidP="00B7164C">
      <w:pPr>
        <w:rPr>
          <w:rFonts w:ascii="Arial" w:hAnsi="Arial" w:cs="Arial"/>
          <w:sz w:val="20"/>
          <w:szCs w:val="20"/>
        </w:rPr>
      </w:pPr>
    </w:p>
    <w:p w:rsidR="000E1EB4" w:rsidRPr="007A4D97" w:rsidRDefault="000E1EB4" w:rsidP="00B7164C">
      <w:pPr>
        <w:rPr>
          <w:rFonts w:ascii="Arial" w:hAnsi="Arial" w:cs="Arial"/>
          <w:sz w:val="20"/>
          <w:szCs w:val="20"/>
        </w:rPr>
      </w:pPr>
    </w:p>
    <w:p w:rsidR="00B7164C" w:rsidRPr="007A4D97" w:rsidRDefault="00B7164C" w:rsidP="00D20486">
      <w:pPr>
        <w:pStyle w:val="Heading2"/>
        <w:keepNext w:val="0"/>
      </w:pPr>
      <w:bookmarkStart w:id="89" w:name="_Toc387914062"/>
      <w:bookmarkStart w:id="90" w:name="_Toc390350000"/>
      <w:r w:rsidRPr="007A4D97">
        <w:lastRenderedPageBreak/>
        <w:t>3.2 Measure Load Shapes</w:t>
      </w:r>
      <w:bookmarkEnd w:id="84"/>
      <w:bookmarkEnd w:id="89"/>
      <w:bookmarkEnd w:id="90"/>
    </w:p>
    <w:p w:rsidR="000E1EB4" w:rsidRPr="00405CE1" w:rsidRDefault="000E1EB4" w:rsidP="000E1EB4">
      <w:pPr>
        <w:rPr>
          <w:rFonts w:ascii="Arial" w:hAnsi="Arial" w:cs="Arial"/>
          <w:sz w:val="20"/>
        </w:rPr>
      </w:pPr>
      <w:r w:rsidRPr="00405CE1">
        <w:rPr>
          <w:rFonts w:ascii="Arial" w:hAnsi="Arial" w:cs="Arial"/>
          <w:sz w:val="20"/>
        </w:rPr>
        <w:t>For purposes of the net benefits estimates in the E3 calculator, what is required is the load shape that ideally represents the difference between the base equipment and the installed energy efficiency measure. This difference in load profile is what is called the Measure Load Shape and is the preferred load shape for use in the net benefits calculations.</w:t>
      </w:r>
    </w:p>
    <w:p w:rsidR="000E1EB4" w:rsidRPr="00405CE1" w:rsidRDefault="000E1EB4" w:rsidP="000E1EB4">
      <w:pPr>
        <w:rPr>
          <w:rFonts w:ascii="Arial" w:hAnsi="Arial" w:cs="Arial"/>
          <w:sz w:val="20"/>
        </w:rPr>
      </w:pPr>
      <w:r w:rsidRPr="00405CE1">
        <w:rPr>
          <w:rFonts w:ascii="Arial" w:hAnsi="Arial" w:cs="Arial"/>
          <w:sz w:val="20"/>
        </w:rPr>
        <w:t> </w:t>
      </w:r>
    </w:p>
    <w:p w:rsidR="000E1EB4" w:rsidRPr="00405CE1" w:rsidRDefault="000E1EB4" w:rsidP="000E1EB4">
      <w:pPr>
        <w:rPr>
          <w:rFonts w:ascii="Arial" w:hAnsi="Arial" w:cs="Arial"/>
          <w:sz w:val="20"/>
        </w:rPr>
      </w:pPr>
      <w:r w:rsidRPr="00405CE1">
        <w:rPr>
          <w:rFonts w:ascii="Arial" w:hAnsi="Arial" w:cs="Arial"/>
          <w:sz w:val="20"/>
        </w:rPr>
        <w:t>The E3 Calculator contains a fixed set of load shapes selections that are the combination of the hourly avoided costs and the load shape data that was available at the time of the tool’s creation. In the E3 Calculator, the load shape that most closely fits this measure is the ‘Commercial Refrigeration’ load shape because a majority of the savings are the direct result of a consistent infiltration cooling load reduction on the site’s refrigeration system. The infiltration reduction should parallel the energy use of the base case load shape. One exception is that the savings during night hours (11</w:t>
      </w:r>
      <w:r w:rsidR="007B4985">
        <w:rPr>
          <w:rFonts w:ascii="Arial" w:hAnsi="Arial" w:cs="Arial"/>
          <w:sz w:val="20"/>
        </w:rPr>
        <w:t xml:space="preserve"> PM</w:t>
      </w:r>
      <w:r w:rsidRPr="00405CE1">
        <w:rPr>
          <w:rFonts w:ascii="Arial" w:hAnsi="Arial" w:cs="Arial"/>
          <w:sz w:val="20"/>
        </w:rPr>
        <w:t>-5</w:t>
      </w:r>
      <w:r w:rsidR="007B4985">
        <w:rPr>
          <w:rFonts w:ascii="Arial" w:hAnsi="Arial" w:cs="Arial"/>
          <w:sz w:val="20"/>
        </w:rPr>
        <w:t xml:space="preserve"> AM</w:t>
      </w:r>
      <w:r w:rsidRPr="00405CE1">
        <w:rPr>
          <w:rFonts w:ascii="Arial" w:hAnsi="Arial" w:cs="Arial"/>
          <w:sz w:val="20"/>
        </w:rPr>
        <w:t xml:space="preserve">) are reduced when night covers are in place in the base case. </w:t>
      </w:r>
      <w:r w:rsidRPr="00405CE1">
        <w:rPr>
          <w:rFonts w:ascii="Arial" w:hAnsi="Arial" w:cs="Arial"/>
          <w:sz w:val="20"/>
        </w:rPr>
        <w:fldChar w:fldCharType="begin"/>
      </w:r>
      <w:r w:rsidRPr="00405CE1">
        <w:rPr>
          <w:rFonts w:ascii="Arial" w:hAnsi="Arial" w:cs="Arial"/>
          <w:sz w:val="20"/>
        </w:rPr>
        <w:instrText xml:space="preserve"> REF _Ref326569960 \h </w:instrText>
      </w:r>
      <w:r w:rsidR="00405CE1">
        <w:rPr>
          <w:rFonts w:ascii="Arial" w:hAnsi="Arial" w:cs="Arial"/>
          <w:sz w:val="20"/>
        </w:rPr>
        <w:instrText xml:space="preserve"> \* MERGEFORMAT </w:instrText>
      </w:r>
      <w:r w:rsidRPr="00405CE1">
        <w:rPr>
          <w:rFonts w:ascii="Arial" w:hAnsi="Arial" w:cs="Arial"/>
          <w:sz w:val="20"/>
        </w:rPr>
      </w:r>
      <w:r w:rsidRPr="00405CE1">
        <w:rPr>
          <w:rFonts w:ascii="Arial" w:hAnsi="Arial" w:cs="Arial"/>
          <w:sz w:val="20"/>
        </w:rPr>
        <w:fldChar w:fldCharType="separate"/>
      </w:r>
      <w:r w:rsidR="007F512F" w:rsidRPr="007F512F">
        <w:rPr>
          <w:rFonts w:ascii="Arial" w:hAnsi="Arial" w:cs="Arial"/>
          <w:sz w:val="20"/>
        </w:rPr>
        <w:t>Figure 2 - Measure Savings Daily Load Profile</w:t>
      </w:r>
      <w:r w:rsidRPr="00405CE1">
        <w:rPr>
          <w:rFonts w:ascii="Arial" w:hAnsi="Arial" w:cs="Arial"/>
          <w:sz w:val="20"/>
        </w:rPr>
        <w:fldChar w:fldCharType="end"/>
      </w:r>
      <w:r w:rsidRPr="00405CE1">
        <w:rPr>
          <w:rFonts w:ascii="Arial" w:hAnsi="Arial" w:cs="Arial"/>
          <w:sz w:val="20"/>
        </w:rPr>
        <w:t xml:space="preserve"> displays the modeled measure savings profile for each of the measures in Climate Zone 3 over the course of a July day.</w:t>
      </w:r>
    </w:p>
    <w:p w:rsidR="000E1EB4" w:rsidRDefault="000E1EB4" w:rsidP="000E1EB4"/>
    <w:p w:rsidR="000E1EB4" w:rsidRDefault="000E1EB4" w:rsidP="000E1EB4">
      <w:pPr>
        <w:keepNext/>
        <w:jc w:val="center"/>
      </w:pPr>
      <w:r>
        <w:rPr>
          <w:noProof/>
        </w:rPr>
        <w:drawing>
          <wp:inline distT="0" distB="0" distL="0" distR="0" wp14:anchorId="72E5678A" wp14:editId="65C20374">
            <wp:extent cx="3491230" cy="1899920"/>
            <wp:effectExtent l="19050" t="0" r="0" b="0"/>
            <wp:docPr id="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2" cstate="print"/>
                    <a:srcRect/>
                    <a:stretch>
                      <a:fillRect/>
                    </a:stretch>
                  </pic:blipFill>
                  <pic:spPr bwMode="auto">
                    <a:xfrm>
                      <a:off x="0" y="0"/>
                      <a:ext cx="3491230" cy="1899920"/>
                    </a:xfrm>
                    <a:prstGeom prst="rect">
                      <a:avLst/>
                    </a:prstGeom>
                    <a:noFill/>
                    <a:ln w="9525">
                      <a:noFill/>
                      <a:miter lim="800000"/>
                      <a:headEnd/>
                      <a:tailEnd/>
                    </a:ln>
                  </pic:spPr>
                </pic:pic>
              </a:graphicData>
            </a:graphic>
          </wp:inline>
        </w:drawing>
      </w:r>
    </w:p>
    <w:p w:rsidR="000E1EB4" w:rsidRDefault="000E1EB4" w:rsidP="000E1EB4">
      <w:pPr>
        <w:pStyle w:val="Caption"/>
        <w:jc w:val="center"/>
      </w:pPr>
      <w:bookmarkStart w:id="91" w:name="_Toc296005723"/>
      <w:bookmarkStart w:id="92" w:name="_Ref326569960"/>
      <w:bookmarkStart w:id="93" w:name="_Toc326911162"/>
      <w:bookmarkStart w:id="94" w:name="_Toc390349972"/>
      <w:r>
        <w:t xml:space="preserve">Figure </w:t>
      </w:r>
      <w:fldSimple w:instr=" SEQ Figure \* ARABIC ">
        <w:r w:rsidR="007F512F">
          <w:rPr>
            <w:noProof/>
          </w:rPr>
          <w:t>2</w:t>
        </w:r>
      </w:fldSimple>
      <w:r>
        <w:t xml:space="preserve"> - Measure Savings Daily Load Profile</w:t>
      </w:r>
      <w:bookmarkEnd w:id="91"/>
      <w:bookmarkEnd w:id="92"/>
      <w:bookmarkEnd w:id="93"/>
      <w:bookmarkEnd w:id="94"/>
    </w:p>
    <w:p w:rsidR="000D326B" w:rsidRDefault="000D326B">
      <w:pPr>
        <w:rPr>
          <w:rFonts w:ascii="Arial" w:hAnsi="Arial" w:cs="Arial"/>
          <w:sz w:val="20"/>
          <w:szCs w:val="20"/>
        </w:rPr>
      </w:pPr>
    </w:p>
    <w:p w:rsidR="00444D1F" w:rsidRDefault="00444D1F">
      <w:pPr>
        <w:rPr>
          <w:rFonts w:ascii="Arial" w:hAnsi="Arial" w:cs="Arial"/>
          <w:b/>
          <w:bCs/>
          <w:kern w:val="32"/>
          <w:sz w:val="32"/>
          <w:szCs w:val="32"/>
        </w:rPr>
      </w:pPr>
      <w:bookmarkStart w:id="95" w:name="_Toc387914063"/>
      <w:r>
        <w:br w:type="page"/>
      </w:r>
    </w:p>
    <w:p w:rsidR="001D2372" w:rsidRDefault="00C069A2" w:rsidP="00AD1559">
      <w:pPr>
        <w:pStyle w:val="Heading1"/>
        <w:keepNext w:val="0"/>
      </w:pPr>
      <w:bookmarkStart w:id="96" w:name="_Toc390350001"/>
      <w:proofErr w:type="gramStart"/>
      <w:r>
        <w:lastRenderedPageBreak/>
        <w:t>Section 4</w:t>
      </w:r>
      <w:r w:rsidR="003129E8">
        <w:t>.</w:t>
      </w:r>
      <w:proofErr w:type="gramEnd"/>
      <w:r>
        <w:t xml:space="preserve"> Base Case &amp; Measure Costs</w:t>
      </w:r>
      <w:bookmarkEnd w:id="95"/>
      <w:bookmarkEnd w:id="96"/>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1D2372" w:rsidRPr="00104A00" w:rsidTr="00C52450">
        <w:trPr>
          <w:trHeight w:val="255"/>
        </w:trPr>
        <w:tc>
          <w:tcPr>
            <w:tcW w:w="1964" w:type="dxa"/>
            <w:shd w:val="clear" w:color="auto" w:fill="262626"/>
            <w:noWrap/>
            <w:vAlign w:val="bottom"/>
          </w:tcPr>
          <w:p w:rsidR="001D2372" w:rsidRPr="001E4C31" w:rsidRDefault="001D2372" w:rsidP="00C52450">
            <w:pPr>
              <w:jc w:val="center"/>
              <w:rPr>
                <w:rFonts w:cs="Arial"/>
                <w:b/>
              </w:rPr>
            </w:pPr>
            <w:r>
              <w:rPr>
                <w:rFonts w:cs="Arial"/>
                <w:b/>
              </w:rPr>
              <w:t>Measure Application</w:t>
            </w:r>
            <w:r w:rsidRPr="001E4C31">
              <w:rPr>
                <w:rFonts w:cs="Arial"/>
                <w:b/>
              </w:rPr>
              <w:t xml:space="preserve"> Type</w:t>
            </w:r>
          </w:p>
        </w:tc>
        <w:tc>
          <w:tcPr>
            <w:tcW w:w="1202" w:type="dxa"/>
            <w:shd w:val="clear" w:color="auto" w:fill="262626"/>
            <w:noWrap/>
            <w:vAlign w:val="bottom"/>
          </w:tcPr>
          <w:p w:rsidR="001D2372" w:rsidRPr="001E4C31" w:rsidRDefault="001D2372" w:rsidP="00C52450">
            <w:pPr>
              <w:jc w:val="center"/>
              <w:rPr>
                <w:rFonts w:cs="Arial"/>
                <w:b/>
              </w:rPr>
            </w:pPr>
            <w:r w:rsidRPr="001E4C31">
              <w:rPr>
                <w:rFonts w:cs="Arial"/>
                <w:b/>
              </w:rPr>
              <w:t>Measure Life Basis</w:t>
            </w:r>
          </w:p>
        </w:tc>
        <w:tc>
          <w:tcPr>
            <w:tcW w:w="2699" w:type="dxa"/>
            <w:shd w:val="clear" w:color="auto" w:fill="262626"/>
            <w:vAlign w:val="bottom"/>
          </w:tcPr>
          <w:p w:rsidR="001D2372" w:rsidRPr="001E4C31" w:rsidRDefault="001D2372" w:rsidP="00C52450">
            <w:pPr>
              <w:jc w:val="center"/>
              <w:rPr>
                <w:rFonts w:cs="Arial"/>
                <w:b/>
              </w:rPr>
            </w:pPr>
            <w:r>
              <w:rPr>
                <w:rFonts w:cs="Arial"/>
                <w:b/>
              </w:rPr>
              <w:t>First Baseline Period Full</w:t>
            </w:r>
            <w:r w:rsidRPr="001E4C31">
              <w:rPr>
                <w:rFonts w:cs="Arial"/>
                <w:b/>
              </w:rPr>
              <w:t xml:space="preserve"> Measure Cost (RUL)</w:t>
            </w:r>
          </w:p>
        </w:tc>
        <w:tc>
          <w:tcPr>
            <w:tcW w:w="2790" w:type="dxa"/>
            <w:shd w:val="clear" w:color="auto" w:fill="262626"/>
            <w:noWrap/>
            <w:vAlign w:val="bottom"/>
          </w:tcPr>
          <w:p w:rsidR="001D2372" w:rsidRPr="001E4C31" w:rsidRDefault="001D2372" w:rsidP="00C52450">
            <w:pPr>
              <w:jc w:val="center"/>
              <w:rPr>
                <w:rFonts w:cs="Arial"/>
                <w:b/>
              </w:rPr>
            </w:pPr>
            <w:r>
              <w:rPr>
                <w:rFonts w:cs="Arial"/>
                <w:b/>
              </w:rPr>
              <w:t>Second Baseline Period Full</w:t>
            </w:r>
            <w:r w:rsidRPr="001E4C31">
              <w:rPr>
                <w:rFonts w:cs="Arial"/>
                <w:b/>
              </w:rPr>
              <w:t xml:space="preserve"> Measure Cost (EUL – RUL)</w:t>
            </w:r>
          </w:p>
        </w:tc>
      </w:tr>
      <w:tr w:rsidR="001D2372" w:rsidRPr="00104A00" w:rsidTr="00C52450">
        <w:trPr>
          <w:trHeight w:val="255"/>
        </w:trPr>
        <w:tc>
          <w:tcPr>
            <w:tcW w:w="1964" w:type="dxa"/>
            <w:shd w:val="pct20" w:color="000000" w:fill="FFFFFF"/>
            <w:noWrap/>
            <w:vAlign w:val="bottom"/>
          </w:tcPr>
          <w:p w:rsidR="001D2372" w:rsidRPr="001E4C31" w:rsidRDefault="001D2372" w:rsidP="00C52450">
            <w:pPr>
              <w:jc w:val="center"/>
              <w:rPr>
                <w:rFonts w:cs="Arial"/>
                <w:b/>
                <w:i/>
              </w:rPr>
            </w:pPr>
            <w:r>
              <w:rPr>
                <w:rFonts w:cs="Arial"/>
                <w:b/>
                <w:i/>
              </w:rPr>
              <w:t>REA (Retrofit Add on)</w:t>
            </w:r>
          </w:p>
        </w:tc>
        <w:tc>
          <w:tcPr>
            <w:tcW w:w="1202" w:type="dxa"/>
            <w:shd w:val="pct20" w:color="000000" w:fill="FFFFFF"/>
            <w:noWrap/>
            <w:vAlign w:val="bottom"/>
          </w:tcPr>
          <w:p w:rsidR="001D2372" w:rsidRPr="001E4C31" w:rsidRDefault="001D2372" w:rsidP="00C52450">
            <w:pPr>
              <w:jc w:val="center"/>
              <w:rPr>
                <w:rFonts w:cs="Arial"/>
                <w:sz w:val="20"/>
                <w:szCs w:val="20"/>
              </w:rPr>
            </w:pPr>
            <w:r>
              <w:rPr>
                <w:rFonts w:cs="Arial"/>
                <w:sz w:val="20"/>
                <w:szCs w:val="20"/>
              </w:rPr>
              <w:t>EUL</w:t>
            </w:r>
          </w:p>
        </w:tc>
        <w:tc>
          <w:tcPr>
            <w:tcW w:w="2699" w:type="dxa"/>
            <w:shd w:val="pct20" w:color="000000" w:fill="FFFFFF"/>
            <w:vAlign w:val="bottom"/>
          </w:tcPr>
          <w:p w:rsidR="001D2372" w:rsidRPr="001E4C31" w:rsidRDefault="001D2372" w:rsidP="00C52450">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rsidR="001D2372" w:rsidRPr="001E4C31" w:rsidRDefault="001D2372" w:rsidP="00C52450">
            <w:pPr>
              <w:jc w:val="center"/>
              <w:rPr>
                <w:rFonts w:cs="Arial"/>
                <w:sz w:val="20"/>
                <w:szCs w:val="20"/>
              </w:rPr>
            </w:pPr>
            <w:r>
              <w:rPr>
                <w:rFonts w:cs="Arial"/>
                <w:sz w:val="20"/>
                <w:szCs w:val="20"/>
              </w:rPr>
              <w:t>N/A</w:t>
            </w:r>
          </w:p>
        </w:tc>
      </w:tr>
    </w:tbl>
    <w:p w:rsidR="00DC11FF" w:rsidRDefault="00DC11FF" w:rsidP="005D548C"/>
    <w:p w:rsidR="001B242B" w:rsidRPr="00F55847" w:rsidRDefault="00C069A2" w:rsidP="00D20486">
      <w:pPr>
        <w:pStyle w:val="Heading2"/>
        <w:keepNext w:val="0"/>
      </w:pPr>
      <w:bookmarkStart w:id="97" w:name="_Toc387914064"/>
      <w:bookmarkStart w:id="98" w:name="_Toc390350002"/>
      <w:r>
        <w:t>4.1 Base Case</w:t>
      </w:r>
      <w:r w:rsidR="00C221D5">
        <w:t>(</w:t>
      </w:r>
      <w:r>
        <w:t>s</w:t>
      </w:r>
      <w:r w:rsidR="00C221D5">
        <w:t>)</w:t>
      </w:r>
      <w:r>
        <w:t xml:space="preserve"> Costs</w:t>
      </w:r>
      <w:bookmarkEnd w:id="97"/>
      <w:bookmarkEnd w:id="98"/>
    </w:p>
    <w:p w:rsidR="0067139F" w:rsidRPr="00405CE1" w:rsidRDefault="00550B44" w:rsidP="0067139F">
      <w:pPr>
        <w:rPr>
          <w:rFonts w:ascii="Arial" w:hAnsi="Arial" w:cs="Arial"/>
          <w:sz w:val="20"/>
        </w:rPr>
      </w:pPr>
      <w:r w:rsidRPr="00405CE1">
        <w:rPr>
          <w:rFonts w:ascii="Arial" w:hAnsi="Arial" w:cs="Arial"/>
          <w:sz w:val="20"/>
        </w:rPr>
        <w:t xml:space="preserve">The following </w:t>
      </w:r>
      <w:r w:rsidR="00F81A75" w:rsidRPr="00405CE1">
        <w:rPr>
          <w:rFonts w:ascii="Arial" w:hAnsi="Arial" w:cs="Arial"/>
          <w:sz w:val="20"/>
        </w:rPr>
        <w:t xml:space="preserve">Measure Application Type </w:t>
      </w:r>
      <w:r w:rsidR="0001052B" w:rsidRPr="00405CE1">
        <w:rPr>
          <w:rFonts w:ascii="Arial" w:hAnsi="Arial" w:cs="Arial"/>
          <w:sz w:val="20"/>
        </w:rPr>
        <w:t xml:space="preserve">is </w:t>
      </w:r>
      <w:r w:rsidR="00F81A75" w:rsidRPr="00405CE1">
        <w:rPr>
          <w:rFonts w:ascii="Arial" w:hAnsi="Arial" w:cs="Arial"/>
          <w:sz w:val="20"/>
        </w:rPr>
        <w:t>appropriate to these measures</w:t>
      </w:r>
      <w:r w:rsidRPr="00405CE1">
        <w:rPr>
          <w:rFonts w:ascii="Arial" w:hAnsi="Arial" w:cs="Arial"/>
          <w:sz w:val="20"/>
        </w:rPr>
        <w:t>. The Base Case Costs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67139F" w:rsidRPr="00767D95" w:rsidTr="00B76887">
        <w:tc>
          <w:tcPr>
            <w:tcW w:w="1028" w:type="dxa"/>
            <w:shd w:val="clear" w:color="auto" w:fill="auto"/>
          </w:tcPr>
          <w:p w:rsidR="0067139F" w:rsidRPr="00767D95" w:rsidRDefault="0067139F" w:rsidP="00B76887">
            <w:pPr>
              <w:rPr>
                <w:rFonts w:ascii="Arial" w:hAnsi="Arial" w:cs="Arial"/>
                <w:b/>
                <w:i/>
                <w:sz w:val="20"/>
                <w:szCs w:val="20"/>
              </w:rPr>
            </w:pPr>
            <w:r w:rsidRPr="00767D95">
              <w:rPr>
                <w:rFonts w:ascii="Arial" w:hAnsi="Arial" w:cs="Arial"/>
                <w:b/>
                <w:i/>
                <w:sz w:val="20"/>
                <w:szCs w:val="20"/>
              </w:rPr>
              <w:t>Measure Code</w:t>
            </w:r>
          </w:p>
        </w:tc>
        <w:tc>
          <w:tcPr>
            <w:tcW w:w="1420" w:type="dxa"/>
            <w:shd w:val="clear" w:color="auto" w:fill="auto"/>
          </w:tcPr>
          <w:p w:rsidR="0067139F" w:rsidRPr="00767D95" w:rsidRDefault="00A0740B" w:rsidP="00B76887">
            <w:pPr>
              <w:rPr>
                <w:rFonts w:ascii="Arial" w:hAnsi="Arial" w:cs="Arial"/>
                <w:b/>
                <w:sz w:val="20"/>
                <w:szCs w:val="20"/>
              </w:rPr>
            </w:pPr>
            <w:r>
              <w:rPr>
                <w:rFonts w:ascii="Arial" w:hAnsi="Arial" w:cs="Arial"/>
                <w:b/>
                <w:sz w:val="20"/>
                <w:szCs w:val="20"/>
              </w:rPr>
              <w:t>Measure Application Type</w:t>
            </w:r>
          </w:p>
        </w:tc>
        <w:tc>
          <w:tcPr>
            <w:tcW w:w="1620"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Baseline</w:t>
            </w:r>
          </w:p>
        </w:tc>
        <w:tc>
          <w:tcPr>
            <w:tcW w:w="1440"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Equipment Cost</w:t>
            </w:r>
          </w:p>
        </w:tc>
        <w:tc>
          <w:tcPr>
            <w:tcW w:w="1341"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Labor / Installation Cost</w:t>
            </w:r>
          </w:p>
        </w:tc>
        <w:tc>
          <w:tcPr>
            <w:tcW w:w="1513"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Maintenance / Other Cost</w:t>
            </w:r>
          </w:p>
        </w:tc>
        <w:tc>
          <w:tcPr>
            <w:tcW w:w="1214"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Total Base Case Cost</w:t>
            </w:r>
          </w:p>
        </w:tc>
      </w:tr>
      <w:tr w:rsidR="0067139F" w:rsidRPr="00767D95" w:rsidTr="00B76887">
        <w:tc>
          <w:tcPr>
            <w:tcW w:w="1028"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R160</w:t>
            </w:r>
          </w:p>
        </w:tc>
        <w:tc>
          <w:tcPr>
            <w:tcW w:w="1420"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REA</w:t>
            </w:r>
          </w:p>
        </w:tc>
        <w:tc>
          <w:tcPr>
            <w:tcW w:w="1620" w:type="dxa"/>
            <w:shd w:val="clear" w:color="auto" w:fill="auto"/>
          </w:tcPr>
          <w:p w:rsidR="0067139F" w:rsidRPr="00405CE1" w:rsidRDefault="0067139F" w:rsidP="0067139F">
            <w:pPr>
              <w:rPr>
                <w:rFonts w:ascii="Arial" w:hAnsi="Arial" w:cs="Arial"/>
                <w:sz w:val="20"/>
              </w:rPr>
            </w:pPr>
            <w:r w:rsidRPr="00405CE1">
              <w:rPr>
                <w:rFonts w:ascii="Arial" w:hAnsi="Arial" w:cs="Arial"/>
                <w:sz w:val="20"/>
              </w:rPr>
              <w:t>Existing Walk-in Reach-in Case w/o Door</w:t>
            </w:r>
            <w:r w:rsidR="00F81A75" w:rsidRPr="00405CE1">
              <w:rPr>
                <w:rFonts w:ascii="Arial" w:hAnsi="Arial" w:cs="Arial"/>
                <w:sz w:val="20"/>
              </w:rPr>
              <w:t>,</w:t>
            </w:r>
            <w:r w:rsidR="00882E58" w:rsidRPr="00405CE1">
              <w:rPr>
                <w:rFonts w:ascii="Arial" w:hAnsi="Arial" w:cs="Arial"/>
                <w:sz w:val="20"/>
              </w:rPr>
              <w:t xml:space="preserve"> Standard Fan Baseline</w:t>
            </w:r>
          </w:p>
        </w:tc>
        <w:tc>
          <w:tcPr>
            <w:tcW w:w="1440"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$0.00</w:t>
            </w:r>
          </w:p>
        </w:tc>
        <w:tc>
          <w:tcPr>
            <w:tcW w:w="1341"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$0.00</w:t>
            </w:r>
          </w:p>
        </w:tc>
        <w:tc>
          <w:tcPr>
            <w:tcW w:w="1513"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$0.00</w:t>
            </w:r>
          </w:p>
        </w:tc>
        <w:tc>
          <w:tcPr>
            <w:tcW w:w="1214"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$0.00</w:t>
            </w:r>
          </w:p>
        </w:tc>
      </w:tr>
      <w:tr w:rsidR="005125C1" w:rsidRPr="00767D95" w:rsidTr="00B76887">
        <w:tc>
          <w:tcPr>
            <w:tcW w:w="1028" w:type="dxa"/>
            <w:shd w:val="clear" w:color="auto" w:fill="auto"/>
          </w:tcPr>
          <w:p w:rsidR="005125C1" w:rsidRDefault="005125C1" w:rsidP="00B76887">
            <w:pPr>
              <w:rPr>
                <w:rFonts w:ascii="Arial" w:hAnsi="Arial" w:cs="Arial"/>
                <w:sz w:val="20"/>
                <w:szCs w:val="20"/>
              </w:rPr>
            </w:pPr>
            <w:r>
              <w:rPr>
                <w:rFonts w:ascii="Arial" w:hAnsi="Arial" w:cs="Arial"/>
                <w:sz w:val="20"/>
                <w:szCs w:val="20"/>
              </w:rPr>
              <w:t>HB30</w:t>
            </w:r>
          </w:p>
        </w:tc>
        <w:tc>
          <w:tcPr>
            <w:tcW w:w="1420" w:type="dxa"/>
            <w:shd w:val="clear" w:color="auto" w:fill="auto"/>
          </w:tcPr>
          <w:p w:rsidR="005125C1" w:rsidDel="00550B44" w:rsidRDefault="00F81A75" w:rsidP="00B76887">
            <w:pPr>
              <w:rPr>
                <w:rFonts w:ascii="Arial" w:hAnsi="Arial" w:cs="Arial"/>
                <w:sz w:val="20"/>
                <w:szCs w:val="20"/>
              </w:rPr>
            </w:pPr>
            <w:r>
              <w:rPr>
                <w:rFonts w:ascii="Arial" w:hAnsi="Arial" w:cs="Arial"/>
                <w:sz w:val="20"/>
                <w:szCs w:val="20"/>
              </w:rPr>
              <w:t>REA</w:t>
            </w:r>
          </w:p>
        </w:tc>
        <w:tc>
          <w:tcPr>
            <w:tcW w:w="1620" w:type="dxa"/>
            <w:shd w:val="clear" w:color="auto" w:fill="auto"/>
          </w:tcPr>
          <w:p w:rsidR="005125C1" w:rsidRPr="00405CE1" w:rsidRDefault="0001052B" w:rsidP="0067139F">
            <w:pPr>
              <w:rPr>
                <w:rFonts w:ascii="Arial" w:hAnsi="Arial" w:cs="Arial"/>
                <w:sz w:val="20"/>
              </w:rPr>
            </w:pPr>
            <w:r w:rsidRPr="00405CE1">
              <w:rPr>
                <w:rFonts w:ascii="Arial" w:hAnsi="Arial" w:cs="Arial"/>
                <w:sz w:val="20"/>
              </w:rPr>
              <w:t>Existing Walk-in Reach-in Case w/o Door</w:t>
            </w:r>
            <w:r w:rsidR="00882E58" w:rsidRPr="00405CE1">
              <w:rPr>
                <w:rFonts w:ascii="Arial" w:hAnsi="Arial" w:cs="Arial"/>
                <w:sz w:val="20"/>
              </w:rPr>
              <w:t>, Energy Efficient Fans Baseline</w:t>
            </w:r>
          </w:p>
        </w:tc>
        <w:tc>
          <w:tcPr>
            <w:tcW w:w="1440" w:type="dxa"/>
            <w:shd w:val="clear" w:color="auto" w:fill="auto"/>
          </w:tcPr>
          <w:p w:rsidR="005125C1" w:rsidRDefault="00882E58" w:rsidP="00B76887">
            <w:pPr>
              <w:rPr>
                <w:rFonts w:ascii="Arial" w:hAnsi="Arial" w:cs="Arial"/>
                <w:sz w:val="20"/>
                <w:szCs w:val="20"/>
              </w:rPr>
            </w:pPr>
            <w:r>
              <w:rPr>
                <w:rFonts w:ascii="Arial" w:hAnsi="Arial" w:cs="Arial"/>
                <w:sz w:val="20"/>
                <w:szCs w:val="20"/>
              </w:rPr>
              <w:t>$0.00</w:t>
            </w:r>
          </w:p>
        </w:tc>
        <w:tc>
          <w:tcPr>
            <w:tcW w:w="1341" w:type="dxa"/>
            <w:shd w:val="clear" w:color="auto" w:fill="auto"/>
          </w:tcPr>
          <w:p w:rsidR="005125C1" w:rsidRDefault="00882E58" w:rsidP="00B76887">
            <w:pPr>
              <w:rPr>
                <w:rFonts w:ascii="Arial" w:hAnsi="Arial" w:cs="Arial"/>
                <w:sz w:val="20"/>
                <w:szCs w:val="20"/>
              </w:rPr>
            </w:pPr>
            <w:r>
              <w:rPr>
                <w:rFonts w:ascii="Arial" w:hAnsi="Arial" w:cs="Arial"/>
                <w:sz w:val="20"/>
                <w:szCs w:val="20"/>
              </w:rPr>
              <w:t>$0.00</w:t>
            </w:r>
          </w:p>
        </w:tc>
        <w:tc>
          <w:tcPr>
            <w:tcW w:w="1513" w:type="dxa"/>
            <w:shd w:val="clear" w:color="auto" w:fill="auto"/>
          </w:tcPr>
          <w:p w:rsidR="005125C1" w:rsidRDefault="00882E58" w:rsidP="00B76887">
            <w:pPr>
              <w:rPr>
                <w:rFonts w:ascii="Arial" w:hAnsi="Arial" w:cs="Arial"/>
                <w:sz w:val="20"/>
                <w:szCs w:val="20"/>
              </w:rPr>
            </w:pPr>
            <w:r>
              <w:rPr>
                <w:rFonts w:ascii="Arial" w:hAnsi="Arial" w:cs="Arial"/>
                <w:sz w:val="20"/>
                <w:szCs w:val="20"/>
              </w:rPr>
              <w:t>$0.00</w:t>
            </w:r>
          </w:p>
        </w:tc>
        <w:tc>
          <w:tcPr>
            <w:tcW w:w="1214" w:type="dxa"/>
            <w:shd w:val="clear" w:color="auto" w:fill="auto"/>
          </w:tcPr>
          <w:p w:rsidR="005125C1" w:rsidRDefault="00882E58" w:rsidP="00B76887">
            <w:pPr>
              <w:rPr>
                <w:rFonts w:ascii="Arial" w:hAnsi="Arial" w:cs="Arial"/>
                <w:sz w:val="20"/>
                <w:szCs w:val="20"/>
              </w:rPr>
            </w:pPr>
            <w:r>
              <w:rPr>
                <w:rFonts w:ascii="Arial" w:hAnsi="Arial" w:cs="Arial"/>
                <w:sz w:val="20"/>
                <w:szCs w:val="20"/>
              </w:rPr>
              <w:t>$0.00</w:t>
            </w:r>
          </w:p>
        </w:tc>
      </w:tr>
    </w:tbl>
    <w:p w:rsidR="0067139F" w:rsidRDefault="0067139F" w:rsidP="00AB2D9E">
      <w:pPr>
        <w:rPr>
          <w:rFonts w:ascii="Arial" w:hAnsi="Arial" w:cs="Arial"/>
          <w:i/>
          <w:sz w:val="20"/>
          <w:szCs w:val="20"/>
        </w:rPr>
      </w:pPr>
      <w:r w:rsidRPr="00DD1C47">
        <w:rPr>
          <w:rFonts w:ascii="Arial" w:hAnsi="Arial" w:cs="Arial"/>
          <w:i/>
          <w:sz w:val="20"/>
          <w:szCs w:val="20"/>
        </w:rPr>
        <w:t>All costs are noted as $ per measure unit</w:t>
      </w:r>
    </w:p>
    <w:p w:rsidR="00AD1559" w:rsidRPr="00AD1559" w:rsidRDefault="00AD1559" w:rsidP="00AB2D9E">
      <w:pPr>
        <w:rPr>
          <w:rFonts w:ascii="Arial" w:hAnsi="Arial" w:cs="Arial"/>
          <w:i/>
          <w:sz w:val="20"/>
          <w:szCs w:val="20"/>
        </w:rPr>
      </w:pPr>
    </w:p>
    <w:p w:rsidR="00C069A2" w:rsidRDefault="00663A00" w:rsidP="002E0043">
      <w:pPr>
        <w:pStyle w:val="Heading2"/>
        <w:keepNext w:val="0"/>
      </w:pPr>
      <w:bookmarkStart w:id="99" w:name="_Toc387914065"/>
      <w:bookmarkStart w:id="100" w:name="_Toc390350003"/>
      <w:r>
        <w:t>4.2 Meas</w:t>
      </w:r>
      <w:r w:rsidR="00C069A2">
        <w:t xml:space="preserve">ure </w:t>
      </w:r>
      <w:r w:rsidR="00930877">
        <w:t xml:space="preserve">Case </w:t>
      </w:r>
      <w:r w:rsidR="00C069A2">
        <w:t>Costs</w:t>
      </w:r>
      <w:bookmarkEnd w:id="99"/>
      <w:bookmarkEnd w:id="100"/>
      <w:r w:rsidR="00930877">
        <w:t xml:space="preserve"> </w:t>
      </w:r>
    </w:p>
    <w:p w:rsidR="00B76887" w:rsidRPr="00405CE1" w:rsidRDefault="00B76887" w:rsidP="0067139F">
      <w:pPr>
        <w:rPr>
          <w:rFonts w:ascii="Arial" w:hAnsi="Arial" w:cs="Arial"/>
          <w:sz w:val="20"/>
        </w:rPr>
      </w:pPr>
      <w:r w:rsidRPr="00405CE1">
        <w:rPr>
          <w:rFonts w:ascii="Arial" w:hAnsi="Arial" w:cs="Arial"/>
          <w:sz w:val="20"/>
        </w:rPr>
        <w:t>The direct measure implementation costs were developed using quotes from several projects where the described measure was proposed.</w:t>
      </w:r>
      <w:r w:rsidR="00F4049A">
        <w:rPr>
          <w:rStyle w:val="EndnoteReference"/>
          <w:rFonts w:ascii="Arial" w:hAnsi="Arial" w:cs="Arial"/>
          <w:sz w:val="20"/>
        </w:rPr>
        <w:endnoteReference w:id="13"/>
      </w:r>
      <w:r w:rsidRPr="00405CE1">
        <w:rPr>
          <w:rFonts w:ascii="Arial" w:hAnsi="Arial" w:cs="Arial"/>
          <w:sz w:val="20"/>
        </w:rPr>
        <w:t xml:space="preserve"> Where the costs deviated from one source to another, an average value was used. The costs of labor and materials are not shown as individual line items on the bids. A separate estimation of labor hours and cost was developed for each measure component. The cost of materials is calculated as the full project cost</w:t>
      </w:r>
      <w:r w:rsidR="00982B9A">
        <w:rPr>
          <w:rFonts w:ascii="Arial" w:hAnsi="Arial" w:cs="Arial"/>
          <w:sz w:val="20"/>
        </w:rPr>
        <w:t xml:space="preserve"> less the estimated labor cost.</w:t>
      </w:r>
    </w:p>
    <w:p w:rsidR="00AD1559" w:rsidRDefault="00AD1559" w:rsidP="0067139F">
      <w:pPr>
        <w:rPr>
          <w:rFonts w:ascii="Arial" w:hAnsi="Arial" w:cs="Arial"/>
          <w:sz w:val="20"/>
        </w:rPr>
      </w:pPr>
    </w:p>
    <w:p w:rsidR="0067139F" w:rsidRDefault="00E6019A" w:rsidP="0067139F">
      <w:pPr>
        <w:rPr>
          <w:rFonts w:ascii="Arial" w:hAnsi="Arial" w:cs="Arial"/>
          <w:sz w:val="20"/>
        </w:rPr>
      </w:pPr>
      <w:r w:rsidRPr="00405CE1">
        <w:rPr>
          <w:rFonts w:ascii="Arial" w:hAnsi="Arial" w:cs="Arial"/>
          <w:sz w:val="20"/>
        </w:rPr>
        <w:t xml:space="preserve">The following </w:t>
      </w:r>
      <w:r w:rsidR="005125C1" w:rsidRPr="00405CE1">
        <w:rPr>
          <w:rFonts w:ascii="Arial" w:hAnsi="Arial" w:cs="Arial"/>
          <w:sz w:val="20"/>
        </w:rPr>
        <w:t>Measure Application Type</w:t>
      </w:r>
      <w:r w:rsidRPr="00405CE1">
        <w:rPr>
          <w:rFonts w:ascii="Arial" w:hAnsi="Arial" w:cs="Arial"/>
          <w:sz w:val="20"/>
        </w:rPr>
        <w:t xml:space="preserve"> </w:t>
      </w:r>
      <w:r w:rsidR="0001052B" w:rsidRPr="00405CE1">
        <w:rPr>
          <w:rFonts w:ascii="Arial" w:hAnsi="Arial" w:cs="Arial"/>
          <w:sz w:val="20"/>
        </w:rPr>
        <w:t>is</w:t>
      </w:r>
      <w:r w:rsidR="0067139F" w:rsidRPr="00405CE1">
        <w:rPr>
          <w:rFonts w:ascii="Arial" w:hAnsi="Arial" w:cs="Arial"/>
          <w:sz w:val="20"/>
        </w:rPr>
        <w:t xml:space="preserve"> appropriate to th</w:t>
      </w:r>
      <w:r w:rsidR="00F81A75" w:rsidRPr="00405CE1">
        <w:rPr>
          <w:rFonts w:ascii="Arial" w:hAnsi="Arial" w:cs="Arial"/>
          <w:sz w:val="20"/>
        </w:rPr>
        <w:t>ese</w:t>
      </w:r>
      <w:r w:rsidR="0067139F" w:rsidRPr="00405CE1">
        <w:rPr>
          <w:rFonts w:ascii="Arial" w:hAnsi="Arial" w:cs="Arial"/>
          <w:sz w:val="20"/>
        </w:rPr>
        <w:t xml:space="preserve"> measure</w:t>
      </w:r>
      <w:r w:rsidR="00F81A75" w:rsidRPr="00405CE1">
        <w:rPr>
          <w:rFonts w:ascii="Arial" w:hAnsi="Arial" w:cs="Arial"/>
          <w:sz w:val="20"/>
        </w:rPr>
        <w:t>s</w:t>
      </w:r>
      <w:r w:rsidR="0067139F" w:rsidRPr="00405CE1">
        <w:rPr>
          <w:rFonts w:ascii="Arial" w:hAnsi="Arial" w:cs="Arial"/>
          <w:sz w:val="20"/>
        </w:rPr>
        <w:t>. The Measure Case Costs are:</w:t>
      </w:r>
    </w:p>
    <w:p w:rsidR="004C331D" w:rsidRDefault="004C33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9"/>
        <w:gridCol w:w="2162"/>
        <w:gridCol w:w="1228"/>
        <w:gridCol w:w="1314"/>
        <w:gridCol w:w="1295"/>
        <w:gridCol w:w="1457"/>
        <w:gridCol w:w="1091"/>
      </w:tblGrid>
      <w:tr w:rsidR="004B2B61" w:rsidRPr="00767D95" w:rsidTr="00355322">
        <w:tc>
          <w:tcPr>
            <w:tcW w:w="1029" w:type="dxa"/>
            <w:shd w:val="clear" w:color="auto" w:fill="auto"/>
          </w:tcPr>
          <w:p w:rsidR="0067139F" w:rsidRPr="00767D95" w:rsidRDefault="0067139F" w:rsidP="00B76887">
            <w:pPr>
              <w:rPr>
                <w:rFonts w:ascii="Arial" w:hAnsi="Arial" w:cs="Arial"/>
                <w:b/>
                <w:i/>
                <w:sz w:val="20"/>
                <w:szCs w:val="20"/>
              </w:rPr>
            </w:pPr>
            <w:r w:rsidRPr="00767D95">
              <w:rPr>
                <w:rFonts w:ascii="Arial" w:hAnsi="Arial" w:cs="Arial"/>
                <w:b/>
                <w:i/>
                <w:sz w:val="20"/>
                <w:szCs w:val="20"/>
              </w:rPr>
              <w:t>Measure Code</w:t>
            </w:r>
          </w:p>
        </w:tc>
        <w:tc>
          <w:tcPr>
            <w:tcW w:w="2162" w:type="dxa"/>
            <w:shd w:val="clear" w:color="auto" w:fill="auto"/>
          </w:tcPr>
          <w:p w:rsidR="0067139F" w:rsidRPr="00767D95" w:rsidRDefault="005125C1" w:rsidP="00B76887">
            <w:pPr>
              <w:rPr>
                <w:rFonts w:ascii="Arial" w:hAnsi="Arial" w:cs="Arial"/>
                <w:b/>
                <w:sz w:val="20"/>
                <w:szCs w:val="20"/>
              </w:rPr>
            </w:pPr>
            <w:r>
              <w:rPr>
                <w:rFonts w:ascii="Arial" w:hAnsi="Arial" w:cs="Arial"/>
                <w:b/>
                <w:sz w:val="20"/>
                <w:szCs w:val="20"/>
              </w:rPr>
              <w:t>Measure Application Type</w:t>
            </w:r>
          </w:p>
        </w:tc>
        <w:tc>
          <w:tcPr>
            <w:tcW w:w="1228" w:type="dxa"/>
            <w:shd w:val="clear" w:color="auto" w:fill="auto"/>
          </w:tcPr>
          <w:p w:rsidR="0067139F" w:rsidRPr="00767D95" w:rsidRDefault="0067139F" w:rsidP="00B76887">
            <w:pPr>
              <w:rPr>
                <w:rFonts w:ascii="Arial" w:hAnsi="Arial" w:cs="Arial"/>
                <w:b/>
                <w:sz w:val="20"/>
                <w:szCs w:val="20"/>
              </w:rPr>
            </w:pPr>
            <w:r>
              <w:rPr>
                <w:rFonts w:ascii="Arial" w:hAnsi="Arial" w:cs="Arial"/>
                <w:b/>
                <w:sz w:val="20"/>
                <w:szCs w:val="20"/>
              </w:rPr>
              <w:t>Measure</w:t>
            </w:r>
          </w:p>
        </w:tc>
        <w:tc>
          <w:tcPr>
            <w:tcW w:w="1314"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Equipment Cost</w:t>
            </w:r>
          </w:p>
        </w:tc>
        <w:tc>
          <w:tcPr>
            <w:tcW w:w="1295"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Labor / Installation Cost</w:t>
            </w:r>
          </w:p>
        </w:tc>
        <w:tc>
          <w:tcPr>
            <w:tcW w:w="1457"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Maintenance / Other Cost</w:t>
            </w:r>
          </w:p>
        </w:tc>
        <w:tc>
          <w:tcPr>
            <w:tcW w:w="1091" w:type="dxa"/>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Total Measure Case Cost</w:t>
            </w:r>
          </w:p>
        </w:tc>
      </w:tr>
      <w:tr w:rsidR="004B2B61" w:rsidRPr="00767D95" w:rsidTr="00355322">
        <w:tc>
          <w:tcPr>
            <w:tcW w:w="1029"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R160</w:t>
            </w:r>
          </w:p>
        </w:tc>
        <w:tc>
          <w:tcPr>
            <w:tcW w:w="2162"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REA</w:t>
            </w:r>
          </w:p>
        </w:tc>
        <w:tc>
          <w:tcPr>
            <w:tcW w:w="1228"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Add Door</w:t>
            </w:r>
            <w:r w:rsidR="00D934A8">
              <w:rPr>
                <w:rFonts w:ascii="Arial" w:hAnsi="Arial" w:cs="Arial"/>
                <w:sz w:val="20"/>
                <w:szCs w:val="20"/>
              </w:rPr>
              <w:t xml:space="preserve"> – Standard Fan Baseline</w:t>
            </w:r>
          </w:p>
        </w:tc>
        <w:tc>
          <w:tcPr>
            <w:tcW w:w="1314"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$716.43</w:t>
            </w:r>
          </w:p>
        </w:tc>
        <w:tc>
          <w:tcPr>
            <w:tcW w:w="1295"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$98.95</w:t>
            </w:r>
          </w:p>
        </w:tc>
        <w:tc>
          <w:tcPr>
            <w:tcW w:w="1457" w:type="dxa"/>
            <w:shd w:val="clear" w:color="auto" w:fill="auto"/>
          </w:tcPr>
          <w:p w:rsidR="0067139F" w:rsidRPr="00767D95" w:rsidRDefault="0067139F" w:rsidP="00B76887">
            <w:pPr>
              <w:rPr>
                <w:rFonts w:ascii="Arial" w:hAnsi="Arial" w:cs="Arial"/>
                <w:sz w:val="20"/>
                <w:szCs w:val="20"/>
              </w:rPr>
            </w:pPr>
            <w:r>
              <w:rPr>
                <w:rFonts w:ascii="Arial" w:hAnsi="Arial" w:cs="Arial"/>
                <w:sz w:val="20"/>
                <w:szCs w:val="20"/>
              </w:rPr>
              <w:t>$0.00</w:t>
            </w:r>
          </w:p>
        </w:tc>
        <w:tc>
          <w:tcPr>
            <w:tcW w:w="1091" w:type="dxa"/>
            <w:shd w:val="clear" w:color="auto" w:fill="auto"/>
          </w:tcPr>
          <w:p w:rsidR="0067139F" w:rsidRPr="00767D95" w:rsidRDefault="0067139F" w:rsidP="0067139F">
            <w:pPr>
              <w:rPr>
                <w:rFonts w:ascii="Arial" w:hAnsi="Arial" w:cs="Arial"/>
                <w:sz w:val="20"/>
                <w:szCs w:val="20"/>
              </w:rPr>
            </w:pPr>
            <w:r>
              <w:rPr>
                <w:rFonts w:ascii="Arial" w:hAnsi="Arial" w:cs="Arial"/>
                <w:sz w:val="20"/>
                <w:szCs w:val="20"/>
              </w:rPr>
              <w:t>$815.38</w:t>
            </w:r>
          </w:p>
        </w:tc>
      </w:tr>
      <w:tr w:rsidR="004B2B61" w:rsidRPr="00767D95" w:rsidTr="00355322">
        <w:tc>
          <w:tcPr>
            <w:tcW w:w="1029" w:type="dxa"/>
            <w:shd w:val="clear" w:color="auto" w:fill="auto"/>
          </w:tcPr>
          <w:p w:rsidR="001D2372" w:rsidRDefault="001D2372" w:rsidP="00B76887">
            <w:pPr>
              <w:rPr>
                <w:rFonts w:ascii="Arial" w:hAnsi="Arial" w:cs="Arial"/>
                <w:sz w:val="20"/>
                <w:szCs w:val="20"/>
              </w:rPr>
            </w:pPr>
            <w:r>
              <w:rPr>
                <w:rFonts w:ascii="Arial" w:hAnsi="Arial" w:cs="Arial"/>
                <w:sz w:val="20"/>
                <w:szCs w:val="20"/>
              </w:rPr>
              <w:t>HB30</w:t>
            </w:r>
          </w:p>
        </w:tc>
        <w:tc>
          <w:tcPr>
            <w:tcW w:w="2162" w:type="dxa"/>
            <w:shd w:val="clear" w:color="auto" w:fill="auto"/>
          </w:tcPr>
          <w:p w:rsidR="001D2372" w:rsidRDefault="001D2372" w:rsidP="00B76887">
            <w:pPr>
              <w:rPr>
                <w:rFonts w:ascii="Arial" w:hAnsi="Arial" w:cs="Arial"/>
                <w:sz w:val="20"/>
                <w:szCs w:val="20"/>
              </w:rPr>
            </w:pPr>
            <w:r>
              <w:rPr>
                <w:rFonts w:ascii="Arial" w:hAnsi="Arial" w:cs="Arial"/>
                <w:sz w:val="20"/>
                <w:szCs w:val="20"/>
              </w:rPr>
              <w:t>REA</w:t>
            </w:r>
          </w:p>
        </w:tc>
        <w:tc>
          <w:tcPr>
            <w:tcW w:w="1228" w:type="dxa"/>
            <w:shd w:val="clear" w:color="auto" w:fill="auto"/>
          </w:tcPr>
          <w:p w:rsidR="001D2372" w:rsidRDefault="001D2372" w:rsidP="00B76887">
            <w:pPr>
              <w:rPr>
                <w:rFonts w:ascii="Arial" w:hAnsi="Arial" w:cs="Arial"/>
                <w:sz w:val="20"/>
                <w:szCs w:val="20"/>
              </w:rPr>
            </w:pPr>
            <w:r>
              <w:rPr>
                <w:rFonts w:ascii="Arial" w:hAnsi="Arial" w:cs="Arial"/>
                <w:sz w:val="20"/>
                <w:szCs w:val="20"/>
              </w:rPr>
              <w:t>Add Door – Efficient Motor Baseline</w:t>
            </w:r>
          </w:p>
        </w:tc>
        <w:tc>
          <w:tcPr>
            <w:tcW w:w="1314" w:type="dxa"/>
            <w:shd w:val="clear" w:color="auto" w:fill="auto"/>
          </w:tcPr>
          <w:p w:rsidR="001D2372" w:rsidRPr="00767D95" w:rsidRDefault="001D2372" w:rsidP="00C52450">
            <w:pPr>
              <w:rPr>
                <w:rFonts w:ascii="Arial" w:hAnsi="Arial" w:cs="Arial"/>
                <w:sz w:val="20"/>
                <w:szCs w:val="20"/>
              </w:rPr>
            </w:pPr>
            <w:r>
              <w:rPr>
                <w:rFonts w:ascii="Arial" w:hAnsi="Arial" w:cs="Arial"/>
                <w:sz w:val="20"/>
                <w:szCs w:val="20"/>
              </w:rPr>
              <w:t>$716.43</w:t>
            </w:r>
          </w:p>
        </w:tc>
        <w:tc>
          <w:tcPr>
            <w:tcW w:w="1295" w:type="dxa"/>
            <w:shd w:val="clear" w:color="auto" w:fill="auto"/>
          </w:tcPr>
          <w:p w:rsidR="001D2372" w:rsidRPr="00767D95" w:rsidRDefault="001D2372" w:rsidP="00C52450">
            <w:pPr>
              <w:rPr>
                <w:rFonts w:ascii="Arial" w:hAnsi="Arial" w:cs="Arial"/>
                <w:sz w:val="20"/>
                <w:szCs w:val="20"/>
              </w:rPr>
            </w:pPr>
            <w:r>
              <w:rPr>
                <w:rFonts w:ascii="Arial" w:hAnsi="Arial" w:cs="Arial"/>
                <w:sz w:val="20"/>
                <w:szCs w:val="20"/>
              </w:rPr>
              <w:t>$98.95</w:t>
            </w:r>
          </w:p>
        </w:tc>
        <w:tc>
          <w:tcPr>
            <w:tcW w:w="1457" w:type="dxa"/>
            <w:shd w:val="clear" w:color="auto" w:fill="auto"/>
          </w:tcPr>
          <w:p w:rsidR="001D2372" w:rsidRPr="00767D95" w:rsidRDefault="001D2372" w:rsidP="00C52450">
            <w:pPr>
              <w:rPr>
                <w:rFonts w:ascii="Arial" w:hAnsi="Arial" w:cs="Arial"/>
                <w:sz w:val="20"/>
                <w:szCs w:val="20"/>
              </w:rPr>
            </w:pPr>
            <w:r>
              <w:rPr>
                <w:rFonts w:ascii="Arial" w:hAnsi="Arial" w:cs="Arial"/>
                <w:sz w:val="20"/>
                <w:szCs w:val="20"/>
              </w:rPr>
              <w:t>$0.00</w:t>
            </w:r>
          </w:p>
        </w:tc>
        <w:tc>
          <w:tcPr>
            <w:tcW w:w="1091" w:type="dxa"/>
            <w:shd w:val="clear" w:color="auto" w:fill="auto"/>
          </w:tcPr>
          <w:p w:rsidR="001D2372" w:rsidRPr="00767D95" w:rsidRDefault="001D2372" w:rsidP="00C52450">
            <w:pPr>
              <w:rPr>
                <w:rFonts w:ascii="Arial" w:hAnsi="Arial" w:cs="Arial"/>
                <w:sz w:val="20"/>
                <w:szCs w:val="20"/>
              </w:rPr>
            </w:pPr>
            <w:r>
              <w:rPr>
                <w:rFonts w:ascii="Arial" w:hAnsi="Arial" w:cs="Arial"/>
                <w:sz w:val="20"/>
                <w:szCs w:val="20"/>
              </w:rPr>
              <w:t>$815.38</w:t>
            </w:r>
          </w:p>
        </w:tc>
      </w:tr>
    </w:tbl>
    <w:p w:rsidR="00D57E77" w:rsidRDefault="0067139F" w:rsidP="00F55847">
      <w:pPr>
        <w:rPr>
          <w:rFonts w:ascii="Arial" w:hAnsi="Arial" w:cs="Arial"/>
          <w:i/>
          <w:sz w:val="20"/>
          <w:szCs w:val="20"/>
        </w:rPr>
      </w:pPr>
      <w:r w:rsidRPr="00DD1C47">
        <w:rPr>
          <w:rFonts w:ascii="Arial" w:hAnsi="Arial" w:cs="Arial"/>
          <w:i/>
          <w:sz w:val="20"/>
          <w:szCs w:val="20"/>
        </w:rPr>
        <w:t>All costs are noted as $ per measure unit</w:t>
      </w:r>
    </w:p>
    <w:p w:rsidR="00D57E77" w:rsidRDefault="00D57E77">
      <w:pPr>
        <w:rPr>
          <w:rFonts w:ascii="Arial" w:hAnsi="Arial" w:cs="Arial"/>
          <w:i/>
          <w:sz w:val="20"/>
          <w:szCs w:val="20"/>
        </w:rPr>
      </w:pPr>
      <w:r>
        <w:rPr>
          <w:rFonts w:ascii="Arial" w:hAnsi="Arial" w:cs="Arial"/>
          <w:i/>
          <w:sz w:val="20"/>
          <w:szCs w:val="20"/>
        </w:rPr>
        <w:br w:type="page"/>
      </w:r>
    </w:p>
    <w:p w:rsidR="0030550A" w:rsidRDefault="0030550A" w:rsidP="002E0043">
      <w:pPr>
        <w:pStyle w:val="Heading2"/>
        <w:keepNext w:val="0"/>
      </w:pPr>
      <w:bookmarkStart w:id="101" w:name="_Toc387914066"/>
      <w:bookmarkStart w:id="102" w:name="_Toc390350004"/>
      <w:r>
        <w:lastRenderedPageBreak/>
        <w:t>4.3 Incremental &amp; Full Measure Costs</w:t>
      </w:r>
      <w:bookmarkEnd w:id="101"/>
      <w:bookmarkEnd w:id="102"/>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1D2372" w:rsidRPr="003F57BD" w:rsidTr="00C52450">
        <w:trPr>
          <w:trHeight w:val="255"/>
        </w:trPr>
        <w:tc>
          <w:tcPr>
            <w:tcW w:w="1305" w:type="dxa"/>
            <w:shd w:val="clear" w:color="auto" w:fill="0D0D0D"/>
            <w:noWrap/>
            <w:vAlign w:val="bottom"/>
          </w:tcPr>
          <w:p w:rsidR="001D2372" w:rsidRPr="00AD1559" w:rsidRDefault="001D2372" w:rsidP="00C52450">
            <w:pPr>
              <w:jc w:val="center"/>
              <w:rPr>
                <w:rFonts w:ascii="Arial" w:hAnsi="Arial" w:cs="Arial"/>
                <w:b/>
                <w:sz w:val="20"/>
                <w:szCs w:val="20"/>
              </w:rPr>
            </w:pPr>
            <w:r w:rsidRPr="00AD1559">
              <w:rPr>
                <w:rFonts w:ascii="Arial" w:hAnsi="Arial" w:cs="Arial"/>
                <w:b/>
                <w:sz w:val="20"/>
                <w:szCs w:val="20"/>
              </w:rPr>
              <w:t>Measure Application Type</w:t>
            </w:r>
          </w:p>
        </w:tc>
        <w:tc>
          <w:tcPr>
            <w:tcW w:w="3213" w:type="dxa"/>
            <w:shd w:val="clear" w:color="auto" w:fill="0D0D0D"/>
            <w:vAlign w:val="bottom"/>
          </w:tcPr>
          <w:p w:rsidR="001D2372" w:rsidRPr="00AD1559" w:rsidRDefault="001D2372" w:rsidP="00C52450">
            <w:pPr>
              <w:jc w:val="center"/>
              <w:rPr>
                <w:rFonts w:ascii="Arial" w:hAnsi="Arial" w:cs="Arial"/>
                <w:b/>
                <w:sz w:val="20"/>
                <w:szCs w:val="20"/>
              </w:rPr>
            </w:pPr>
            <w:r w:rsidRPr="00AD1559">
              <w:rPr>
                <w:rFonts w:ascii="Arial" w:hAnsi="Arial" w:cs="Arial"/>
                <w:b/>
                <w:sz w:val="20"/>
                <w:szCs w:val="20"/>
              </w:rPr>
              <w:t>Full Measure Cost</w:t>
            </w:r>
          </w:p>
          <w:p w:rsidR="001D2372" w:rsidRPr="00AD1559" w:rsidRDefault="001D2372" w:rsidP="00C52450">
            <w:pPr>
              <w:jc w:val="center"/>
              <w:rPr>
                <w:rFonts w:ascii="Arial" w:hAnsi="Arial" w:cs="Arial"/>
                <w:b/>
                <w:sz w:val="20"/>
                <w:szCs w:val="20"/>
              </w:rPr>
            </w:pPr>
            <w:r w:rsidRPr="00AD1559">
              <w:rPr>
                <w:rFonts w:ascii="Arial" w:hAnsi="Arial" w:cs="Arial"/>
                <w:b/>
                <w:sz w:val="20"/>
                <w:szCs w:val="20"/>
              </w:rPr>
              <w:t>(RUL Period/First Baseline)</w:t>
            </w:r>
          </w:p>
        </w:tc>
        <w:tc>
          <w:tcPr>
            <w:tcW w:w="2070" w:type="dxa"/>
            <w:shd w:val="clear" w:color="auto" w:fill="0D0D0D"/>
            <w:noWrap/>
            <w:vAlign w:val="bottom"/>
          </w:tcPr>
          <w:p w:rsidR="001D2372" w:rsidRPr="00AD1559" w:rsidRDefault="001D2372" w:rsidP="00C52450">
            <w:pPr>
              <w:jc w:val="center"/>
              <w:rPr>
                <w:rFonts w:ascii="Arial" w:hAnsi="Arial" w:cs="Arial"/>
                <w:b/>
                <w:sz w:val="20"/>
                <w:szCs w:val="20"/>
              </w:rPr>
            </w:pPr>
            <w:r w:rsidRPr="00AD1559">
              <w:rPr>
                <w:rFonts w:ascii="Arial" w:hAnsi="Arial" w:cs="Arial"/>
                <w:b/>
                <w:sz w:val="20"/>
                <w:szCs w:val="20"/>
              </w:rPr>
              <w:t>Full Measure Cost</w:t>
            </w:r>
          </w:p>
          <w:p w:rsidR="001D2372" w:rsidRPr="00AD1559" w:rsidRDefault="001D2372" w:rsidP="00C52450">
            <w:pPr>
              <w:jc w:val="center"/>
              <w:rPr>
                <w:rFonts w:ascii="Arial" w:hAnsi="Arial" w:cs="Arial"/>
                <w:b/>
                <w:sz w:val="20"/>
                <w:szCs w:val="20"/>
              </w:rPr>
            </w:pPr>
            <w:r w:rsidRPr="00AD1559">
              <w:rPr>
                <w:rFonts w:ascii="Arial" w:hAnsi="Arial" w:cs="Arial"/>
                <w:b/>
                <w:sz w:val="20"/>
                <w:szCs w:val="20"/>
              </w:rPr>
              <w:t>(EUL-RUL Period/ Second Baseline)</w:t>
            </w:r>
          </w:p>
        </w:tc>
        <w:tc>
          <w:tcPr>
            <w:tcW w:w="2970" w:type="dxa"/>
            <w:shd w:val="clear" w:color="auto" w:fill="0D0D0D"/>
            <w:noWrap/>
            <w:vAlign w:val="bottom"/>
          </w:tcPr>
          <w:p w:rsidR="001D2372" w:rsidRPr="00AD1559" w:rsidRDefault="001D2372" w:rsidP="00C52450">
            <w:pPr>
              <w:jc w:val="center"/>
              <w:rPr>
                <w:rFonts w:ascii="Arial" w:hAnsi="Arial" w:cs="Arial"/>
                <w:b/>
                <w:sz w:val="20"/>
                <w:szCs w:val="20"/>
              </w:rPr>
            </w:pPr>
            <w:r w:rsidRPr="00AD1559">
              <w:rPr>
                <w:rFonts w:ascii="Arial" w:hAnsi="Arial" w:cs="Arial"/>
                <w:b/>
                <w:sz w:val="20"/>
                <w:szCs w:val="20"/>
              </w:rPr>
              <w:t>Incremental Measure Cost</w:t>
            </w:r>
          </w:p>
        </w:tc>
      </w:tr>
      <w:tr w:rsidR="001D2372" w:rsidRPr="003F57BD" w:rsidTr="00C52450">
        <w:trPr>
          <w:trHeight w:val="255"/>
        </w:trPr>
        <w:tc>
          <w:tcPr>
            <w:tcW w:w="1305" w:type="dxa"/>
            <w:shd w:val="pct20" w:color="000000" w:fill="FFFFFF"/>
            <w:noWrap/>
            <w:vAlign w:val="bottom"/>
          </w:tcPr>
          <w:p w:rsidR="001D2372" w:rsidRPr="00AD1559" w:rsidRDefault="001D2372" w:rsidP="00C52450">
            <w:pPr>
              <w:jc w:val="center"/>
              <w:rPr>
                <w:rFonts w:ascii="Arial" w:hAnsi="Arial" w:cs="Arial"/>
                <w:sz w:val="20"/>
                <w:szCs w:val="20"/>
              </w:rPr>
            </w:pPr>
            <w:r w:rsidRPr="00AD1559">
              <w:rPr>
                <w:rFonts w:ascii="Arial" w:hAnsi="Arial" w:cs="Arial"/>
                <w:sz w:val="20"/>
                <w:szCs w:val="20"/>
              </w:rPr>
              <w:t>REA</w:t>
            </w:r>
          </w:p>
        </w:tc>
        <w:tc>
          <w:tcPr>
            <w:tcW w:w="3213" w:type="dxa"/>
            <w:shd w:val="pct20" w:color="000000" w:fill="FFFFFF"/>
            <w:vAlign w:val="bottom"/>
          </w:tcPr>
          <w:p w:rsidR="001D2372" w:rsidRPr="00AD1559" w:rsidRDefault="001D2372" w:rsidP="00C52450">
            <w:pPr>
              <w:jc w:val="center"/>
              <w:rPr>
                <w:rFonts w:ascii="Arial" w:hAnsi="Arial" w:cs="Arial"/>
                <w:sz w:val="20"/>
                <w:szCs w:val="20"/>
              </w:rPr>
            </w:pPr>
            <w:r w:rsidRPr="00AD1559">
              <w:rPr>
                <w:rFonts w:ascii="Arial" w:hAnsi="Arial" w:cs="Arial"/>
                <w:sz w:val="20"/>
                <w:szCs w:val="20"/>
              </w:rPr>
              <w:t xml:space="preserve">Measure Equipment Cost </w:t>
            </w:r>
          </w:p>
          <w:p w:rsidR="001D2372" w:rsidRPr="00AD1559" w:rsidRDefault="001D2372" w:rsidP="00C52450">
            <w:pPr>
              <w:jc w:val="center"/>
              <w:rPr>
                <w:rFonts w:ascii="Arial" w:hAnsi="Arial" w:cs="Arial"/>
                <w:sz w:val="20"/>
                <w:szCs w:val="20"/>
              </w:rPr>
            </w:pPr>
            <w:r w:rsidRPr="00AD1559">
              <w:rPr>
                <w:rFonts w:ascii="Arial" w:hAnsi="Arial" w:cs="Arial"/>
                <w:sz w:val="20"/>
                <w:szCs w:val="20"/>
              </w:rPr>
              <w:t>+Measure Labor Cost</w:t>
            </w:r>
          </w:p>
        </w:tc>
        <w:tc>
          <w:tcPr>
            <w:tcW w:w="2070" w:type="dxa"/>
            <w:shd w:val="pct20" w:color="000000" w:fill="FFFFFF"/>
            <w:noWrap/>
            <w:vAlign w:val="bottom"/>
          </w:tcPr>
          <w:p w:rsidR="001D2372" w:rsidRPr="00AD1559" w:rsidRDefault="001D2372" w:rsidP="00C52450">
            <w:pPr>
              <w:jc w:val="center"/>
              <w:rPr>
                <w:rFonts w:ascii="Arial" w:hAnsi="Arial" w:cs="Arial"/>
                <w:sz w:val="20"/>
                <w:szCs w:val="20"/>
              </w:rPr>
            </w:pPr>
            <w:r w:rsidRPr="00AD1559">
              <w:rPr>
                <w:rFonts w:ascii="Arial" w:hAnsi="Arial" w:cs="Arial"/>
                <w:sz w:val="20"/>
                <w:szCs w:val="20"/>
              </w:rPr>
              <w:t>N/A</w:t>
            </w:r>
          </w:p>
        </w:tc>
        <w:tc>
          <w:tcPr>
            <w:tcW w:w="2970" w:type="dxa"/>
            <w:shd w:val="pct20" w:color="000000" w:fill="FFFFFF"/>
            <w:noWrap/>
            <w:vAlign w:val="bottom"/>
          </w:tcPr>
          <w:p w:rsidR="001D2372" w:rsidRPr="00AD1559" w:rsidRDefault="001D2372" w:rsidP="00C52450">
            <w:pPr>
              <w:jc w:val="center"/>
              <w:rPr>
                <w:rFonts w:ascii="Arial" w:hAnsi="Arial" w:cs="Arial"/>
                <w:sz w:val="20"/>
                <w:szCs w:val="20"/>
              </w:rPr>
            </w:pPr>
            <w:r w:rsidRPr="00AD1559">
              <w:rPr>
                <w:rFonts w:ascii="Arial" w:hAnsi="Arial" w:cs="Arial"/>
                <w:sz w:val="20"/>
                <w:szCs w:val="20"/>
              </w:rPr>
              <w:t>Measure Equipment Cost + Measure Labor Cost</w:t>
            </w:r>
          </w:p>
        </w:tc>
      </w:tr>
    </w:tbl>
    <w:p w:rsidR="001D2372" w:rsidRDefault="001D2372" w:rsidP="001D2372"/>
    <w:p w:rsidR="003F57BD" w:rsidRPr="003F57BD" w:rsidRDefault="003F57BD" w:rsidP="00663A00">
      <w:pPr>
        <w:rPr>
          <w:rFonts w:ascii="Arial" w:hAnsi="Arial" w:cs="Arial"/>
          <w:i/>
        </w:rPr>
      </w:pPr>
    </w:p>
    <w:p w:rsidR="003F57BD" w:rsidRPr="003F57BD" w:rsidRDefault="003F57BD" w:rsidP="00665569">
      <w:pPr>
        <w:pStyle w:val="Heading3"/>
      </w:pPr>
      <w:bookmarkStart w:id="103" w:name="_Toc387914067"/>
      <w:bookmarkStart w:id="104" w:name="_Toc390350005"/>
      <w:r w:rsidRPr="003F57BD">
        <w:t xml:space="preserve">4.3.1 </w:t>
      </w:r>
      <w:r w:rsidR="00355322">
        <w:t>Full</w:t>
      </w:r>
      <w:r w:rsidR="00355322" w:rsidRPr="003F57BD">
        <w:t xml:space="preserve"> </w:t>
      </w:r>
      <w:r w:rsidRPr="003F57BD">
        <w:t>Measure Cost</w:t>
      </w:r>
      <w:bookmarkEnd w:id="103"/>
      <w:bookmarkEnd w:id="104"/>
    </w:p>
    <w:p w:rsidR="0067139F" w:rsidRPr="00405CE1" w:rsidRDefault="00355322" w:rsidP="0067139F">
      <w:pPr>
        <w:rPr>
          <w:rFonts w:ascii="Arial" w:hAnsi="Arial" w:cs="Arial"/>
          <w:sz w:val="20"/>
        </w:rPr>
      </w:pPr>
      <w:r w:rsidRPr="00405CE1">
        <w:rPr>
          <w:rFonts w:ascii="Arial" w:hAnsi="Arial" w:cs="Arial"/>
          <w:sz w:val="20"/>
        </w:rPr>
        <w:t xml:space="preserve">Full </w:t>
      </w:r>
      <w:r w:rsidR="0067139F" w:rsidRPr="00405CE1">
        <w:rPr>
          <w:rFonts w:ascii="Arial" w:hAnsi="Arial" w:cs="Arial"/>
          <w:sz w:val="20"/>
        </w:rPr>
        <w:t xml:space="preserve">Measure Cost is the cost to install an energy efficient measure per the CPUC calculators. This definition implies a different meaning depending on the </w:t>
      </w:r>
      <w:r w:rsidRPr="00405CE1">
        <w:rPr>
          <w:rFonts w:ascii="Arial" w:hAnsi="Arial" w:cs="Arial"/>
          <w:sz w:val="20"/>
        </w:rPr>
        <w:t xml:space="preserve">Measure Application </w:t>
      </w:r>
      <w:r w:rsidR="00982B9A">
        <w:rPr>
          <w:rFonts w:ascii="Arial" w:hAnsi="Arial" w:cs="Arial"/>
          <w:sz w:val="20"/>
        </w:rPr>
        <w:t>type.</w:t>
      </w:r>
    </w:p>
    <w:p w:rsidR="0067139F" w:rsidRPr="00405CE1" w:rsidRDefault="0067139F" w:rsidP="0067139F">
      <w:pPr>
        <w:rPr>
          <w:rFonts w:ascii="Arial" w:hAnsi="Arial" w:cs="Arial"/>
          <w:sz w:val="20"/>
        </w:rPr>
      </w:pPr>
    </w:p>
    <w:p w:rsidR="0067139F" w:rsidRPr="00405CE1" w:rsidRDefault="0067139F" w:rsidP="0067139F">
      <w:pPr>
        <w:rPr>
          <w:rFonts w:ascii="Arial" w:hAnsi="Arial" w:cs="Arial"/>
          <w:sz w:val="20"/>
        </w:rPr>
      </w:pPr>
      <w:r w:rsidRPr="00405CE1">
        <w:rPr>
          <w:rFonts w:ascii="Arial" w:hAnsi="Arial" w:cs="Arial"/>
          <w:sz w:val="20"/>
        </w:rPr>
        <w:t>This</w:t>
      </w:r>
      <w:r w:rsidR="0001052B" w:rsidRPr="00405CE1">
        <w:rPr>
          <w:rFonts w:ascii="Arial" w:hAnsi="Arial" w:cs="Arial"/>
          <w:sz w:val="20"/>
        </w:rPr>
        <w:t xml:space="preserve"> </w:t>
      </w:r>
      <w:r w:rsidR="00355322" w:rsidRPr="00405CE1">
        <w:rPr>
          <w:rFonts w:ascii="Arial" w:hAnsi="Arial" w:cs="Arial"/>
          <w:sz w:val="20"/>
        </w:rPr>
        <w:t>Measure Application</w:t>
      </w:r>
      <w:r w:rsidRPr="00405CE1">
        <w:rPr>
          <w:rFonts w:ascii="Arial" w:hAnsi="Arial" w:cs="Arial"/>
          <w:sz w:val="20"/>
        </w:rPr>
        <w:t xml:space="preserve"> </w:t>
      </w:r>
      <w:r w:rsidR="00603629" w:rsidRPr="00405CE1">
        <w:rPr>
          <w:rFonts w:ascii="Arial" w:hAnsi="Arial" w:cs="Arial"/>
          <w:sz w:val="20"/>
        </w:rPr>
        <w:t>T</w:t>
      </w:r>
      <w:r w:rsidRPr="00405CE1">
        <w:rPr>
          <w:rFonts w:ascii="Arial" w:hAnsi="Arial" w:cs="Arial"/>
          <w:sz w:val="20"/>
        </w:rPr>
        <w:t>ype is REA</w:t>
      </w:r>
      <w:r w:rsidR="00E6019A" w:rsidRPr="00405CE1">
        <w:rPr>
          <w:rFonts w:ascii="Arial" w:hAnsi="Arial" w:cs="Arial"/>
          <w:sz w:val="20"/>
        </w:rPr>
        <w:t xml:space="preserve"> for a single baseline period, </w:t>
      </w:r>
      <w:r w:rsidRPr="00405CE1">
        <w:rPr>
          <w:rFonts w:ascii="Arial" w:hAnsi="Arial" w:cs="Arial"/>
          <w:sz w:val="20"/>
        </w:rPr>
        <w:t xml:space="preserve">so the </w:t>
      </w:r>
      <w:r w:rsidR="00355322" w:rsidRPr="00405CE1">
        <w:rPr>
          <w:rFonts w:ascii="Arial" w:hAnsi="Arial" w:cs="Arial"/>
          <w:sz w:val="20"/>
        </w:rPr>
        <w:t xml:space="preserve">Full </w:t>
      </w:r>
      <w:r w:rsidRPr="00405CE1">
        <w:rPr>
          <w:rFonts w:ascii="Arial" w:hAnsi="Arial" w:cs="Arial"/>
          <w:sz w:val="20"/>
        </w:rPr>
        <w:t>Measure Cost (</w:t>
      </w:r>
      <w:r w:rsidR="00355322" w:rsidRPr="00405CE1">
        <w:rPr>
          <w:rFonts w:ascii="Arial" w:hAnsi="Arial" w:cs="Arial"/>
          <w:sz w:val="20"/>
        </w:rPr>
        <w:t>F</w:t>
      </w:r>
      <w:r w:rsidRPr="00405CE1">
        <w:rPr>
          <w:rFonts w:ascii="Arial" w:hAnsi="Arial" w:cs="Arial"/>
          <w:sz w:val="20"/>
        </w:rPr>
        <w:t>MC) is represented by the equation below:</w:t>
      </w:r>
    </w:p>
    <w:p w:rsidR="0067139F" w:rsidRPr="00405CE1" w:rsidRDefault="0067139F" w:rsidP="0067139F">
      <w:pPr>
        <w:rPr>
          <w:rFonts w:ascii="Arial" w:hAnsi="Arial" w:cs="Arial"/>
          <w:sz w:val="20"/>
        </w:rPr>
      </w:pPr>
    </w:p>
    <w:p w:rsidR="0067139F" w:rsidRPr="00405CE1" w:rsidRDefault="00355322" w:rsidP="00405CE1">
      <w:pPr>
        <w:rPr>
          <w:rFonts w:ascii="Arial" w:hAnsi="Arial" w:cs="Arial"/>
          <w:sz w:val="20"/>
        </w:rPr>
      </w:pPr>
      <w:r w:rsidRPr="00405CE1">
        <w:rPr>
          <w:rFonts w:ascii="Arial" w:hAnsi="Arial" w:cs="Arial"/>
          <w:sz w:val="20"/>
        </w:rPr>
        <w:t xml:space="preserve">FMC </w:t>
      </w:r>
      <w:r w:rsidR="0067139F" w:rsidRPr="00405CE1">
        <w:rPr>
          <w:rFonts w:ascii="Arial" w:hAnsi="Arial" w:cs="Arial"/>
          <w:sz w:val="20"/>
        </w:rPr>
        <w:t>= Measure Equipment Cost + Measure Labor Cost</w:t>
      </w:r>
    </w:p>
    <w:p w:rsidR="0067139F" w:rsidRPr="00405CE1" w:rsidRDefault="0067139F" w:rsidP="0067139F">
      <w:pPr>
        <w:rPr>
          <w:rFonts w:ascii="Arial" w:hAnsi="Arial" w:cs="Arial"/>
          <w:sz w:val="20"/>
        </w:rPr>
      </w:pPr>
    </w:p>
    <w:p w:rsidR="0067139F" w:rsidRPr="00405CE1" w:rsidRDefault="00355322" w:rsidP="00405CE1">
      <w:pPr>
        <w:rPr>
          <w:rFonts w:ascii="Arial" w:hAnsi="Arial" w:cs="Arial"/>
          <w:sz w:val="20"/>
        </w:rPr>
      </w:pPr>
      <w:r w:rsidRPr="00405CE1">
        <w:rPr>
          <w:rFonts w:ascii="Arial" w:hAnsi="Arial" w:cs="Arial"/>
          <w:sz w:val="20"/>
        </w:rPr>
        <w:t xml:space="preserve">FMC </w:t>
      </w:r>
      <w:r w:rsidR="0067139F" w:rsidRPr="00405CE1">
        <w:rPr>
          <w:rFonts w:ascii="Arial" w:hAnsi="Arial" w:cs="Arial"/>
          <w:sz w:val="20"/>
        </w:rPr>
        <w:t>=$716.43   per Len-</w:t>
      </w:r>
      <w:proofErr w:type="spellStart"/>
      <w:proofErr w:type="gramStart"/>
      <w:r w:rsidR="0067139F" w:rsidRPr="00405CE1">
        <w:rPr>
          <w:rFonts w:ascii="Arial" w:hAnsi="Arial" w:cs="Arial"/>
          <w:sz w:val="20"/>
        </w:rPr>
        <w:t>ft</w:t>
      </w:r>
      <w:proofErr w:type="spellEnd"/>
      <w:r w:rsidR="0067139F" w:rsidRPr="00405CE1">
        <w:rPr>
          <w:rFonts w:ascii="Arial" w:hAnsi="Arial" w:cs="Arial"/>
          <w:sz w:val="20"/>
        </w:rPr>
        <w:t xml:space="preserve">  +</w:t>
      </w:r>
      <w:proofErr w:type="gramEnd"/>
      <w:r w:rsidR="0067139F" w:rsidRPr="00405CE1">
        <w:rPr>
          <w:rFonts w:ascii="Arial" w:hAnsi="Arial" w:cs="Arial"/>
          <w:sz w:val="20"/>
        </w:rPr>
        <w:t xml:space="preserve"> $98.95 per Len-</w:t>
      </w:r>
      <w:proofErr w:type="spellStart"/>
      <w:r w:rsidR="0067139F" w:rsidRPr="00405CE1">
        <w:rPr>
          <w:rFonts w:ascii="Arial" w:hAnsi="Arial" w:cs="Arial"/>
          <w:sz w:val="20"/>
        </w:rPr>
        <w:t>ft</w:t>
      </w:r>
      <w:proofErr w:type="spellEnd"/>
      <w:r w:rsidR="0067139F" w:rsidRPr="00405CE1">
        <w:rPr>
          <w:rFonts w:ascii="Arial" w:hAnsi="Arial" w:cs="Arial"/>
          <w:sz w:val="20"/>
        </w:rPr>
        <w:t xml:space="preserve"> = $815.38  per Len-</w:t>
      </w:r>
      <w:proofErr w:type="spellStart"/>
      <w:r w:rsidR="0067139F" w:rsidRPr="00405CE1">
        <w:rPr>
          <w:rFonts w:ascii="Arial" w:hAnsi="Arial" w:cs="Arial"/>
          <w:sz w:val="20"/>
        </w:rPr>
        <w:t>ft</w:t>
      </w:r>
      <w:proofErr w:type="spellEnd"/>
    </w:p>
    <w:p w:rsidR="003F57BD" w:rsidRPr="003F57BD" w:rsidRDefault="003F57BD" w:rsidP="003F57BD">
      <w:pPr>
        <w:rPr>
          <w:rFonts w:ascii="Arial" w:hAnsi="Arial" w:cs="Arial"/>
          <w:i/>
          <w:sz w:val="22"/>
          <w:szCs w:val="22"/>
        </w:rPr>
      </w:pPr>
    </w:p>
    <w:p w:rsidR="003F57BD" w:rsidRDefault="003F57BD" w:rsidP="00663A00">
      <w:pPr>
        <w:rPr>
          <w:i/>
        </w:rPr>
      </w:pPr>
    </w:p>
    <w:p w:rsidR="00A47BFE" w:rsidRPr="00665569" w:rsidRDefault="00665569" w:rsidP="00665569">
      <w:pPr>
        <w:pStyle w:val="Heading3"/>
      </w:pPr>
      <w:bookmarkStart w:id="105" w:name="_Toc387914068"/>
      <w:bookmarkStart w:id="106" w:name="_Toc390350006"/>
      <w:r>
        <w:t xml:space="preserve">4.3.2 </w:t>
      </w:r>
      <w:r w:rsidRPr="00665569">
        <w:t>Incremental Me</w:t>
      </w:r>
      <w:r w:rsidR="00841BEA">
        <w:t>a</w:t>
      </w:r>
      <w:r w:rsidRPr="00665569">
        <w:t>sure Costs</w:t>
      </w:r>
      <w:bookmarkEnd w:id="105"/>
      <w:bookmarkEnd w:id="106"/>
    </w:p>
    <w:p w:rsidR="0067139F" w:rsidRPr="00405CE1" w:rsidRDefault="0067139F" w:rsidP="0067139F">
      <w:pPr>
        <w:rPr>
          <w:rFonts w:ascii="Arial" w:hAnsi="Arial" w:cs="Arial"/>
          <w:sz w:val="20"/>
        </w:rPr>
      </w:pPr>
      <w:r w:rsidRPr="00405CE1">
        <w:rPr>
          <w:rFonts w:ascii="Arial" w:hAnsi="Arial" w:cs="Arial"/>
          <w:sz w:val="20"/>
        </w:rPr>
        <w:t xml:space="preserve">Incremental Measure Cost is the premium cost to install an energy efficient measure over a standard efficiency measure or code baseline measure.  While IMC has a </w:t>
      </w:r>
      <w:r w:rsidR="00603629" w:rsidRPr="00405CE1">
        <w:rPr>
          <w:rFonts w:ascii="Arial" w:hAnsi="Arial" w:cs="Arial"/>
          <w:sz w:val="20"/>
        </w:rPr>
        <w:t>straigh</w:t>
      </w:r>
      <w:r w:rsidR="00A11BE7">
        <w:rPr>
          <w:rFonts w:ascii="Arial" w:hAnsi="Arial" w:cs="Arial"/>
          <w:sz w:val="20"/>
        </w:rPr>
        <w:t>t</w:t>
      </w:r>
      <w:r w:rsidR="00603629" w:rsidRPr="00405CE1">
        <w:rPr>
          <w:rFonts w:ascii="Arial" w:hAnsi="Arial" w:cs="Arial"/>
          <w:sz w:val="20"/>
        </w:rPr>
        <w:t>forward</w:t>
      </w:r>
      <w:r w:rsidRPr="00405CE1">
        <w:rPr>
          <w:rFonts w:ascii="Arial" w:hAnsi="Arial" w:cs="Arial"/>
          <w:sz w:val="20"/>
        </w:rPr>
        <w:t xml:space="preserve"> definition depending on the </w:t>
      </w:r>
      <w:r w:rsidR="00603629" w:rsidRPr="00405CE1">
        <w:rPr>
          <w:rFonts w:ascii="Arial" w:hAnsi="Arial" w:cs="Arial"/>
          <w:sz w:val="20"/>
        </w:rPr>
        <w:t>Measure Application T</w:t>
      </w:r>
      <w:r w:rsidR="00982B9A">
        <w:rPr>
          <w:rFonts w:ascii="Arial" w:hAnsi="Arial" w:cs="Arial"/>
          <w:sz w:val="20"/>
        </w:rPr>
        <w:t>ype, the equation does vary.</w:t>
      </w:r>
    </w:p>
    <w:p w:rsidR="0067139F" w:rsidRPr="00405CE1" w:rsidRDefault="0067139F" w:rsidP="0067139F">
      <w:pPr>
        <w:rPr>
          <w:rFonts w:ascii="Arial" w:hAnsi="Arial" w:cs="Arial"/>
          <w:sz w:val="20"/>
        </w:rPr>
      </w:pPr>
    </w:p>
    <w:p w:rsidR="0067139F" w:rsidRPr="00405CE1" w:rsidRDefault="0067139F" w:rsidP="0067139F">
      <w:pPr>
        <w:rPr>
          <w:rFonts w:ascii="Arial" w:hAnsi="Arial" w:cs="Arial"/>
          <w:sz w:val="20"/>
        </w:rPr>
      </w:pPr>
      <w:r w:rsidRPr="00405CE1">
        <w:rPr>
          <w:rFonts w:ascii="Arial" w:hAnsi="Arial" w:cs="Arial"/>
          <w:sz w:val="20"/>
        </w:rPr>
        <w:t xml:space="preserve">This </w:t>
      </w:r>
      <w:r w:rsidR="00603629" w:rsidRPr="00405CE1">
        <w:rPr>
          <w:rFonts w:ascii="Arial" w:hAnsi="Arial" w:cs="Arial"/>
          <w:sz w:val="20"/>
        </w:rPr>
        <w:t>Measure Application Type</w:t>
      </w:r>
      <w:r w:rsidRPr="00405CE1">
        <w:rPr>
          <w:rFonts w:ascii="Arial" w:hAnsi="Arial" w:cs="Arial"/>
          <w:sz w:val="20"/>
        </w:rPr>
        <w:t xml:space="preserve"> is REA.</w:t>
      </w:r>
      <w:r w:rsidR="00603629" w:rsidRPr="00405CE1">
        <w:rPr>
          <w:rFonts w:ascii="Arial" w:hAnsi="Arial" w:cs="Arial"/>
          <w:sz w:val="20"/>
        </w:rPr>
        <w:t xml:space="preserve"> There is no base case to which to compare the measure, so t</w:t>
      </w:r>
      <w:r w:rsidRPr="00405CE1">
        <w:rPr>
          <w:rFonts w:ascii="Arial" w:hAnsi="Arial" w:cs="Arial"/>
          <w:sz w:val="20"/>
        </w:rPr>
        <w:t>he Incremental Measure Cost (IMC) is represented by the equation below</w:t>
      </w:r>
      <w:r w:rsidR="00603629" w:rsidRPr="00405CE1">
        <w:rPr>
          <w:rFonts w:ascii="Arial" w:hAnsi="Arial" w:cs="Arial"/>
          <w:sz w:val="20"/>
        </w:rPr>
        <w:t>:</w:t>
      </w:r>
    </w:p>
    <w:p w:rsidR="0067139F" w:rsidRPr="00405CE1" w:rsidRDefault="0067139F" w:rsidP="0067139F">
      <w:pPr>
        <w:rPr>
          <w:rFonts w:ascii="Arial" w:hAnsi="Arial" w:cs="Arial"/>
          <w:sz w:val="20"/>
        </w:rPr>
      </w:pPr>
    </w:p>
    <w:p w:rsidR="0067139F" w:rsidRPr="00405CE1" w:rsidRDefault="0067139F" w:rsidP="00405CE1">
      <w:pPr>
        <w:rPr>
          <w:rFonts w:ascii="Arial" w:hAnsi="Arial" w:cs="Arial"/>
          <w:sz w:val="20"/>
        </w:rPr>
      </w:pPr>
      <w:r w:rsidRPr="00405CE1">
        <w:rPr>
          <w:rFonts w:ascii="Arial" w:hAnsi="Arial" w:cs="Arial"/>
          <w:sz w:val="20"/>
        </w:rPr>
        <w:t>IMC = Measure Equipment Cost + Measure Labor Cost</w:t>
      </w:r>
    </w:p>
    <w:p w:rsidR="0067139F" w:rsidRPr="00112B44" w:rsidRDefault="0067139F" w:rsidP="0067139F">
      <w:pPr>
        <w:ind w:firstLine="720"/>
        <w:rPr>
          <w:rFonts w:ascii="Arial" w:hAnsi="Arial" w:cs="Arial"/>
          <w:sz w:val="20"/>
        </w:rPr>
      </w:pPr>
    </w:p>
    <w:p w:rsidR="0067139F" w:rsidRPr="00112B44" w:rsidRDefault="0067139F" w:rsidP="0067139F">
      <w:pPr>
        <w:ind w:firstLine="720"/>
        <w:rPr>
          <w:rFonts w:ascii="Arial" w:hAnsi="Arial" w:cs="Arial"/>
          <w:sz w:val="20"/>
        </w:rPr>
      </w:pPr>
    </w:p>
    <w:p w:rsidR="0067139F" w:rsidRPr="00112B44" w:rsidRDefault="0067139F" w:rsidP="001D2372">
      <w:pPr>
        <w:ind w:firstLine="720"/>
        <w:rPr>
          <w:rFonts w:ascii="Arial" w:hAnsi="Arial" w:cs="Arial"/>
          <w:sz w:val="20"/>
        </w:rPr>
      </w:pPr>
      <w:r w:rsidRPr="00112B44">
        <w:rPr>
          <w:rFonts w:ascii="Arial" w:hAnsi="Arial" w:cs="Arial"/>
          <w:sz w:val="20"/>
        </w:rPr>
        <w:t>IMC = $716.43   per Len-</w:t>
      </w:r>
      <w:proofErr w:type="spellStart"/>
      <w:proofErr w:type="gramStart"/>
      <w:r w:rsidRPr="00112B44">
        <w:rPr>
          <w:rFonts w:ascii="Arial" w:hAnsi="Arial" w:cs="Arial"/>
          <w:sz w:val="20"/>
        </w:rPr>
        <w:t>ft</w:t>
      </w:r>
      <w:proofErr w:type="spellEnd"/>
      <w:r w:rsidRPr="00112B44">
        <w:rPr>
          <w:rFonts w:ascii="Arial" w:hAnsi="Arial" w:cs="Arial"/>
          <w:sz w:val="20"/>
        </w:rPr>
        <w:t xml:space="preserve">  +</w:t>
      </w:r>
      <w:proofErr w:type="gramEnd"/>
      <w:r w:rsidRPr="00112B44">
        <w:rPr>
          <w:rFonts w:ascii="Arial" w:hAnsi="Arial" w:cs="Arial"/>
          <w:sz w:val="20"/>
        </w:rPr>
        <w:t xml:space="preserve"> $98.95 per Len-</w:t>
      </w:r>
      <w:proofErr w:type="spellStart"/>
      <w:r w:rsidRPr="00112B44">
        <w:rPr>
          <w:rFonts w:ascii="Arial" w:hAnsi="Arial" w:cs="Arial"/>
          <w:sz w:val="20"/>
        </w:rPr>
        <w:t>ft</w:t>
      </w:r>
      <w:proofErr w:type="spellEnd"/>
      <w:r w:rsidRPr="00112B44">
        <w:rPr>
          <w:rFonts w:ascii="Arial" w:hAnsi="Arial" w:cs="Arial"/>
          <w:sz w:val="20"/>
        </w:rPr>
        <w:t xml:space="preserve"> = $815.38  per Len-</w:t>
      </w:r>
      <w:proofErr w:type="spellStart"/>
      <w:r w:rsidRPr="00112B44">
        <w:rPr>
          <w:rFonts w:ascii="Arial" w:hAnsi="Arial" w:cs="Arial"/>
          <w:sz w:val="20"/>
        </w:rPr>
        <w:t>ft</w:t>
      </w:r>
      <w:proofErr w:type="spellEnd"/>
    </w:p>
    <w:p w:rsidR="0067139F" w:rsidRDefault="0067139F" w:rsidP="0067139F">
      <w:pPr>
        <w:ind w:firstLine="720"/>
        <w:rPr>
          <w:rFonts w:ascii="Arial" w:hAnsi="Arial" w:cs="Arial"/>
          <w:i/>
          <w:sz w:val="20"/>
          <w:szCs w:val="20"/>
        </w:rPr>
      </w:pPr>
    </w:p>
    <w:p w:rsidR="0067139F" w:rsidRDefault="0067139F" w:rsidP="001D2372">
      <w:pPr>
        <w:ind w:firstLine="720"/>
        <w:jc w:val="center"/>
        <w:rPr>
          <w:rFonts w:ascii="Arial" w:hAnsi="Arial" w:cs="Arial"/>
          <w:b/>
          <w:sz w:val="20"/>
          <w:szCs w:val="20"/>
        </w:rPr>
      </w:pPr>
      <w:r w:rsidRPr="002F3610">
        <w:rPr>
          <w:rFonts w:ascii="Arial" w:hAnsi="Arial"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67139F" w:rsidRPr="00767D95" w:rsidTr="00B76887">
        <w:tc>
          <w:tcPr>
            <w:tcW w:w="758" w:type="pct"/>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Measure ID</w:t>
            </w:r>
          </w:p>
        </w:tc>
        <w:tc>
          <w:tcPr>
            <w:tcW w:w="968" w:type="pct"/>
            <w:shd w:val="clear" w:color="auto" w:fill="auto"/>
          </w:tcPr>
          <w:p w:rsidR="0067139F" w:rsidRPr="00767D95" w:rsidRDefault="00A0740B" w:rsidP="00A0740B">
            <w:pPr>
              <w:rPr>
                <w:rFonts w:ascii="Arial" w:hAnsi="Arial" w:cs="Arial"/>
                <w:b/>
                <w:sz w:val="20"/>
                <w:szCs w:val="20"/>
              </w:rPr>
            </w:pPr>
            <w:r>
              <w:rPr>
                <w:rFonts w:ascii="Arial" w:hAnsi="Arial" w:cs="Arial"/>
                <w:b/>
                <w:sz w:val="20"/>
                <w:szCs w:val="20"/>
              </w:rPr>
              <w:t xml:space="preserve">Measure Application </w:t>
            </w:r>
            <w:r w:rsidR="0067139F" w:rsidRPr="00767D95">
              <w:rPr>
                <w:rFonts w:ascii="Arial" w:hAnsi="Arial" w:cs="Arial"/>
                <w:b/>
                <w:sz w:val="20"/>
                <w:szCs w:val="20"/>
              </w:rPr>
              <w:t>Type</w:t>
            </w:r>
          </w:p>
        </w:tc>
        <w:tc>
          <w:tcPr>
            <w:tcW w:w="838" w:type="pct"/>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Base Case Total Cost</w:t>
            </w:r>
          </w:p>
        </w:tc>
        <w:tc>
          <w:tcPr>
            <w:tcW w:w="739" w:type="pct"/>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Measure Case Total Cost</w:t>
            </w:r>
          </w:p>
        </w:tc>
        <w:tc>
          <w:tcPr>
            <w:tcW w:w="737" w:type="pct"/>
            <w:shd w:val="clear" w:color="auto" w:fill="auto"/>
          </w:tcPr>
          <w:p w:rsidR="0067139F" w:rsidRPr="00767D95" w:rsidRDefault="001E105D" w:rsidP="00B76887">
            <w:pPr>
              <w:rPr>
                <w:rFonts w:ascii="Arial" w:hAnsi="Arial" w:cs="Arial"/>
                <w:b/>
                <w:sz w:val="20"/>
                <w:szCs w:val="20"/>
              </w:rPr>
            </w:pPr>
            <w:r>
              <w:rPr>
                <w:rFonts w:ascii="Arial" w:hAnsi="Arial" w:cs="Arial"/>
                <w:b/>
                <w:sz w:val="20"/>
                <w:szCs w:val="20"/>
              </w:rPr>
              <w:t xml:space="preserve">Full </w:t>
            </w:r>
            <w:r w:rsidR="0067139F" w:rsidRPr="00767D95">
              <w:rPr>
                <w:rFonts w:ascii="Arial" w:hAnsi="Arial" w:cs="Arial"/>
                <w:b/>
                <w:sz w:val="20"/>
                <w:szCs w:val="20"/>
              </w:rPr>
              <w:t>Measure Case Cost</w:t>
            </w:r>
          </w:p>
        </w:tc>
        <w:tc>
          <w:tcPr>
            <w:tcW w:w="960" w:type="pct"/>
            <w:shd w:val="clear" w:color="auto" w:fill="auto"/>
          </w:tcPr>
          <w:p w:rsidR="0067139F" w:rsidRPr="00767D95" w:rsidRDefault="0067139F" w:rsidP="00B76887">
            <w:pPr>
              <w:rPr>
                <w:rFonts w:ascii="Arial" w:hAnsi="Arial" w:cs="Arial"/>
                <w:b/>
                <w:sz w:val="20"/>
                <w:szCs w:val="20"/>
              </w:rPr>
            </w:pPr>
            <w:r w:rsidRPr="00767D95">
              <w:rPr>
                <w:rFonts w:ascii="Arial" w:hAnsi="Arial" w:cs="Arial"/>
                <w:b/>
                <w:sz w:val="20"/>
                <w:szCs w:val="20"/>
              </w:rPr>
              <w:t>Incremental Measure Cost</w:t>
            </w:r>
          </w:p>
        </w:tc>
      </w:tr>
      <w:tr w:rsidR="0067139F" w:rsidRPr="00767D95" w:rsidTr="00B76887">
        <w:tc>
          <w:tcPr>
            <w:tcW w:w="758" w:type="pct"/>
            <w:shd w:val="clear" w:color="auto" w:fill="auto"/>
          </w:tcPr>
          <w:p w:rsidR="0067139F" w:rsidRPr="00405CE1" w:rsidRDefault="0067139F" w:rsidP="00B76887">
            <w:pPr>
              <w:rPr>
                <w:rFonts w:ascii="Arial" w:hAnsi="Arial" w:cs="Arial"/>
                <w:sz w:val="20"/>
                <w:szCs w:val="20"/>
              </w:rPr>
            </w:pPr>
            <w:r w:rsidRPr="00405CE1">
              <w:rPr>
                <w:rFonts w:ascii="Arial" w:hAnsi="Arial" w:cs="Arial"/>
                <w:sz w:val="20"/>
                <w:szCs w:val="20"/>
              </w:rPr>
              <w:t>R160</w:t>
            </w:r>
          </w:p>
        </w:tc>
        <w:tc>
          <w:tcPr>
            <w:tcW w:w="968" w:type="pct"/>
            <w:shd w:val="clear" w:color="auto" w:fill="auto"/>
          </w:tcPr>
          <w:p w:rsidR="0067139F" w:rsidRPr="00405CE1" w:rsidRDefault="0067139F" w:rsidP="00B76887">
            <w:pPr>
              <w:rPr>
                <w:rFonts w:ascii="Arial" w:hAnsi="Arial" w:cs="Arial"/>
                <w:sz w:val="20"/>
                <w:szCs w:val="20"/>
              </w:rPr>
            </w:pPr>
            <w:r w:rsidRPr="00405CE1">
              <w:rPr>
                <w:rFonts w:ascii="Arial" w:hAnsi="Arial" w:cs="Arial"/>
                <w:sz w:val="20"/>
                <w:szCs w:val="20"/>
              </w:rPr>
              <w:t>REA</w:t>
            </w:r>
          </w:p>
        </w:tc>
        <w:tc>
          <w:tcPr>
            <w:tcW w:w="838" w:type="pct"/>
            <w:shd w:val="clear" w:color="auto" w:fill="auto"/>
          </w:tcPr>
          <w:p w:rsidR="0067139F" w:rsidRPr="00405CE1" w:rsidRDefault="0067139F" w:rsidP="00B76887">
            <w:pPr>
              <w:rPr>
                <w:rFonts w:ascii="Arial" w:hAnsi="Arial" w:cs="Arial"/>
                <w:sz w:val="20"/>
                <w:szCs w:val="20"/>
              </w:rPr>
            </w:pPr>
            <w:r w:rsidRPr="00405CE1">
              <w:rPr>
                <w:rFonts w:ascii="Arial" w:hAnsi="Arial" w:cs="Arial"/>
                <w:sz w:val="20"/>
                <w:szCs w:val="20"/>
              </w:rPr>
              <w:t>$0.00</w:t>
            </w:r>
          </w:p>
        </w:tc>
        <w:tc>
          <w:tcPr>
            <w:tcW w:w="739" w:type="pct"/>
            <w:shd w:val="clear" w:color="auto" w:fill="auto"/>
          </w:tcPr>
          <w:p w:rsidR="0067139F" w:rsidRPr="00405CE1" w:rsidRDefault="0067139F" w:rsidP="00B76887">
            <w:pPr>
              <w:rPr>
                <w:rFonts w:ascii="Arial" w:hAnsi="Arial" w:cs="Arial"/>
                <w:sz w:val="20"/>
                <w:szCs w:val="20"/>
              </w:rPr>
            </w:pPr>
            <w:r w:rsidRPr="00405CE1">
              <w:rPr>
                <w:rFonts w:ascii="Arial" w:hAnsi="Arial" w:cs="Arial"/>
                <w:sz w:val="20"/>
                <w:szCs w:val="20"/>
              </w:rPr>
              <w:t>$815.38</w:t>
            </w:r>
          </w:p>
        </w:tc>
        <w:tc>
          <w:tcPr>
            <w:tcW w:w="737" w:type="pct"/>
            <w:shd w:val="clear" w:color="auto" w:fill="auto"/>
          </w:tcPr>
          <w:p w:rsidR="0067139F" w:rsidRPr="00405CE1" w:rsidRDefault="0067139F" w:rsidP="0067139F">
            <w:pPr>
              <w:rPr>
                <w:rFonts w:ascii="Arial" w:hAnsi="Arial" w:cs="Arial"/>
                <w:sz w:val="20"/>
                <w:szCs w:val="20"/>
              </w:rPr>
            </w:pPr>
            <w:r w:rsidRPr="00405CE1">
              <w:rPr>
                <w:rFonts w:ascii="Arial" w:hAnsi="Arial" w:cs="Arial"/>
                <w:sz w:val="20"/>
                <w:szCs w:val="20"/>
              </w:rPr>
              <w:t>$815.38</w:t>
            </w:r>
          </w:p>
        </w:tc>
        <w:tc>
          <w:tcPr>
            <w:tcW w:w="960" w:type="pct"/>
            <w:shd w:val="clear" w:color="auto" w:fill="auto"/>
          </w:tcPr>
          <w:p w:rsidR="0067139F" w:rsidRPr="00405CE1" w:rsidRDefault="0067139F" w:rsidP="0067139F">
            <w:pPr>
              <w:rPr>
                <w:rFonts w:ascii="Arial" w:hAnsi="Arial" w:cs="Arial"/>
                <w:sz w:val="20"/>
                <w:szCs w:val="20"/>
              </w:rPr>
            </w:pPr>
            <w:r w:rsidRPr="00405CE1">
              <w:rPr>
                <w:rFonts w:ascii="Arial" w:hAnsi="Arial" w:cs="Arial"/>
                <w:sz w:val="20"/>
                <w:szCs w:val="20"/>
              </w:rPr>
              <w:t>$815.38</w:t>
            </w:r>
          </w:p>
        </w:tc>
      </w:tr>
      <w:tr w:rsidR="001D2372" w:rsidRPr="00767D95" w:rsidTr="00B76887">
        <w:tc>
          <w:tcPr>
            <w:tcW w:w="758" w:type="pct"/>
            <w:shd w:val="clear" w:color="auto" w:fill="auto"/>
          </w:tcPr>
          <w:p w:rsidR="001D2372" w:rsidRPr="00405CE1" w:rsidRDefault="001D2372" w:rsidP="00B76887">
            <w:pPr>
              <w:rPr>
                <w:rFonts w:ascii="Arial" w:hAnsi="Arial" w:cs="Arial"/>
                <w:sz w:val="20"/>
                <w:szCs w:val="20"/>
              </w:rPr>
            </w:pPr>
            <w:r w:rsidRPr="00405CE1">
              <w:rPr>
                <w:rFonts w:ascii="Arial" w:hAnsi="Arial" w:cs="Arial"/>
                <w:sz w:val="20"/>
                <w:szCs w:val="20"/>
              </w:rPr>
              <w:t>HB30</w:t>
            </w:r>
          </w:p>
        </w:tc>
        <w:tc>
          <w:tcPr>
            <w:tcW w:w="968" w:type="pct"/>
            <w:shd w:val="clear" w:color="auto" w:fill="auto"/>
          </w:tcPr>
          <w:p w:rsidR="001D2372" w:rsidRPr="00405CE1" w:rsidRDefault="001D2372" w:rsidP="00B76887">
            <w:pPr>
              <w:spacing w:before="40" w:after="40"/>
              <w:rPr>
                <w:rFonts w:ascii="Arial" w:hAnsi="Arial" w:cs="Arial"/>
                <w:sz w:val="20"/>
                <w:szCs w:val="20"/>
              </w:rPr>
            </w:pPr>
            <w:r w:rsidRPr="00405CE1">
              <w:rPr>
                <w:rFonts w:ascii="Arial" w:hAnsi="Arial" w:cs="Arial"/>
                <w:sz w:val="20"/>
                <w:szCs w:val="20"/>
              </w:rPr>
              <w:t>REA</w:t>
            </w:r>
          </w:p>
        </w:tc>
        <w:tc>
          <w:tcPr>
            <w:tcW w:w="838" w:type="pct"/>
            <w:shd w:val="clear" w:color="auto" w:fill="auto"/>
          </w:tcPr>
          <w:p w:rsidR="001D2372" w:rsidRPr="00405CE1" w:rsidRDefault="001D2372" w:rsidP="00C52450">
            <w:pPr>
              <w:rPr>
                <w:rFonts w:ascii="Arial" w:hAnsi="Arial" w:cs="Arial"/>
                <w:sz w:val="20"/>
                <w:szCs w:val="20"/>
              </w:rPr>
            </w:pPr>
            <w:r w:rsidRPr="00405CE1">
              <w:rPr>
                <w:rFonts w:ascii="Arial" w:hAnsi="Arial" w:cs="Arial"/>
                <w:sz w:val="20"/>
                <w:szCs w:val="20"/>
              </w:rPr>
              <w:t>$0.00</w:t>
            </w:r>
          </w:p>
        </w:tc>
        <w:tc>
          <w:tcPr>
            <w:tcW w:w="739" w:type="pct"/>
            <w:shd w:val="clear" w:color="auto" w:fill="auto"/>
          </w:tcPr>
          <w:p w:rsidR="001D2372" w:rsidRPr="00405CE1" w:rsidRDefault="001D2372" w:rsidP="00C52450">
            <w:pPr>
              <w:rPr>
                <w:rFonts w:ascii="Arial" w:hAnsi="Arial" w:cs="Arial"/>
                <w:sz w:val="20"/>
                <w:szCs w:val="20"/>
              </w:rPr>
            </w:pPr>
            <w:r w:rsidRPr="00405CE1">
              <w:rPr>
                <w:rFonts w:ascii="Arial" w:hAnsi="Arial" w:cs="Arial"/>
                <w:sz w:val="20"/>
                <w:szCs w:val="20"/>
              </w:rPr>
              <w:t>$815.38</w:t>
            </w:r>
          </w:p>
        </w:tc>
        <w:tc>
          <w:tcPr>
            <w:tcW w:w="737" w:type="pct"/>
            <w:shd w:val="clear" w:color="auto" w:fill="auto"/>
          </w:tcPr>
          <w:p w:rsidR="001D2372" w:rsidRPr="00405CE1" w:rsidRDefault="001D2372" w:rsidP="00C52450">
            <w:pPr>
              <w:rPr>
                <w:rFonts w:ascii="Arial" w:hAnsi="Arial" w:cs="Arial"/>
                <w:sz w:val="20"/>
                <w:szCs w:val="20"/>
              </w:rPr>
            </w:pPr>
            <w:r w:rsidRPr="00405CE1">
              <w:rPr>
                <w:rFonts w:ascii="Arial" w:hAnsi="Arial" w:cs="Arial"/>
                <w:sz w:val="20"/>
                <w:szCs w:val="20"/>
              </w:rPr>
              <w:t>$815.38</w:t>
            </w:r>
          </w:p>
        </w:tc>
        <w:tc>
          <w:tcPr>
            <w:tcW w:w="960" w:type="pct"/>
            <w:shd w:val="clear" w:color="auto" w:fill="auto"/>
          </w:tcPr>
          <w:p w:rsidR="001D2372" w:rsidRPr="00405CE1" w:rsidRDefault="001D2372" w:rsidP="00C52450">
            <w:pPr>
              <w:rPr>
                <w:rFonts w:ascii="Arial" w:hAnsi="Arial" w:cs="Arial"/>
                <w:sz w:val="20"/>
                <w:szCs w:val="20"/>
              </w:rPr>
            </w:pPr>
            <w:r w:rsidRPr="00405CE1">
              <w:rPr>
                <w:rFonts w:ascii="Arial" w:hAnsi="Arial" w:cs="Arial"/>
                <w:sz w:val="20"/>
                <w:szCs w:val="20"/>
              </w:rPr>
              <w:t>$815.38</w:t>
            </w:r>
          </w:p>
        </w:tc>
      </w:tr>
    </w:tbl>
    <w:p w:rsidR="0067139F" w:rsidRDefault="0067139F" w:rsidP="00ED3B31">
      <w:pPr>
        <w:ind w:firstLine="720"/>
        <w:rPr>
          <w:rFonts w:ascii="Arial" w:hAnsi="Arial" w:cs="Arial"/>
          <w:i/>
          <w:sz w:val="20"/>
          <w:szCs w:val="20"/>
        </w:rPr>
      </w:pPr>
    </w:p>
    <w:p w:rsidR="00315AB7" w:rsidRDefault="00315AB7" w:rsidP="000966CC">
      <w:pPr>
        <w:pStyle w:val="Heading1"/>
        <w:sectPr w:rsidR="00315AB7" w:rsidSect="00990E2A">
          <w:footerReference w:type="default" r:id="rId43"/>
          <w:endnotePr>
            <w:numFmt w:val="decimal"/>
          </w:endnotePr>
          <w:pgSz w:w="12240" w:h="15840"/>
          <w:pgMar w:top="1440" w:right="1440" w:bottom="1440" w:left="1440" w:header="720" w:footer="720" w:gutter="0"/>
          <w:pgNumType w:start="1"/>
          <w:cols w:space="720"/>
          <w:docGrid w:linePitch="360"/>
        </w:sectPr>
      </w:pPr>
    </w:p>
    <w:p w:rsidR="000966CC" w:rsidRPr="00112B44" w:rsidRDefault="000966CC" w:rsidP="00112B44">
      <w:pPr>
        <w:pStyle w:val="Heading2"/>
      </w:pPr>
      <w:bookmarkStart w:id="107" w:name="_Toc387914070"/>
      <w:bookmarkStart w:id="108" w:name="_Toc390350007"/>
      <w:r w:rsidRPr="00112B44">
        <w:rPr>
          <w:i w:val="0"/>
          <w:iCs w:val="0"/>
          <w:kern w:val="32"/>
          <w:sz w:val="32"/>
          <w:szCs w:val="32"/>
        </w:rPr>
        <w:lastRenderedPageBreak/>
        <w:t>References</w:t>
      </w:r>
      <w:r w:rsidR="001946B1" w:rsidRPr="00112B44">
        <w:rPr>
          <w:i w:val="0"/>
          <w:iCs w:val="0"/>
          <w:kern w:val="32"/>
          <w:sz w:val="32"/>
          <w:szCs w:val="32"/>
        </w:rPr>
        <w:t>:</w:t>
      </w:r>
      <w:bookmarkEnd w:id="107"/>
      <w:bookmarkEnd w:id="108"/>
      <w:r w:rsidR="00844B27">
        <w:t xml:space="preserve"> </w:t>
      </w:r>
    </w:p>
    <w:p w:rsidR="00044570" w:rsidRDefault="00044570" w:rsidP="000966CC"/>
    <w:p w:rsidR="009168A1" w:rsidRPr="000966CC" w:rsidRDefault="009168A1" w:rsidP="00AD1559"/>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21B" w:rsidRDefault="0061121B">
      <w:r>
        <w:separator/>
      </w:r>
    </w:p>
  </w:endnote>
  <w:endnote w:type="continuationSeparator" w:id="0">
    <w:p w:rsidR="0061121B" w:rsidRDefault="0061121B">
      <w:r>
        <w:continuationSeparator/>
      </w:r>
    </w:p>
  </w:endnote>
  <w:endnote w:id="1">
    <w:p w:rsidR="005E02C0" w:rsidRPr="00AD1559" w:rsidRDefault="005E02C0" w:rsidP="006441EE">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w:t>
      </w:r>
      <w:proofErr w:type="gramStart"/>
      <w:r w:rsidRPr="00AD1559">
        <w:rPr>
          <w:rFonts w:ascii="Arial" w:hAnsi="Arial" w:cs="Arial"/>
        </w:rPr>
        <w:t>Code of Federal Regulation.</w:t>
      </w:r>
      <w:proofErr w:type="gramEnd"/>
      <w:r w:rsidRPr="00AD1559">
        <w:rPr>
          <w:rFonts w:ascii="Arial" w:hAnsi="Arial" w:cs="Arial"/>
        </w:rPr>
        <w:t xml:space="preserve"> 2010. Title 10, Volume 3, Chapter II, Part 431, Subpart C. p. 409.</w:t>
      </w:r>
    </w:p>
  </w:endnote>
  <w:endnote w:id="2">
    <w:p w:rsidR="005E02C0" w:rsidRPr="00AD1559" w:rsidRDefault="005E02C0" w:rsidP="006441EE">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w:t>
      </w:r>
      <w:proofErr w:type="gramStart"/>
      <w:r w:rsidRPr="00AD1559">
        <w:rPr>
          <w:rFonts w:ascii="Arial" w:hAnsi="Arial" w:cs="Arial"/>
        </w:rPr>
        <w:t>Ibid. p. 411.</w:t>
      </w:r>
      <w:proofErr w:type="gramEnd"/>
    </w:p>
  </w:endnote>
  <w:endnote w:id="3">
    <w:p w:rsidR="005E02C0" w:rsidRPr="00AD1559" w:rsidRDefault="005E02C0" w:rsidP="006441EE">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Ibid.</w:t>
      </w:r>
    </w:p>
  </w:endnote>
  <w:endnote w:id="4">
    <w:p w:rsidR="005E02C0" w:rsidRPr="00AD1559" w:rsidRDefault="005E02C0" w:rsidP="006441EE">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w:t>
      </w:r>
      <w:proofErr w:type="spellStart"/>
      <w:r w:rsidRPr="00AD1559">
        <w:rPr>
          <w:rFonts w:ascii="Arial" w:hAnsi="Arial" w:cs="Arial"/>
        </w:rPr>
        <w:t>Faramarzi</w:t>
      </w:r>
      <w:proofErr w:type="spellEnd"/>
      <w:r w:rsidRPr="00AD1559">
        <w:rPr>
          <w:rFonts w:ascii="Arial" w:hAnsi="Arial" w:cs="Arial"/>
        </w:rPr>
        <w:t xml:space="preserve">, R., B. Coburn, R. </w:t>
      </w:r>
      <w:proofErr w:type="spellStart"/>
      <w:r w:rsidRPr="00AD1559">
        <w:rPr>
          <w:rFonts w:ascii="Arial" w:hAnsi="Arial" w:cs="Arial"/>
        </w:rPr>
        <w:t>Sarhadian</w:t>
      </w:r>
      <w:proofErr w:type="spellEnd"/>
      <w:r w:rsidRPr="00AD1559">
        <w:rPr>
          <w:rFonts w:ascii="Arial" w:hAnsi="Arial" w:cs="Arial"/>
        </w:rPr>
        <w:t xml:space="preserve">, </w:t>
      </w:r>
      <w:proofErr w:type="spellStart"/>
      <w:r w:rsidRPr="00AD1559">
        <w:rPr>
          <w:rFonts w:ascii="Arial" w:hAnsi="Arial" w:cs="Arial"/>
        </w:rPr>
        <w:t>Rafik</w:t>
      </w:r>
      <w:proofErr w:type="spellEnd"/>
      <w:r w:rsidRPr="00AD1559">
        <w:rPr>
          <w:rFonts w:ascii="Arial" w:hAnsi="Arial" w:cs="Arial"/>
        </w:rPr>
        <w:t xml:space="preserve">. 2002. Performance and Energy Impact of Installing Glass Doors on an Open Vertical Deli/Dairy Display Case. </w:t>
      </w:r>
      <w:r w:rsidRPr="00AD1559">
        <w:rPr>
          <w:rFonts w:ascii="Arial" w:hAnsi="Arial" w:cs="Arial"/>
          <w:i/>
        </w:rPr>
        <w:t>ASHRAE Transactions: Symposia</w:t>
      </w:r>
      <w:r w:rsidRPr="00AD1559">
        <w:rPr>
          <w:rFonts w:ascii="Arial" w:hAnsi="Arial" w:cs="Arial"/>
        </w:rPr>
        <w:t>, pp. 676-677.</w:t>
      </w:r>
    </w:p>
  </w:endnote>
  <w:endnote w:id="5">
    <w:p w:rsidR="005E02C0" w:rsidRPr="00AD1559" w:rsidRDefault="005E02C0" w:rsidP="006441EE">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w:t>
      </w:r>
      <w:proofErr w:type="gramStart"/>
      <w:r w:rsidRPr="00AD1559">
        <w:rPr>
          <w:rFonts w:ascii="Arial" w:hAnsi="Arial" w:cs="Arial"/>
        </w:rPr>
        <w:t>Ibid.,</w:t>
      </w:r>
      <w:proofErr w:type="gramEnd"/>
      <w:r w:rsidRPr="00AD1559">
        <w:rPr>
          <w:rFonts w:ascii="Arial" w:hAnsi="Arial" w:cs="Arial"/>
        </w:rPr>
        <w:t xml:space="preserve"> p. 678.</w:t>
      </w:r>
    </w:p>
  </w:endnote>
  <w:endnote w:id="6">
    <w:p w:rsidR="005E02C0" w:rsidRPr="00AD1559" w:rsidRDefault="005E02C0" w:rsidP="006441EE">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Lindberg, U., M. </w:t>
      </w:r>
      <w:proofErr w:type="spellStart"/>
      <w:r w:rsidRPr="00AD1559">
        <w:rPr>
          <w:rFonts w:ascii="Arial" w:hAnsi="Arial" w:cs="Arial"/>
        </w:rPr>
        <w:t>Axell</w:t>
      </w:r>
      <w:proofErr w:type="spellEnd"/>
      <w:r w:rsidRPr="00AD1559">
        <w:rPr>
          <w:rFonts w:ascii="Arial" w:hAnsi="Arial" w:cs="Arial"/>
        </w:rPr>
        <w:t xml:space="preserve">, P. </w:t>
      </w:r>
      <w:proofErr w:type="spellStart"/>
      <w:r w:rsidRPr="00AD1559">
        <w:rPr>
          <w:rFonts w:ascii="Arial" w:hAnsi="Arial" w:cs="Arial"/>
        </w:rPr>
        <w:t>Fahlen</w:t>
      </w:r>
      <w:proofErr w:type="spellEnd"/>
      <w:r w:rsidRPr="00AD1559">
        <w:rPr>
          <w:rFonts w:ascii="Arial" w:hAnsi="Arial" w:cs="Arial"/>
        </w:rPr>
        <w:t xml:space="preserve">. 2010. Vertical Display Case Cabinets without and with Doors. </w:t>
      </w:r>
      <w:r w:rsidRPr="00AD1559">
        <w:rPr>
          <w:rFonts w:ascii="Arial" w:hAnsi="Arial" w:cs="Arial"/>
          <w:i/>
        </w:rPr>
        <w:t>Sustainability and Cold Chain Conference at Cambridge University</w:t>
      </w:r>
      <w:r w:rsidRPr="00AD1559">
        <w:rPr>
          <w:rFonts w:ascii="Arial" w:hAnsi="Arial" w:cs="Arial"/>
        </w:rPr>
        <w:t>, p. 5.</w:t>
      </w:r>
    </w:p>
  </w:endnote>
  <w:endnote w:id="7">
    <w:p w:rsidR="005E02C0" w:rsidRPr="00AD1559" w:rsidRDefault="005E02C0" w:rsidP="006441EE">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w:t>
      </w:r>
      <w:proofErr w:type="gramStart"/>
      <w:r w:rsidRPr="00AD1559">
        <w:rPr>
          <w:rFonts w:ascii="Arial" w:hAnsi="Arial" w:cs="Arial"/>
        </w:rPr>
        <w:t>Fricke, B.A. and B.R. Becker.</w:t>
      </w:r>
      <w:proofErr w:type="gramEnd"/>
      <w:r w:rsidRPr="00AD1559">
        <w:rPr>
          <w:rFonts w:ascii="Arial" w:hAnsi="Arial" w:cs="Arial"/>
        </w:rPr>
        <w:t xml:space="preserve"> 2009. “Comparison of Vertical Display Cases: Energy and Productivity Impacts of Glass Doors Versus Open Vertical Display Cases”, Final report to ASHRAE Technical Committee 10.7.</w:t>
      </w:r>
    </w:p>
  </w:endnote>
  <w:endnote w:id="8">
    <w:p w:rsidR="005E02C0" w:rsidRPr="00AD1559" w:rsidRDefault="005E02C0" w:rsidP="006441EE">
      <w:pPr>
        <w:autoSpaceDE w:val="0"/>
        <w:autoSpaceDN w:val="0"/>
        <w:adjustRightInd w:val="0"/>
        <w:rPr>
          <w:rFonts w:ascii="Arial" w:hAnsi="Arial" w:cs="Arial"/>
          <w:sz w:val="20"/>
          <w:szCs w:val="20"/>
        </w:rPr>
      </w:pPr>
      <w:r w:rsidRPr="00AD1559">
        <w:rPr>
          <w:rStyle w:val="EndnoteReference"/>
          <w:rFonts w:ascii="Arial" w:hAnsi="Arial" w:cs="Arial"/>
          <w:sz w:val="20"/>
          <w:szCs w:val="20"/>
        </w:rPr>
        <w:endnoteRef/>
      </w:r>
      <w:r w:rsidRPr="00AD1559">
        <w:rPr>
          <w:rFonts w:ascii="Arial" w:hAnsi="Arial" w:cs="Arial"/>
          <w:sz w:val="20"/>
          <w:szCs w:val="20"/>
        </w:rPr>
        <w:t xml:space="preserve"> </w:t>
      </w:r>
      <w:proofErr w:type="gramStart"/>
      <w:r w:rsidRPr="00AD1559">
        <w:rPr>
          <w:rFonts w:ascii="Arial" w:hAnsi="Arial" w:cs="Arial"/>
          <w:bCs/>
          <w:sz w:val="20"/>
          <w:szCs w:val="20"/>
        </w:rPr>
        <w:t>State of California Air Resources Board</w:t>
      </w:r>
      <w:r w:rsidRPr="00AD1559">
        <w:rPr>
          <w:rFonts w:ascii="Arial" w:hAnsi="Arial" w:cs="Arial"/>
          <w:sz w:val="20"/>
          <w:szCs w:val="20"/>
        </w:rPr>
        <w:t>.</w:t>
      </w:r>
      <w:proofErr w:type="gramEnd"/>
      <w:r w:rsidRPr="00AD1559">
        <w:rPr>
          <w:rFonts w:ascii="Arial" w:hAnsi="Arial" w:cs="Arial"/>
          <w:sz w:val="20"/>
          <w:szCs w:val="20"/>
        </w:rPr>
        <w:t xml:space="preserve"> 2009. </w:t>
      </w:r>
      <w:r w:rsidRPr="00AD1559">
        <w:rPr>
          <w:rFonts w:ascii="Arial" w:hAnsi="Arial" w:cs="Arial"/>
          <w:bCs/>
          <w:sz w:val="20"/>
          <w:szCs w:val="20"/>
        </w:rPr>
        <w:t>Inventory of Direct and Indirect GHG Emissions from Stationary Air Conditioning and Refrigeration Sources, with Special Emphasis on Retail Food Refrigeration and Unitary Air Conditioning, CARB Agreement No. 06-325, p. 74.</w:t>
      </w:r>
    </w:p>
  </w:endnote>
  <w:endnote w:id="9">
    <w:p w:rsidR="005E02C0" w:rsidRPr="00AD1559" w:rsidRDefault="005E02C0" w:rsidP="00865488">
      <w:pPr>
        <w:rPr>
          <w:rFonts w:ascii="Arial" w:hAnsi="Arial" w:cs="Arial"/>
          <w:sz w:val="20"/>
          <w:szCs w:val="20"/>
        </w:rPr>
      </w:pPr>
      <w:r w:rsidRPr="00AD1559">
        <w:rPr>
          <w:rStyle w:val="EndnoteReference"/>
          <w:rFonts w:ascii="Arial" w:hAnsi="Arial" w:cs="Arial"/>
          <w:sz w:val="20"/>
          <w:szCs w:val="20"/>
        </w:rPr>
        <w:endnoteRef/>
      </w:r>
      <w:r w:rsidRPr="00AD1559">
        <w:rPr>
          <w:rFonts w:ascii="Arial" w:hAnsi="Arial" w:cs="Arial"/>
          <w:sz w:val="20"/>
          <w:szCs w:val="20"/>
        </w:rPr>
        <w:t xml:space="preserve"> </w:t>
      </w:r>
      <w:r w:rsidRPr="00AD1559">
        <w:rPr>
          <w:rFonts w:ascii="Arial" w:hAnsi="Arial" w:cs="Arial"/>
          <w:bCs/>
          <w:sz w:val="20"/>
          <w:szCs w:val="20"/>
        </w:rPr>
        <w:t xml:space="preserve">The </w:t>
      </w:r>
      <w:proofErr w:type="gramStart"/>
      <w:r w:rsidRPr="00AD1559">
        <w:rPr>
          <w:rFonts w:ascii="Arial" w:hAnsi="Arial" w:cs="Arial"/>
          <w:bCs/>
          <w:sz w:val="20"/>
          <w:szCs w:val="20"/>
        </w:rPr>
        <w:t>value of Full Load Hours (FLH) are</w:t>
      </w:r>
      <w:proofErr w:type="gramEnd"/>
      <w:r w:rsidRPr="00AD1559">
        <w:rPr>
          <w:rFonts w:ascii="Arial" w:hAnsi="Arial" w:cs="Arial"/>
          <w:bCs/>
          <w:sz w:val="20"/>
          <w:szCs w:val="20"/>
        </w:rPr>
        <w:t xml:space="preserve"> derived from hourly reports from parametric DOE2.2r modeled peak refrigeration load, and the total annual suction load.  The FLH value shown represents the average across the many different refrigeration system types and climate zones that apply to this measure.  See file “FLH EER pivot” for the excel calculation, and see file “Explanation of FLH for PG&amp;E &amp; CPUC.doc” for further explanation.  </w:t>
      </w:r>
    </w:p>
    <w:p w:rsidR="005E02C0" w:rsidRPr="00AD1559" w:rsidRDefault="005E02C0" w:rsidP="00865488">
      <w:pPr>
        <w:pStyle w:val="EndnoteText"/>
        <w:rPr>
          <w:rFonts w:ascii="Arial" w:hAnsi="Arial" w:cs="Arial"/>
        </w:rPr>
      </w:pPr>
      <w:r w:rsidRPr="00AD1559">
        <w:rPr>
          <w:rFonts w:ascii="Arial" w:hAnsi="Arial" w:cs="Arial"/>
          <w:position w:val="-30"/>
        </w:rPr>
        <w:object w:dxaOrig="4920" w:dyaOrig="680">
          <v:shape id="_x0000_i1034" type="#_x0000_t75" style="width:245.9pt;height:33.95pt" o:ole="">
            <v:imagedata r:id="rId1" o:title=""/>
          </v:shape>
          <o:OLEObject Type="Embed" ProgID="Equation.3" ShapeID="_x0000_i1034" DrawAspect="Content" ObjectID="_1464119825" r:id="rId2"/>
        </w:object>
      </w:r>
    </w:p>
  </w:endnote>
  <w:endnote w:id="10">
    <w:p w:rsidR="005E02C0" w:rsidRPr="00AD1559" w:rsidRDefault="005E02C0" w:rsidP="002C1F11">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Degradation factor = 0.98, this considers an average system age of 5 years.  The values that influence DF are as follows: refrigeration system age; HVAC age; condenser cleanliness/condition; and whether or not an evaporative or air cooled condenser is installed. </w:t>
      </w:r>
    </w:p>
  </w:endnote>
  <w:endnote w:id="11">
    <w:p w:rsidR="005E02C0" w:rsidRPr="00AD1559" w:rsidRDefault="005E02C0" w:rsidP="00490CE8">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Basis for calculations:</w:t>
      </w:r>
    </w:p>
    <w:p w:rsidR="005E02C0" w:rsidRPr="00AD1559" w:rsidRDefault="005E02C0" w:rsidP="00490CE8">
      <w:pPr>
        <w:pStyle w:val="EndnoteText"/>
        <w:rPr>
          <w:rFonts w:ascii="Arial" w:hAnsi="Arial" w:cs="Arial"/>
        </w:rPr>
      </w:pPr>
      <w:r w:rsidRPr="00AD1559">
        <w:rPr>
          <w:rFonts w:ascii="Arial" w:hAnsi="Arial" w:cs="Arial"/>
        </w:rPr>
        <w:t xml:space="preserve">a. The heat load absorbed by the case evaporator is transferred to the walk-in evaporator coils.  </w:t>
      </w:r>
    </w:p>
    <w:p w:rsidR="005E02C0" w:rsidRPr="00AD1559" w:rsidRDefault="005E02C0" w:rsidP="00490CE8">
      <w:pPr>
        <w:pStyle w:val="EndnoteText"/>
        <w:rPr>
          <w:rFonts w:ascii="Arial" w:hAnsi="Arial" w:cs="Arial"/>
        </w:rPr>
      </w:pPr>
      <w:r w:rsidRPr="00AD1559">
        <w:rPr>
          <w:rFonts w:ascii="Arial" w:hAnsi="Arial" w:cs="Arial"/>
        </w:rPr>
        <w:t xml:space="preserve">b. The refrigeration system that served the cases is identical to the refrigeration system that serves the Walk-in.  </w:t>
      </w:r>
    </w:p>
    <w:p w:rsidR="005E02C0" w:rsidRPr="00AD1559" w:rsidRDefault="005E02C0" w:rsidP="00490CE8">
      <w:pPr>
        <w:pStyle w:val="EndnoteText"/>
        <w:rPr>
          <w:rFonts w:ascii="Arial" w:hAnsi="Arial" w:cs="Arial"/>
        </w:rPr>
      </w:pPr>
      <w:r w:rsidRPr="00AD1559">
        <w:rPr>
          <w:rFonts w:ascii="Arial" w:hAnsi="Arial" w:cs="Arial"/>
        </w:rPr>
        <w:t xml:space="preserve">c. The evaporator fans for the walk-in run 8760 hours per year.  </w:t>
      </w:r>
    </w:p>
    <w:p w:rsidR="005E02C0" w:rsidRPr="00AD1559" w:rsidRDefault="005E02C0" w:rsidP="00490CE8">
      <w:pPr>
        <w:pStyle w:val="EndnoteText"/>
        <w:rPr>
          <w:rFonts w:ascii="Arial" w:hAnsi="Arial" w:cs="Arial"/>
        </w:rPr>
      </w:pPr>
      <w:r w:rsidRPr="00AD1559">
        <w:rPr>
          <w:rFonts w:ascii="Arial" w:hAnsi="Arial" w:cs="Arial"/>
        </w:rPr>
        <w:t>d. Installing the door removes the additional 800 Btu/h/</w:t>
      </w:r>
      <w:proofErr w:type="spellStart"/>
      <w:r w:rsidRPr="00AD1559">
        <w:rPr>
          <w:rFonts w:ascii="Arial" w:hAnsi="Arial" w:cs="Arial"/>
        </w:rPr>
        <w:t>ft</w:t>
      </w:r>
      <w:proofErr w:type="spellEnd"/>
      <w:r w:rsidRPr="00AD1559">
        <w:rPr>
          <w:rFonts w:ascii="Arial" w:hAnsi="Arial" w:cs="Arial"/>
        </w:rPr>
        <w:t xml:space="preserve"> load on the Walk-in that is required while the walk-in reach-in case is present.  </w:t>
      </w:r>
    </w:p>
    <w:p w:rsidR="005E02C0" w:rsidRPr="00AD1559" w:rsidRDefault="005E02C0" w:rsidP="00490CE8">
      <w:pPr>
        <w:pStyle w:val="EndnoteText"/>
        <w:rPr>
          <w:rFonts w:ascii="Arial" w:hAnsi="Arial" w:cs="Arial"/>
        </w:rPr>
      </w:pPr>
      <w:r w:rsidRPr="00AD1559">
        <w:rPr>
          <w:rFonts w:ascii="Arial" w:hAnsi="Arial" w:cs="Arial"/>
        </w:rPr>
        <w:t>e. The heat load presented by the Equipment Manufacturer is multiplied by the case length or number of doors to find the  "case load" in the energy savings calculations</w:t>
      </w:r>
    </w:p>
    <w:p w:rsidR="005E02C0" w:rsidRPr="00AD1559" w:rsidRDefault="005E02C0" w:rsidP="00490CE8">
      <w:pPr>
        <w:pStyle w:val="EndnoteText"/>
        <w:rPr>
          <w:rFonts w:ascii="Arial" w:hAnsi="Arial" w:cs="Arial"/>
        </w:rPr>
      </w:pPr>
      <w:r w:rsidRPr="00AD1559">
        <w:rPr>
          <w:rFonts w:ascii="Arial" w:hAnsi="Arial" w:cs="Arial"/>
        </w:rPr>
        <w:t>f. The case has standard fans, 1 row of standard canopy lighting, and an additional "optional" row of canopy lighting.</w:t>
      </w:r>
    </w:p>
    <w:p w:rsidR="005E02C0" w:rsidRPr="00AD1559" w:rsidRDefault="005E02C0" w:rsidP="00490CE8">
      <w:pPr>
        <w:pStyle w:val="EndnoteText"/>
        <w:rPr>
          <w:rFonts w:ascii="Arial" w:hAnsi="Arial" w:cs="Arial"/>
        </w:rPr>
      </w:pPr>
      <w:r w:rsidRPr="00AD1559">
        <w:rPr>
          <w:rFonts w:ascii="Arial" w:hAnsi="Arial" w:cs="Arial"/>
        </w:rPr>
        <w:t xml:space="preserve">g. The HVAC system will need to increase its cooling load and the heating system will be able to reduce its heating load, both by the difference of the zone load (infiltration of heat and air from the sales area) between the base case and the energy efficient case.    </w:t>
      </w:r>
    </w:p>
  </w:endnote>
  <w:endnote w:id="12">
    <w:p w:rsidR="005E02C0" w:rsidRPr="00AD1559" w:rsidRDefault="005E02C0" w:rsidP="002C1F11">
      <w:pPr>
        <w:pStyle w:val="EndnoteText"/>
        <w:rPr>
          <w:rFonts w:ascii="Arial" w:hAnsi="Arial" w:cs="Arial"/>
        </w:rPr>
      </w:pPr>
      <w:r w:rsidRPr="00AD1559">
        <w:rPr>
          <w:rStyle w:val="EndnoteReference"/>
          <w:rFonts w:ascii="Arial" w:hAnsi="Arial" w:cs="Arial"/>
        </w:rPr>
        <w:endnoteRef/>
      </w:r>
      <w:r w:rsidRPr="00AD1559">
        <w:rPr>
          <w:rFonts w:ascii="Arial" w:hAnsi="Arial" w:cs="Arial"/>
        </w:rPr>
        <w:t xml:space="preserve"> HVAC Cooling EER value obtained from ASHRAE 90.1 2004.</w:t>
      </w:r>
    </w:p>
  </w:endnote>
  <w:endnote w:id="13">
    <w:p w:rsidR="005E02C0" w:rsidRPr="00F4049A" w:rsidRDefault="005E02C0">
      <w:pPr>
        <w:pStyle w:val="EndnoteText"/>
        <w:rPr>
          <w:rFonts w:ascii="Arial" w:hAnsi="Arial" w:cs="Arial"/>
        </w:rPr>
      </w:pPr>
      <w:r w:rsidRPr="00F4049A">
        <w:rPr>
          <w:rStyle w:val="EndnoteReference"/>
          <w:rFonts w:ascii="Arial" w:hAnsi="Arial" w:cs="Arial"/>
        </w:rPr>
        <w:endnoteRef/>
      </w:r>
      <w:r w:rsidRPr="00F4049A">
        <w:rPr>
          <w:rFonts w:ascii="Arial" w:hAnsi="Arial" w:cs="Arial"/>
        </w:rPr>
        <w:t xml:space="preserve"> See file “Add doors to Walk-in cost data.xls” for table of all the costs</w:t>
      </w:r>
      <w:r>
        <w:rPr>
          <w:rFonts w:ascii="Arial" w:hAnsi="Arial" w:cs="Arial"/>
        </w:rPr>
        <w:t xml:space="preserve"> communicated by Dave Rogers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Default="005E02C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02C0" w:rsidRDefault="005E02C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Pr="00846195" w:rsidRDefault="005E02C0"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rsidR="005E02C0" w:rsidRDefault="005E02C0"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rsidR="005E02C0" w:rsidRDefault="005E02C0" w:rsidP="00D7047A">
    <w:pPr>
      <w:pStyle w:val="Footer"/>
      <w:rPr>
        <w:b/>
        <w:sz w:val="20"/>
        <w:szCs w:val="20"/>
      </w:rPr>
    </w:pPr>
    <w:r>
      <w:rPr>
        <w:b/>
        <w:sz w:val="20"/>
        <w:szCs w:val="20"/>
      </w:rPr>
      <w:t>Pacific Gas &amp; Electric Company</w:t>
    </w:r>
  </w:p>
  <w:p w:rsidR="005E02C0" w:rsidRPr="00844B27" w:rsidRDefault="005E02C0"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PGE3PREF127_Add Doors to Open Walk-in Cooler_R3 - Updated</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Pr="00E40469" w:rsidRDefault="005E02C0" w:rsidP="00FF4F8D">
    <w:pPr>
      <w:pStyle w:val="Footer"/>
      <w:pBdr>
        <w:top w:val="single" w:sz="4" w:space="1" w:color="auto"/>
      </w:pBdr>
      <w:tabs>
        <w:tab w:val="clear" w:pos="4320"/>
      </w:tabs>
      <w:rPr>
        <w:rFonts w:ascii="Arial" w:hAnsi="Arial" w:cs="Arial"/>
        <w:b/>
        <w:sz w:val="20"/>
        <w:szCs w:val="20"/>
      </w:rPr>
    </w:pPr>
    <w:r w:rsidRPr="00E40469">
      <w:rPr>
        <w:rFonts w:ascii="Arial" w:hAnsi="Arial" w:cs="Arial"/>
        <w:b/>
        <w:sz w:val="20"/>
        <w:szCs w:val="20"/>
      </w:rPr>
      <w:t>PGE3PREF</w:t>
    </w:r>
    <w:r>
      <w:rPr>
        <w:rFonts w:ascii="Arial" w:hAnsi="Arial" w:cs="Arial"/>
        <w:b/>
        <w:sz w:val="20"/>
        <w:szCs w:val="20"/>
      </w:rPr>
      <w:t>127</w:t>
    </w:r>
    <w:r w:rsidRPr="00E40469">
      <w:rPr>
        <w:rFonts w:ascii="Arial" w:hAnsi="Arial" w:cs="Arial"/>
        <w:b/>
        <w:sz w:val="20"/>
        <w:szCs w:val="20"/>
      </w:rPr>
      <w:t xml:space="preserve"> Add </w:t>
    </w:r>
    <w:r>
      <w:rPr>
        <w:rFonts w:ascii="Arial" w:hAnsi="Arial" w:cs="Arial"/>
        <w:b/>
        <w:sz w:val="20"/>
        <w:szCs w:val="20"/>
      </w:rPr>
      <w:t>Doors to Walk-in Cooler</w:t>
    </w:r>
    <w:r w:rsidRPr="00E40469">
      <w:rPr>
        <w:rFonts w:ascii="Arial" w:hAnsi="Arial" w:cs="Arial"/>
        <w:b/>
        <w:sz w:val="20"/>
        <w:szCs w:val="20"/>
      </w:rPr>
      <w:t xml:space="preserve">, Revision </w:t>
    </w:r>
    <w:r>
      <w:rPr>
        <w:rFonts w:ascii="Arial" w:hAnsi="Arial" w:cs="Arial"/>
        <w:b/>
        <w:sz w:val="20"/>
        <w:szCs w:val="20"/>
      </w:rPr>
      <w:t>3</w:t>
    </w:r>
    <w:r w:rsidRPr="00E40469">
      <w:rPr>
        <w:rFonts w:ascii="Arial" w:hAnsi="Arial" w:cs="Arial"/>
        <w:b/>
        <w:sz w:val="20"/>
        <w:szCs w:val="20"/>
      </w:rPr>
      <w:tab/>
      <w:t>April 28, 2014</w:t>
    </w:r>
  </w:p>
  <w:p w:rsidR="005E02C0" w:rsidRPr="000B5DB2" w:rsidRDefault="005E02C0" w:rsidP="00C27D3B">
    <w:pPr>
      <w:pStyle w:val="Footer"/>
      <w:rPr>
        <w:rFonts w:ascii="Arial" w:hAnsi="Arial" w:cs="Arial"/>
        <w:b/>
        <w:sz w:val="20"/>
        <w:szCs w:val="20"/>
      </w:rPr>
    </w:pPr>
    <w:r w:rsidRPr="000B5DB2">
      <w:rPr>
        <w:rFonts w:ascii="Arial" w:hAnsi="Arial" w:cs="Arial"/>
        <w:b/>
        <w:sz w:val="20"/>
        <w:szCs w:val="20"/>
      </w:rPr>
      <w:t>Pacific Gas &amp; Electric Company</w:t>
    </w:r>
  </w:p>
  <w:p w:rsidR="005E02C0" w:rsidRPr="000B5DB2" w:rsidRDefault="005E02C0" w:rsidP="00B40BB3">
    <w:pPr>
      <w:pStyle w:val="Footer"/>
      <w:tabs>
        <w:tab w:val="clear" w:pos="432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PGE3PREF127_Add Doors to Open Walk-in Cooler_R3 - Updated</w:t>
    </w:r>
    <w:r w:rsidRPr="000B5DB2">
      <w:rPr>
        <w:rFonts w:ascii="Arial" w:hAnsi="Arial" w:cs="Arial"/>
        <w:b/>
        <w:color w:val="0000FF"/>
        <w:sz w:val="20"/>
        <w:szCs w:val="20"/>
      </w:rPr>
      <w:fldChar w:fldCharType="end"/>
    </w:r>
    <w:r>
      <w:rPr>
        <w:rFonts w:ascii="Arial" w:hAnsi="Arial" w:cs="Arial"/>
        <w:b/>
        <w:color w:val="0000FF"/>
        <w:sz w:val="20"/>
        <w:szCs w:val="20"/>
      </w:rPr>
      <w:t xml:space="preserve"> </w:t>
    </w:r>
    <w:r>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524D71">
      <w:rPr>
        <w:rFonts w:ascii="Arial" w:hAnsi="Arial" w:cs="Arial"/>
        <w:b/>
        <w:noProof/>
        <w:color w:val="0000FF"/>
        <w:sz w:val="20"/>
        <w:szCs w:val="20"/>
      </w:rPr>
      <w:t>i</w:t>
    </w:r>
    <w:r>
      <w:rPr>
        <w:rFonts w:ascii="Arial" w:hAnsi="Arial" w:cs="Arial"/>
        <w:b/>
        <w:color w:val="0000FF"/>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Default="005E02C0"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02C0" w:rsidRDefault="005E02C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Pr="00E40469" w:rsidRDefault="005E02C0" w:rsidP="006B2E23">
    <w:pPr>
      <w:pStyle w:val="Footer"/>
      <w:pBdr>
        <w:top w:val="single" w:sz="4" w:space="1" w:color="auto"/>
      </w:pBdr>
      <w:tabs>
        <w:tab w:val="clear" w:pos="4320"/>
        <w:tab w:val="clear" w:pos="8640"/>
        <w:tab w:val="right" w:pos="9360"/>
      </w:tabs>
      <w:rPr>
        <w:rFonts w:ascii="Arial" w:hAnsi="Arial" w:cs="Arial"/>
        <w:b/>
        <w:sz w:val="20"/>
        <w:szCs w:val="20"/>
      </w:rPr>
    </w:pPr>
    <w:r w:rsidRPr="00E40469">
      <w:rPr>
        <w:rFonts w:ascii="Arial" w:hAnsi="Arial" w:cs="Arial"/>
        <w:b/>
        <w:sz w:val="20"/>
        <w:szCs w:val="20"/>
      </w:rPr>
      <w:t>PGE3PREF</w:t>
    </w:r>
    <w:r>
      <w:rPr>
        <w:rFonts w:ascii="Arial" w:hAnsi="Arial" w:cs="Arial"/>
        <w:b/>
        <w:sz w:val="20"/>
        <w:szCs w:val="20"/>
      </w:rPr>
      <w:t>127</w:t>
    </w:r>
    <w:r w:rsidRPr="00E40469">
      <w:rPr>
        <w:rFonts w:ascii="Arial" w:hAnsi="Arial" w:cs="Arial"/>
        <w:b/>
        <w:sz w:val="20"/>
        <w:szCs w:val="20"/>
      </w:rPr>
      <w:t xml:space="preserve"> Add </w:t>
    </w:r>
    <w:r>
      <w:rPr>
        <w:rFonts w:ascii="Arial" w:hAnsi="Arial" w:cs="Arial"/>
        <w:b/>
        <w:sz w:val="20"/>
        <w:szCs w:val="20"/>
      </w:rPr>
      <w:t>Doors to Walk-in Coolers</w:t>
    </w:r>
    <w:r w:rsidRPr="00E40469">
      <w:rPr>
        <w:rFonts w:ascii="Arial" w:hAnsi="Arial" w:cs="Arial"/>
        <w:b/>
        <w:sz w:val="20"/>
        <w:szCs w:val="20"/>
      </w:rPr>
      <w:t xml:space="preserve">, Revision </w:t>
    </w:r>
    <w:r>
      <w:rPr>
        <w:rFonts w:ascii="Arial" w:hAnsi="Arial" w:cs="Arial"/>
        <w:b/>
        <w:sz w:val="20"/>
        <w:szCs w:val="20"/>
      </w:rPr>
      <w:t>3</w:t>
    </w:r>
    <w:r w:rsidRPr="00E40469">
      <w:rPr>
        <w:rFonts w:ascii="Arial" w:hAnsi="Arial" w:cs="Arial"/>
        <w:b/>
        <w:sz w:val="20"/>
        <w:szCs w:val="20"/>
      </w:rPr>
      <w:tab/>
      <w:t>April 28, 2014</w:t>
    </w:r>
  </w:p>
  <w:p w:rsidR="005E02C0" w:rsidRPr="000B5DB2" w:rsidRDefault="005E02C0" w:rsidP="006B2E23">
    <w:pPr>
      <w:pStyle w:val="Footer"/>
      <w:rPr>
        <w:rFonts w:ascii="Arial" w:hAnsi="Arial" w:cs="Arial"/>
        <w:b/>
        <w:sz w:val="20"/>
        <w:szCs w:val="20"/>
      </w:rPr>
    </w:pPr>
    <w:r w:rsidRPr="000B5DB2">
      <w:rPr>
        <w:rFonts w:ascii="Arial" w:hAnsi="Arial" w:cs="Arial"/>
        <w:b/>
        <w:sz w:val="20"/>
        <w:szCs w:val="20"/>
      </w:rPr>
      <w:t>Pacific Gas &amp; Electric Company</w:t>
    </w:r>
  </w:p>
  <w:p w:rsidR="005E02C0" w:rsidRPr="00383909" w:rsidRDefault="005E02C0" w:rsidP="002655EC">
    <w:pPr>
      <w:pStyle w:val="Footer"/>
      <w:tabs>
        <w:tab w:val="clear" w:pos="4320"/>
        <w:tab w:val="clear" w:pos="8640"/>
        <w:tab w:val="right" w:pos="9360"/>
      </w:tabs>
      <w:rPr>
        <w:b/>
        <w:noProo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PGE3PREF127_Add Doors to Open Walk-in Cooler_R3 - Updated</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roman  \* MERGEFORMAT </w:instrText>
    </w:r>
    <w:r>
      <w:rPr>
        <w:rFonts w:ascii="Arial" w:hAnsi="Arial" w:cs="Arial"/>
        <w:b/>
        <w:color w:val="0000FF"/>
        <w:sz w:val="20"/>
        <w:szCs w:val="20"/>
      </w:rPr>
      <w:fldChar w:fldCharType="separate"/>
    </w:r>
    <w:r w:rsidR="00524D71">
      <w:rPr>
        <w:rFonts w:ascii="Arial" w:hAnsi="Arial" w:cs="Arial"/>
        <w:b/>
        <w:noProof/>
        <w:color w:val="0000FF"/>
        <w:sz w:val="20"/>
        <w:szCs w:val="20"/>
      </w:rPr>
      <w:t>vi</w:t>
    </w:r>
    <w:r>
      <w:rPr>
        <w:rFonts w:ascii="Arial" w:hAnsi="Arial" w:cs="Arial"/>
        <w:b/>
        <w:color w:val="0000FF"/>
        <w:sz w:val="20"/>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Pr="002E0E3F" w:rsidRDefault="005E02C0" w:rsidP="00D7047A">
    <w:pPr>
      <w:pStyle w:val="Footer"/>
      <w:jc w:val="right"/>
      <w:rPr>
        <w:rFonts w:ascii="Arial" w:hAnsi="Arial" w:cs="Arial"/>
        <w:b/>
        <w:sz w:val="36"/>
        <w:szCs w:val="36"/>
      </w:rPr>
    </w:pPr>
    <w:r>
      <w:rPr>
        <w:rFonts w:ascii="Arial" w:hAnsi="Arial" w:cs="Arial"/>
        <w:b/>
        <w:sz w:val="36"/>
        <w:szCs w:val="36"/>
      </w:rPr>
      <w:t>Date of Last Revision</w:t>
    </w:r>
  </w:p>
  <w:p w:rsidR="005E02C0" w:rsidRDefault="005E02C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Pr="00E40469" w:rsidRDefault="005E02C0" w:rsidP="006B2E23">
    <w:pPr>
      <w:pStyle w:val="Footer"/>
      <w:pBdr>
        <w:top w:val="single" w:sz="4" w:space="1" w:color="auto"/>
      </w:pBdr>
      <w:tabs>
        <w:tab w:val="clear" w:pos="4320"/>
        <w:tab w:val="clear" w:pos="8640"/>
        <w:tab w:val="right" w:pos="9360"/>
      </w:tabs>
      <w:rPr>
        <w:rFonts w:ascii="Arial" w:hAnsi="Arial" w:cs="Arial"/>
        <w:b/>
        <w:sz w:val="20"/>
        <w:szCs w:val="20"/>
      </w:rPr>
    </w:pPr>
    <w:r w:rsidRPr="00E40469">
      <w:rPr>
        <w:rFonts w:ascii="Arial" w:hAnsi="Arial" w:cs="Arial"/>
        <w:b/>
        <w:sz w:val="20"/>
        <w:szCs w:val="20"/>
      </w:rPr>
      <w:t>PGE3PREF</w:t>
    </w:r>
    <w:r>
      <w:rPr>
        <w:rFonts w:ascii="Arial" w:hAnsi="Arial" w:cs="Arial"/>
        <w:b/>
        <w:sz w:val="20"/>
        <w:szCs w:val="20"/>
      </w:rPr>
      <w:t>127</w:t>
    </w:r>
    <w:r w:rsidRPr="00E40469">
      <w:rPr>
        <w:rFonts w:ascii="Arial" w:hAnsi="Arial" w:cs="Arial"/>
        <w:b/>
        <w:sz w:val="20"/>
        <w:szCs w:val="20"/>
      </w:rPr>
      <w:t xml:space="preserve"> Add </w:t>
    </w:r>
    <w:r>
      <w:rPr>
        <w:rFonts w:ascii="Arial" w:hAnsi="Arial" w:cs="Arial"/>
        <w:b/>
        <w:sz w:val="20"/>
        <w:szCs w:val="20"/>
      </w:rPr>
      <w:t>Doors to Walk-in Coolers</w:t>
    </w:r>
    <w:r w:rsidRPr="00E40469">
      <w:rPr>
        <w:rFonts w:ascii="Arial" w:hAnsi="Arial" w:cs="Arial"/>
        <w:b/>
        <w:sz w:val="20"/>
        <w:szCs w:val="20"/>
      </w:rPr>
      <w:t xml:space="preserve">, Revision </w:t>
    </w:r>
    <w:r>
      <w:rPr>
        <w:rFonts w:ascii="Arial" w:hAnsi="Arial" w:cs="Arial"/>
        <w:b/>
        <w:sz w:val="20"/>
        <w:szCs w:val="20"/>
      </w:rPr>
      <w:t>3</w:t>
    </w:r>
    <w:r w:rsidRPr="00E40469">
      <w:rPr>
        <w:rFonts w:ascii="Arial" w:hAnsi="Arial" w:cs="Arial"/>
        <w:b/>
        <w:sz w:val="20"/>
        <w:szCs w:val="20"/>
      </w:rPr>
      <w:tab/>
      <w:t>April 28, 2014</w:t>
    </w:r>
  </w:p>
  <w:p w:rsidR="005E02C0" w:rsidRPr="000B5DB2" w:rsidRDefault="005E02C0" w:rsidP="006B2E23">
    <w:pPr>
      <w:pStyle w:val="Footer"/>
      <w:rPr>
        <w:rFonts w:ascii="Arial" w:hAnsi="Arial" w:cs="Arial"/>
        <w:b/>
        <w:sz w:val="20"/>
        <w:szCs w:val="20"/>
      </w:rPr>
    </w:pPr>
    <w:r w:rsidRPr="000B5DB2">
      <w:rPr>
        <w:rFonts w:ascii="Arial" w:hAnsi="Arial" w:cs="Arial"/>
        <w:b/>
        <w:sz w:val="20"/>
        <w:szCs w:val="20"/>
      </w:rPr>
      <w:t>Pacific Gas &amp; Electric Company</w:t>
    </w:r>
  </w:p>
  <w:p w:rsidR="005E02C0" w:rsidRPr="000B5DB2" w:rsidRDefault="005E02C0" w:rsidP="006B2E23">
    <w:pPr>
      <w:pStyle w:val="Footer"/>
      <w:tabs>
        <w:tab w:val="clear" w:pos="4320"/>
        <w:tab w:val="clear" w:pos="8640"/>
        <w:tab w:val="right" w:pos="9360"/>
      </w:tabs>
      <w:rPr>
        <w:rFonts w:ascii="Arial" w:hAnsi="Arial" w:cs="Arial"/>
        <w:b/>
        <w:color w:val="0000FF"/>
        <w:sz w:val="20"/>
        <w:szCs w:val="20"/>
      </w:rPr>
    </w:pPr>
    <w:r w:rsidRPr="000B5DB2">
      <w:rPr>
        <w:rFonts w:ascii="Arial" w:hAnsi="Arial" w:cs="Arial"/>
        <w:b/>
        <w:color w:val="0000FF"/>
        <w:sz w:val="20"/>
        <w:szCs w:val="20"/>
      </w:rPr>
      <w:fldChar w:fldCharType="begin"/>
    </w:r>
    <w:r w:rsidRPr="000B5DB2">
      <w:rPr>
        <w:rFonts w:ascii="Arial" w:hAnsi="Arial" w:cs="Arial"/>
        <w:b/>
        <w:color w:val="0000FF"/>
        <w:sz w:val="20"/>
        <w:szCs w:val="20"/>
      </w:rPr>
      <w:instrText xml:space="preserve"> FILENAME </w:instrText>
    </w:r>
    <w:r w:rsidRPr="000B5DB2">
      <w:rPr>
        <w:rFonts w:ascii="Arial" w:hAnsi="Arial" w:cs="Arial"/>
        <w:b/>
        <w:color w:val="0000FF"/>
        <w:sz w:val="20"/>
        <w:szCs w:val="20"/>
      </w:rPr>
      <w:fldChar w:fldCharType="separate"/>
    </w:r>
    <w:r>
      <w:rPr>
        <w:rFonts w:ascii="Arial" w:hAnsi="Arial" w:cs="Arial"/>
        <w:b/>
        <w:noProof/>
        <w:color w:val="0000FF"/>
        <w:sz w:val="20"/>
        <w:szCs w:val="20"/>
      </w:rPr>
      <w:t>PGE3PREF127_Add Doors to Open Walk-in Cooler_R3 - Updated</w:t>
    </w:r>
    <w:r w:rsidRPr="000B5DB2">
      <w:rPr>
        <w:rFonts w:ascii="Arial" w:hAnsi="Arial" w:cs="Arial"/>
        <w:b/>
        <w:color w:val="0000FF"/>
        <w:sz w:val="20"/>
        <w:szCs w:val="20"/>
      </w:rPr>
      <w:fldChar w:fldCharType="end"/>
    </w:r>
    <w:r w:rsidRPr="000B5DB2">
      <w:rPr>
        <w:rFonts w:ascii="Arial" w:hAnsi="Arial" w:cs="Arial"/>
        <w:b/>
        <w:color w:val="0000FF"/>
        <w:sz w:val="20"/>
        <w:szCs w:val="20"/>
      </w:rPr>
      <w:t xml:space="preserve"> </w:t>
    </w:r>
    <w:r w:rsidRPr="000B5DB2">
      <w:rPr>
        <w:rFonts w:ascii="Arial" w:hAnsi="Arial" w:cs="Arial"/>
        <w:b/>
        <w:color w:val="0000FF"/>
        <w:sz w:val="20"/>
        <w:szCs w:val="20"/>
      </w:rPr>
      <w:tab/>
    </w:r>
    <w:r>
      <w:rPr>
        <w:rFonts w:ascii="Arial" w:hAnsi="Arial" w:cs="Arial"/>
        <w:b/>
        <w:color w:val="0000FF"/>
        <w:sz w:val="20"/>
        <w:szCs w:val="20"/>
      </w:rPr>
      <w:fldChar w:fldCharType="begin"/>
    </w:r>
    <w:r>
      <w:rPr>
        <w:rFonts w:ascii="Arial" w:hAnsi="Arial" w:cs="Arial"/>
        <w:b/>
        <w:color w:val="0000FF"/>
        <w:sz w:val="20"/>
        <w:szCs w:val="20"/>
      </w:rPr>
      <w:instrText xml:space="preserve"> PAGE  \* Arabic  \* MERGEFORMAT </w:instrText>
    </w:r>
    <w:r>
      <w:rPr>
        <w:rFonts w:ascii="Arial" w:hAnsi="Arial" w:cs="Arial"/>
        <w:b/>
        <w:color w:val="0000FF"/>
        <w:sz w:val="20"/>
        <w:szCs w:val="20"/>
      </w:rPr>
      <w:fldChar w:fldCharType="separate"/>
    </w:r>
    <w:r w:rsidR="00524D71">
      <w:rPr>
        <w:rFonts w:ascii="Arial" w:hAnsi="Arial" w:cs="Arial"/>
        <w:b/>
        <w:noProof/>
        <w:color w:val="0000FF"/>
        <w:sz w:val="20"/>
        <w:szCs w:val="20"/>
      </w:rPr>
      <w:t>10</w:t>
    </w:r>
    <w:r>
      <w:rPr>
        <w:rFonts w:ascii="Arial" w:hAnsi="Arial" w:cs="Arial"/>
        <w:b/>
        <w:color w:val="0000F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21B" w:rsidRDefault="0061121B">
      <w:r>
        <w:separator/>
      </w:r>
    </w:p>
  </w:footnote>
  <w:footnote w:type="continuationSeparator" w:id="0">
    <w:p w:rsidR="0061121B" w:rsidRDefault="006112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Default="00524D7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Default="005E02C0" w:rsidP="001A573F">
    <w:pPr>
      <w:pStyle w:val="Header"/>
      <w:jc w:val="right"/>
    </w:pPr>
  </w:p>
  <w:p w:rsidR="005E02C0" w:rsidRDefault="005E02C0"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Default="005E02C0">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Pr="002655EC" w:rsidRDefault="005E02C0" w:rsidP="002655E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2C0" w:rsidRDefault="005E02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DBE6DF4"/>
    <w:multiLevelType w:val="hybridMultilevel"/>
    <w:tmpl w:val="AE06D070"/>
    <w:lvl w:ilvl="0" w:tplc="CDFA89B6">
      <w:start w:val="1"/>
      <w:numFmt w:val="bullet"/>
      <w:lvlText w:val=""/>
      <w:lvlJc w:val="left"/>
      <w:pPr>
        <w:tabs>
          <w:tab w:val="num" w:pos="720"/>
        </w:tabs>
        <w:ind w:left="720" w:hanging="360"/>
      </w:pPr>
      <w:rPr>
        <w:rFonts w:ascii="Symbol" w:hAnsi="Symbol" w:hint="default"/>
        <w:sz w:val="20"/>
      </w:rPr>
    </w:lvl>
    <w:lvl w:ilvl="1" w:tplc="0409000F">
      <w:start w:val="1"/>
      <w:numFmt w:val="decimal"/>
      <w:lvlText w:val="%2."/>
      <w:lvlJc w:val="left"/>
      <w:pPr>
        <w:tabs>
          <w:tab w:val="num" w:pos="1620"/>
        </w:tabs>
        <w:ind w:left="1620" w:hanging="360"/>
      </w:pPr>
      <w:rPr>
        <w:rFonts w:hint="default"/>
        <w:sz w:val="20"/>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9">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0">
    <w:nsid w:val="31EC5839"/>
    <w:multiLevelType w:val="multilevel"/>
    <w:tmpl w:val="9CF29706"/>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81F7FAD"/>
    <w:multiLevelType w:val="hybridMultilevel"/>
    <w:tmpl w:val="EEBE7AFC"/>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856299A"/>
    <w:multiLevelType w:val="multilevel"/>
    <w:tmpl w:val="76A2960A"/>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7">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1"/>
  </w:num>
  <w:num w:numId="3">
    <w:abstractNumId w:val="5"/>
  </w:num>
  <w:num w:numId="4">
    <w:abstractNumId w:val="7"/>
  </w:num>
  <w:num w:numId="5">
    <w:abstractNumId w:val="18"/>
  </w:num>
  <w:num w:numId="6">
    <w:abstractNumId w:val="9"/>
  </w:num>
  <w:num w:numId="7">
    <w:abstractNumId w:val="6"/>
  </w:num>
  <w:num w:numId="8">
    <w:abstractNumId w:val="12"/>
  </w:num>
  <w:num w:numId="9">
    <w:abstractNumId w:val="8"/>
  </w:num>
  <w:num w:numId="10">
    <w:abstractNumId w:val="1"/>
  </w:num>
  <w:num w:numId="11">
    <w:abstractNumId w:val="16"/>
  </w:num>
  <w:num w:numId="12">
    <w:abstractNumId w:val="17"/>
  </w:num>
  <w:num w:numId="13">
    <w:abstractNumId w:val="4"/>
  </w:num>
  <w:num w:numId="14">
    <w:abstractNumId w:val="19"/>
  </w:num>
  <w:num w:numId="15">
    <w:abstractNumId w:val="13"/>
  </w:num>
  <w:num w:numId="16">
    <w:abstractNumId w:val="14"/>
  </w:num>
  <w:num w:numId="17">
    <w:abstractNumId w:val="0"/>
  </w:num>
  <w:num w:numId="18">
    <w:abstractNumId w:val="2"/>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5E70"/>
    <w:rsid w:val="00006B69"/>
    <w:rsid w:val="0001052B"/>
    <w:rsid w:val="00012F86"/>
    <w:rsid w:val="00014740"/>
    <w:rsid w:val="000170B5"/>
    <w:rsid w:val="00017488"/>
    <w:rsid w:val="00017F15"/>
    <w:rsid w:val="00024AA9"/>
    <w:rsid w:val="00026F78"/>
    <w:rsid w:val="000272C2"/>
    <w:rsid w:val="0003064A"/>
    <w:rsid w:val="00032B63"/>
    <w:rsid w:val="000351CB"/>
    <w:rsid w:val="000374A5"/>
    <w:rsid w:val="00044570"/>
    <w:rsid w:val="000571F6"/>
    <w:rsid w:val="00057C09"/>
    <w:rsid w:val="00063FA7"/>
    <w:rsid w:val="0006490F"/>
    <w:rsid w:val="00066D5B"/>
    <w:rsid w:val="000678A2"/>
    <w:rsid w:val="00067EB5"/>
    <w:rsid w:val="000701EB"/>
    <w:rsid w:val="000719AA"/>
    <w:rsid w:val="000749EA"/>
    <w:rsid w:val="00077161"/>
    <w:rsid w:val="000814B9"/>
    <w:rsid w:val="000842B9"/>
    <w:rsid w:val="00085DF5"/>
    <w:rsid w:val="00086594"/>
    <w:rsid w:val="00087378"/>
    <w:rsid w:val="00095610"/>
    <w:rsid w:val="000966CC"/>
    <w:rsid w:val="000A19A1"/>
    <w:rsid w:val="000A2FB3"/>
    <w:rsid w:val="000A48F2"/>
    <w:rsid w:val="000B0B1E"/>
    <w:rsid w:val="000C0FD3"/>
    <w:rsid w:val="000C6A93"/>
    <w:rsid w:val="000D1686"/>
    <w:rsid w:val="000D22E2"/>
    <w:rsid w:val="000D326B"/>
    <w:rsid w:val="000E132D"/>
    <w:rsid w:val="000E1EB4"/>
    <w:rsid w:val="000E31B5"/>
    <w:rsid w:val="000F0069"/>
    <w:rsid w:val="000F11DD"/>
    <w:rsid w:val="000F242E"/>
    <w:rsid w:val="0010115C"/>
    <w:rsid w:val="00105BB5"/>
    <w:rsid w:val="0010679C"/>
    <w:rsid w:val="00106FCA"/>
    <w:rsid w:val="00112B44"/>
    <w:rsid w:val="001131A8"/>
    <w:rsid w:val="0011561D"/>
    <w:rsid w:val="00115EB1"/>
    <w:rsid w:val="001248A3"/>
    <w:rsid w:val="00124F32"/>
    <w:rsid w:val="00126483"/>
    <w:rsid w:val="00126A4E"/>
    <w:rsid w:val="00127CC8"/>
    <w:rsid w:val="0013046A"/>
    <w:rsid w:val="0013080C"/>
    <w:rsid w:val="0013087E"/>
    <w:rsid w:val="00133198"/>
    <w:rsid w:val="00133C60"/>
    <w:rsid w:val="00136D56"/>
    <w:rsid w:val="00137DDC"/>
    <w:rsid w:val="00150660"/>
    <w:rsid w:val="00150EC7"/>
    <w:rsid w:val="00151235"/>
    <w:rsid w:val="00155EF5"/>
    <w:rsid w:val="00161663"/>
    <w:rsid w:val="001675D7"/>
    <w:rsid w:val="00167F2B"/>
    <w:rsid w:val="0017179F"/>
    <w:rsid w:val="00172149"/>
    <w:rsid w:val="00175673"/>
    <w:rsid w:val="00176431"/>
    <w:rsid w:val="00183B80"/>
    <w:rsid w:val="00183C8E"/>
    <w:rsid w:val="001946B1"/>
    <w:rsid w:val="00194E14"/>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2942"/>
    <w:rsid w:val="001D11CE"/>
    <w:rsid w:val="001D16C2"/>
    <w:rsid w:val="001D2372"/>
    <w:rsid w:val="001D3F48"/>
    <w:rsid w:val="001D483C"/>
    <w:rsid w:val="001E105D"/>
    <w:rsid w:val="001E7CA0"/>
    <w:rsid w:val="001F4083"/>
    <w:rsid w:val="001F60D5"/>
    <w:rsid w:val="001F627F"/>
    <w:rsid w:val="001F7023"/>
    <w:rsid w:val="00200174"/>
    <w:rsid w:val="00211BAC"/>
    <w:rsid w:val="00212E03"/>
    <w:rsid w:val="002143C8"/>
    <w:rsid w:val="002154B2"/>
    <w:rsid w:val="002170D6"/>
    <w:rsid w:val="00217A65"/>
    <w:rsid w:val="002203EA"/>
    <w:rsid w:val="0022055B"/>
    <w:rsid w:val="0022067C"/>
    <w:rsid w:val="002207C3"/>
    <w:rsid w:val="0022428B"/>
    <w:rsid w:val="002257FA"/>
    <w:rsid w:val="00234A97"/>
    <w:rsid w:val="00235694"/>
    <w:rsid w:val="0024233E"/>
    <w:rsid w:val="00243BAC"/>
    <w:rsid w:val="00244A08"/>
    <w:rsid w:val="00244B23"/>
    <w:rsid w:val="00244BD6"/>
    <w:rsid w:val="00245A56"/>
    <w:rsid w:val="002466F4"/>
    <w:rsid w:val="00252352"/>
    <w:rsid w:val="00255067"/>
    <w:rsid w:val="00255854"/>
    <w:rsid w:val="0025738E"/>
    <w:rsid w:val="002628B9"/>
    <w:rsid w:val="00264B03"/>
    <w:rsid w:val="002655EC"/>
    <w:rsid w:val="002740EE"/>
    <w:rsid w:val="0027474D"/>
    <w:rsid w:val="00274A7E"/>
    <w:rsid w:val="00276918"/>
    <w:rsid w:val="00276ED1"/>
    <w:rsid w:val="0027792C"/>
    <w:rsid w:val="00280754"/>
    <w:rsid w:val="00285AF5"/>
    <w:rsid w:val="0028709C"/>
    <w:rsid w:val="00291D75"/>
    <w:rsid w:val="00295B67"/>
    <w:rsid w:val="002A0BC2"/>
    <w:rsid w:val="002A2C2E"/>
    <w:rsid w:val="002A4B6C"/>
    <w:rsid w:val="002B0ECF"/>
    <w:rsid w:val="002C0819"/>
    <w:rsid w:val="002C12FA"/>
    <w:rsid w:val="002C1F11"/>
    <w:rsid w:val="002C21F9"/>
    <w:rsid w:val="002C26EB"/>
    <w:rsid w:val="002C321E"/>
    <w:rsid w:val="002C4280"/>
    <w:rsid w:val="002C42E0"/>
    <w:rsid w:val="002C42FB"/>
    <w:rsid w:val="002C4F1C"/>
    <w:rsid w:val="002C518C"/>
    <w:rsid w:val="002C7B46"/>
    <w:rsid w:val="002D0F51"/>
    <w:rsid w:val="002D27DC"/>
    <w:rsid w:val="002D4621"/>
    <w:rsid w:val="002E0043"/>
    <w:rsid w:val="002E40A2"/>
    <w:rsid w:val="002E47B4"/>
    <w:rsid w:val="002E5671"/>
    <w:rsid w:val="002F105C"/>
    <w:rsid w:val="002F3610"/>
    <w:rsid w:val="002F3FE5"/>
    <w:rsid w:val="002F4E8C"/>
    <w:rsid w:val="0030114D"/>
    <w:rsid w:val="00302B74"/>
    <w:rsid w:val="003032B7"/>
    <w:rsid w:val="0030550A"/>
    <w:rsid w:val="003129E8"/>
    <w:rsid w:val="00315AB7"/>
    <w:rsid w:val="00324AFE"/>
    <w:rsid w:val="00324D0F"/>
    <w:rsid w:val="003259CD"/>
    <w:rsid w:val="0032657A"/>
    <w:rsid w:val="00333E01"/>
    <w:rsid w:val="00335017"/>
    <w:rsid w:val="00340DAD"/>
    <w:rsid w:val="00345971"/>
    <w:rsid w:val="00345DE6"/>
    <w:rsid w:val="0034647B"/>
    <w:rsid w:val="00350382"/>
    <w:rsid w:val="00353DC2"/>
    <w:rsid w:val="00355322"/>
    <w:rsid w:val="00362067"/>
    <w:rsid w:val="00362E62"/>
    <w:rsid w:val="00374640"/>
    <w:rsid w:val="00376CB0"/>
    <w:rsid w:val="00377407"/>
    <w:rsid w:val="00380288"/>
    <w:rsid w:val="00383909"/>
    <w:rsid w:val="0038391A"/>
    <w:rsid w:val="00392B5E"/>
    <w:rsid w:val="00392C05"/>
    <w:rsid w:val="00393618"/>
    <w:rsid w:val="00393D41"/>
    <w:rsid w:val="00395845"/>
    <w:rsid w:val="003A1AEA"/>
    <w:rsid w:val="003A1B51"/>
    <w:rsid w:val="003A207F"/>
    <w:rsid w:val="003A3A3C"/>
    <w:rsid w:val="003A648E"/>
    <w:rsid w:val="003A66D0"/>
    <w:rsid w:val="003A712E"/>
    <w:rsid w:val="003B05BE"/>
    <w:rsid w:val="003B3036"/>
    <w:rsid w:val="003B384E"/>
    <w:rsid w:val="003B51DE"/>
    <w:rsid w:val="003B550B"/>
    <w:rsid w:val="003C27C4"/>
    <w:rsid w:val="003C3A3C"/>
    <w:rsid w:val="003C48C5"/>
    <w:rsid w:val="003C5980"/>
    <w:rsid w:val="003C6DFA"/>
    <w:rsid w:val="003D04BC"/>
    <w:rsid w:val="003D36AD"/>
    <w:rsid w:val="003D3F36"/>
    <w:rsid w:val="003D5191"/>
    <w:rsid w:val="003D60B8"/>
    <w:rsid w:val="003E24CE"/>
    <w:rsid w:val="003E3441"/>
    <w:rsid w:val="003E3941"/>
    <w:rsid w:val="003E540D"/>
    <w:rsid w:val="003E7422"/>
    <w:rsid w:val="003E7CF9"/>
    <w:rsid w:val="003E7D3D"/>
    <w:rsid w:val="003E7E0A"/>
    <w:rsid w:val="003F0CBE"/>
    <w:rsid w:val="003F18E3"/>
    <w:rsid w:val="003F3DED"/>
    <w:rsid w:val="003F57BD"/>
    <w:rsid w:val="003F5B70"/>
    <w:rsid w:val="004018B3"/>
    <w:rsid w:val="0040323C"/>
    <w:rsid w:val="00403FBE"/>
    <w:rsid w:val="00404DA7"/>
    <w:rsid w:val="0040572E"/>
    <w:rsid w:val="00405CE1"/>
    <w:rsid w:val="004078BB"/>
    <w:rsid w:val="0041339D"/>
    <w:rsid w:val="00415754"/>
    <w:rsid w:val="004162E3"/>
    <w:rsid w:val="00421ED8"/>
    <w:rsid w:val="0042297B"/>
    <w:rsid w:val="00422F19"/>
    <w:rsid w:val="00423B48"/>
    <w:rsid w:val="00425123"/>
    <w:rsid w:val="00425FE9"/>
    <w:rsid w:val="00427131"/>
    <w:rsid w:val="004323E9"/>
    <w:rsid w:val="00432C65"/>
    <w:rsid w:val="004339ED"/>
    <w:rsid w:val="00433B89"/>
    <w:rsid w:val="00436F7E"/>
    <w:rsid w:val="00437947"/>
    <w:rsid w:val="0044128D"/>
    <w:rsid w:val="004419D3"/>
    <w:rsid w:val="0044337C"/>
    <w:rsid w:val="004439D2"/>
    <w:rsid w:val="00444D1F"/>
    <w:rsid w:val="00445790"/>
    <w:rsid w:val="00450273"/>
    <w:rsid w:val="004509A5"/>
    <w:rsid w:val="004551F3"/>
    <w:rsid w:val="00455856"/>
    <w:rsid w:val="004563F1"/>
    <w:rsid w:val="004602BA"/>
    <w:rsid w:val="004602EC"/>
    <w:rsid w:val="004617A6"/>
    <w:rsid w:val="00467FE9"/>
    <w:rsid w:val="00474025"/>
    <w:rsid w:val="0048008C"/>
    <w:rsid w:val="004809C9"/>
    <w:rsid w:val="00480BAD"/>
    <w:rsid w:val="00480C44"/>
    <w:rsid w:val="00480C7E"/>
    <w:rsid w:val="0048233B"/>
    <w:rsid w:val="00486CF9"/>
    <w:rsid w:val="00487D95"/>
    <w:rsid w:val="00490CE8"/>
    <w:rsid w:val="00492048"/>
    <w:rsid w:val="004967A2"/>
    <w:rsid w:val="00497CD3"/>
    <w:rsid w:val="004A2D46"/>
    <w:rsid w:val="004A3A35"/>
    <w:rsid w:val="004A6FCA"/>
    <w:rsid w:val="004B0F48"/>
    <w:rsid w:val="004B2B61"/>
    <w:rsid w:val="004B2CFB"/>
    <w:rsid w:val="004B4489"/>
    <w:rsid w:val="004B4939"/>
    <w:rsid w:val="004C331D"/>
    <w:rsid w:val="004C40C1"/>
    <w:rsid w:val="004C4E2A"/>
    <w:rsid w:val="004C56D1"/>
    <w:rsid w:val="004D0D0E"/>
    <w:rsid w:val="004D2C76"/>
    <w:rsid w:val="004D3BC7"/>
    <w:rsid w:val="004D58D5"/>
    <w:rsid w:val="004D71AF"/>
    <w:rsid w:val="004D7301"/>
    <w:rsid w:val="004E2A81"/>
    <w:rsid w:val="004F07C8"/>
    <w:rsid w:val="004F0933"/>
    <w:rsid w:val="004F1DB8"/>
    <w:rsid w:val="004F3EDB"/>
    <w:rsid w:val="004F55EC"/>
    <w:rsid w:val="004F61DD"/>
    <w:rsid w:val="00502569"/>
    <w:rsid w:val="00506204"/>
    <w:rsid w:val="005110C4"/>
    <w:rsid w:val="00511171"/>
    <w:rsid w:val="005112E0"/>
    <w:rsid w:val="0051136D"/>
    <w:rsid w:val="005125C1"/>
    <w:rsid w:val="005136CC"/>
    <w:rsid w:val="00513858"/>
    <w:rsid w:val="0051461F"/>
    <w:rsid w:val="00514B37"/>
    <w:rsid w:val="00514EEC"/>
    <w:rsid w:val="0051630A"/>
    <w:rsid w:val="00521281"/>
    <w:rsid w:val="00521874"/>
    <w:rsid w:val="00521920"/>
    <w:rsid w:val="00522A69"/>
    <w:rsid w:val="00522AC6"/>
    <w:rsid w:val="00523AB9"/>
    <w:rsid w:val="005246B1"/>
    <w:rsid w:val="00524D71"/>
    <w:rsid w:val="00530B04"/>
    <w:rsid w:val="0053683E"/>
    <w:rsid w:val="00537B0D"/>
    <w:rsid w:val="005403E8"/>
    <w:rsid w:val="00542990"/>
    <w:rsid w:val="00542A98"/>
    <w:rsid w:val="005453C5"/>
    <w:rsid w:val="0054599C"/>
    <w:rsid w:val="00545A84"/>
    <w:rsid w:val="00550B44"/>
    <w:rsid w:val="005511A5"/>
    <w:rsid w:val="00551EF3"/>
    <w:rsid w:val="00554084"/>
    <w:rsid w:val="00557E24"/>
    <w:rsid w:val="00560593"/>
    <w:rsid w:val="0056163A"/>
    <w:rsid w:val="00562217"/>
    <w:rsid w:val="00563BE5"/>
    <w:rsid w:val="00567397"/>
    <w:rsid w:val="00570E9F"/>
    <w:rsid w:val="00574FBD"/>
    <w:rsid w:val="005773BB"/>
    <w:rsid w:val="00585C83"/>
    <w:rsid w:val="00586604"/>
    <w:rsid w:val="00586DD0"/>
    <w:rsid w:val="005912E4"/>
    <w:rsid w:val="00592B7D"/>
    <w:rsid w:val="00594928"/>
    <w:rsid w:val="00597F8C"/>
    <w:rsid w:val="005A1A8C"/>
    <w:rsid w:val="005A1F9D"/>
    <w:rsid w:val="005A3798"/>
    <w:rsid w:val="005A67E5"/>
    <w:rsid w:val="005A7302"/>
    <w:rsid w:val="005C22B6"/>
    <w:rsid w:val="005C2844"/>
    <w:rsid w:val="005C7F3F"/>
    <w:rsid w:val="005D548C"/>
    <w:rsid w:val="005D6266"/>
    <w:rsid w:val="005D715D"/>
    <w:rsid w:val="005E02C0"/>
    <w:rsid w:val="005E2187"/>
    <w:rsid w:val="005E4FE9"/>
    <w:rsid w:val="005F19E0"/>
    <w:rsid w:val="005F3CB0"/>
    <w:rsid w:val="005F57B5"/>
    <w:rsid w:val="005F7AA1"/>
    <w:rsid w:val="00600C83"/>
    <w:rsid w:val="00603629"/>
    <w:rsid w:val="00603C34"/>
    <w:rsid w:val="00604E7C"/>
    <w:rsid w:val="00604FAE"/>
    <w:rsid w:val="00607605"/>
    <w:rsid w:val="0061001E"/>
    <w:rsid w:val="00610B3C"/>
    <w:rsid w:val="0061121B"/>
    <w:rsid w:val="00622319"/>
    <w:rsid w:val="00623394"/>
    <w:rsid w:val="0062416A"/>
    <w:rsid w:val="00625B56"/>
    <w:rsid w:val="00625FB3"/>
    <w:rsid w:val="00626129"/>
    <w:rsid w:val="00632A52"/>
    <w:rsid w:val="00634414"/>
    <w:rsid w:val="00636012"/>
    <w:rsid w:val="00636987"/>
    <w:rsid w:val="00640BB6"/>
    <w:rsid w:val="00642FCD"/>
    <w:rsid w:val="006433B2"/>
    <w:rsid w:val="006441EE"/>
    <w:rsid w:val="00652DD9"/>
    <w:rsid w:val="00654E70"/>
    <w:rsid w:val="006559C8"/>
    <w:rsid w:val="00657405"/>
    <w:rsid w:val="006605C2"/>
    <w:rsid w:val="00661864"/>
    <w:rsid w:val="00663896"/>
    <w:rsid w:val="00663A00"/>
    <w:rsid w:val="00664061"/>
    <w:rsid w:val="00664FA6"/>
    <w:rsid w:val="00665569"/>
    <w:rsid w:val="0066632E"/>
    <w:rsid w:val="0067139F"/>
    <w:rsid w:val="00680A2E"/>
    <w:rsid w:val="006832A4"/>
    <w:rsid w:val="006846E9"/>
    <w:rsid w:val="006872DB"/>
    <w:rsid w:val="0069578F"/>
    <w:rsid w:val="00695ED2"/>
    <w:rsid w:val="006A1022"/>
    <w:rsid w:val="006A1A83"/>
    <w:rsid w:val="006A2C4B"/>
    <w:rsid w:val="006A3D80"/>
    <w:rsid w:val="006A541C"/>
    <w:rsid w:val="006A55D2"/>
    <w:rsid w:val="006B2E23"/>
    <w:rsid w:val="006B42B8"/>
    <w:rsid w:val="006B4310"/>
    <w:rsid w:val="006B6104"/>
    <w:rsid w:val="006B65CC"/>
    <w:rsid w:val="006B763D"/>
    <w:rsid w:val="006B7EDD"/>
    <w:rsid w:val="006D0365"/>
    <w:rsid w:val="006D193D"/>
    <w:rsid w:val="006D2068"/>
    <w:rsid w:val="006D3725"/>
    <w:rsid w:val="006D39A9"/>
    <w:rsid w:val="006D4AE1"/>
    <w:rsid w:val="006D52D8"/>
    <w:rsid w:val="006D5AAB"/>
    <w:rsid w:val="006E0111"/>
    <w:rsid w:val="006E1983"/>
    <w:rsid w:val="006E3C13"/>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058"/>
    <w:rsid w:val="00746DDC"/>
    <w:rsid w:val="007475AA"/>
    <w:rsid w:val="0075061C"/>
    <w:rsid w:val="00754D25"/>
    <w:rsid w:val="00755961"/>
    <w:rsid w:val="00756A18"/>
    <w:rsid w:val="00757590"/>
    <w:rsid w:val="00764FEE"/>
    <w:rsid w:val="007652CE"/>
    <w:rsid w:val="00765936"/>
    <w:rsid w:val="00767D95"/>
    <w:rsid w:val="00771260"/>
    <w:rsid w:val="0077416A"/>
    <w:rsid w:val="007744D9"/>
    <w:rsid w:val="007821CF"/>
    <w:rsid w:val="00783DAC"/>
    <w:rsid w:val="00784500"/>
    <w:rsid w:val="00785112"/>
    <w:rsid w:val="00786700"/>
    <w:rsid w:val="007878B9"/>
    <w:rsid w:val="007931BC"/>
    <w:rsid w:val="00793646"/>
    <w:rsid w:val="0079521E"/>
    <w:rsid w:val="00796071"/>
    <w:rsid w:val="007A1510"/>
    <w:rsid w:val="007A4D97"/>
    <w:rsid w:val="007A768C"/>
    <w:rsid w:val="007B2CAC"/>
    <w:rsid w:val="007B44FB"/>
    <w:rsid w:val="007B4985"/>
    <w:rsid w:val="007B7F5E"/>
    <w:rsid w:val="007C0E38"/>
    <w:rsid w:val="007C18E3"/>
    <w:rsid w:val="007C4E08"/>
    <w:rsid w:val="007C62F7"/>
    <w:rsid w:val="007D2F4C"/>
    <w:rsid w:val="007D3070"/>
    <w:rsid w:val="007D3DFF"/>
    <w:rsid w:val="007D3F38"/>
    <w:rsid w:val="007D4DB8"/>
    <w:rsid w:val="007E2197"/>
    <w:rsid w:val="007E3304"/>
    <w:rsid w:val="007F1E48"/>
    <w:rsid w:val="007F4605"/>
    <w:rsid w:val="007F512F"/>
    <w:rsid w:val="007F6C7D"/>
    <w:rsid w:val="008026F6"/>
    <w:rsid w:val="00803F84"/>
    <w:rsid w:val="00806070"/>
    <w:rsid w:val="00806EE8"/>
    <w:rsid w:val="0081107A"/>
    <w:rsid w:val="00811D89"/>
    <w:rsid w:val="00814500"/>
    <w:rsid w:val="00822F77"/>
    <w:rsid w:val="00833AF7"/>
    <w:rsid w:val="00834023"/>
    <w:rsid w:val="00834480"/>
    <w:rsid w:val="00835579"/>
    <w:rsid w:val="00836F9B"/>
    <w:rsid w:val="00841BEA"/>
    <w:rsid w:val="00844106"/>
    <w:rsid w:val="00844B27"/>
    <w:rsid w:val="00844D29"/>
    <w:rsid w:val="00846195"/>
    <w:rsid w:val="00846FA0"/>
    <w:rsid w:val="008479B6"/>
    <w:rsid w:val="0085005A"/>
    <w:rsid w:val="0086002F"/>
    <w:rsid w:val="00861151"/>
    <w:rsid w:val="00863F9D"/>
    <w:rsid w:val="008645F9"/>
    <w:rsid w:val="00865488"/>
    <w:rsid w:val="0086628A"/>
    <w:rsid w:val="00871279"/>
    <w:rsid w:val="00872913"/>
    <w:rsid w:val="00873F82"/>
    <w:rsid w:val="00880CA5"/>
    <w:rsid w:val="008817B1"/>
    <w:rsid w:val="00882E58"/>
    <w:rsid w:val="008834BB"/>
    <w:rsid w:val="008840FA"/>
    <w:rsid w:val="008846D2"/>
    <w:rsid w:val="00890F95"/>
    <w:rsid w:val="0089311A"/>
    <w:rsid w:val="008946C3"/>
    <w:rsid w:val="008948E0"/>
    <w:rsid w:val="0089528C"/>
    <w:rsid w:val="00896610"/>
    <w:rsid w:val="008A4C0E"/>
    <w:rsid w:val="008B034D"/>
    <w:rsid w:val="008B0BBC"/>
    <w:rsid w:val="008B4153"/>
    <w:rsid w:val="008B5356"/>
    <w:rsid w:val="008B542B"/>
    <w:rsid w:val="008B5E64"/>
    <w:rsid w:val="008B7927"/>
    <w:rsid w:val="008B7A6B"/>
    <w:rsid w:val="008C4D5E"/>
    <w:rsid w:val="008C6AD1"/>
    <w:rsid w:val="008C71B5"/>
    <w:rsid w:val="008D7FA9"/>
    <w:rsid w:val="008E431F"/>
    <w:rsid w:val="008E5E12"/>
    <w:rsid w:val="008F0D2A"/>
    <w:rsid w:val="008F12D4"/>
    <w:rsid w:val="008F17A0"/>
    <w:rsid w:val="008F23EF"/>
    <w:rsid w:val="008F386F"/>
    <w:rsid w:val="008F48E1"/>
    <w:rsid w:val="008F5BD0"/>
    <w:rsid w:val="009003FE"/>
    <w:rsid w:val="00903C95"/>
    <w:rsid w:val="009046D4"/>
    <w:rsid w:val="00904CC5"/>
    <w:rsid w:val="0091058D"/>
    <w:rsid w:val="00913858"/>
    <w:rsid w:val="00913A0F"/>
    <w:rsid w:val="00914959"/>
    <w:rsid w:val="00915CE6"/>
    <w:rsid w:val="009168A1"/>
    <w:rsid w:val="00924681"/>
    <w:rsid w:val="0092622E"/>
    <w:rsid w:val="00930877"/>
    <w:rsid w:val="00945CB0"/>
    <w:rsid w:val="00951188"/>
    <w:rsid w:val="00955CBA"/>
    <w:rsid w:val="00960F2F"/>
    <w:rsid w:val="009627D1"/>
    <w:rsid w:val="009634F6"/>
    <w:rsid w:val="00963B5E"/>
    <w:rsid w:val="00963FA0"/>
    <w:rsid w:val="0096491F"/>
    <w:rsid w:val="00966DE8"/>
    <w:rsid w:val="00971C6D"/>
    <w:rsid w:val="00974317"/>
    <w:rsid w:val="00974E95"/>
    <w:rsid w:val="00975F2D"/>
    <w:rsid w:val="00977BF5"/>
    <w:rsid w:val="00982B9A"/>
    <w:rsid w:val="0098302D"/>
    <w:rsid w:val="00985722"/>
    <w:rsid w:val="00987608"/>
    <w:rsid w:val="00990E2A"/>
    <w:rsid w:val="009943A0"/>
    <w:rsid w:val="009953BC"/>
    <w:rsid w:val="009963D2"/>
    <w:rsid w:val="00996898"/>
    <w:rsid w:val="009A0568"/>
    <w:rsid w:val="009A0AF9"/>
    <w:rsid w:val="009A16BE"/>
    <w:rsid w:val="009A2337"/>
    <w:rsid w:val="009A2E00"/>
    <w:rsid w:val="009A355A"/>
    <w:rsid w:val="009A5CE8"/>
    <w:rsid w:val="009A7B5A"/>
    <w:rsid w:val="009A7F79"/>
    <w:rsid w:val="009B2BDC"/>
    <w:rsid w:val="009B4D40"/>
    <w:rsid w:val="009B5F5D"/>
    <w:rsid w:val="009B6201"/>
    <w:rsid w:val="009B73BA"/>
    <w:rsid w:val="009B7DF4"/>
    <w:rsid w:val="009C10D9"/>
    <w:rsid w:val="009C425A"/>
    <w:rsid w:val="009C5CA7"/>
    <w:rsid w:val="009D03F8"/>
    <w:rsid w:val="009D1DF4"/>
    <w:rsid w:val="009D7A24"/>
    <w:rsid w:val="009E00E4"/>
    <w:rsid w:val="009E0D20"/>
    <w:rsid w:val="009E0F6B"/>
    <w:rsid w:val="009E2964"/>
    <w:rsid w:val="009E483A"/>
    <w:rsid w:val="009E51F3"/>
    <w:rsid w:val="009E5D18"/>
    <w:rsid w:val="009E7DCD"/>
    <w:rsid w:val="009F55F9"/>
    <w:rsid w:val="009F5CC0"/>
    <w:rsid w:val="009F6F8B"/>
    <w:rsid w:val="009F7164"/>
    <w:rsid w:val="00A02F0A"/>
    <w:rsid w:val="00A0740B"/>
    <w:rsid w:val="00A1074D"/>
    <w:rsid w:val="00A11BE7"/>
    <w:rsid w:val="00A127DD"/>
    <w:rsid w:val="00A14423"/>
    <w:rsid w:val="00A14E6C"/>
    <w:rsid w:val="00A167EC"/>
    <w:rsid w:val="00A172E6"/>
    <w:rsid w:val="00A17E51"/>
    <w:rsid w:val="00A24C8D"/>
    <w:rsid w:val="00A26F15"/>
    <w:rsid w:val="00A30E37"/>
    <w:rsid w:val="00A35CF8"/>
    <w:rsid w:val="00A360E7"/>
    <w:rsid w:val="00A400FB"/>
    <w:rsid w:val="00A443D1"/>
    <w:rsid w:val="00A456B3"/>
    <w:rsid w:val="00A47BFE"/>
    <w:rsid w:val="00A51808"/>
    <w:rsid w:val="00A51D78"/>
    <w:rsid w:val="00A51EA8"/>
    <w:rsid w:val="00A549C3"/>
    <w:rsid w:val="00A561A8"/>
    <w:rsid w:val="00A562A6"/>
    <w:rsid w:val="00A7007B"/>
    <w:rsid w:val="00A71623"/>
    <w:rsid w:val="00A84B87"/>
    <w:rsid w:val="00A84D4B"/>
    <w:rsid w:val="00A8592D"/>
    <w:rsid w:val="00A87311"/>
    <w:rsid w:val="00A90D08"/>
    <w:rsid w:val="00A92E78"/>
    <w:rsid w:val="00A93FFF"/>
    <w:rsid w:val="00A95746"/>
    <w:rsid w:val="00A96D45"/>
    <w:rsid w:val="00A973EE"/>
    <w:rsid w:val="00AA18DD"/>
    <w:rsid w:val="00AA1F91"/>
    <w:rsid w:val="00AA5CE1"/>
    <w:rsid w:val="00AB2D9E"/>
    <w:rsid w:val="00AB3853"/>
    <w:rsid w:val="00AB4404"/>
    <w:rsid w:val="00AB50DF"/>
    <w:rsid w:val="00AC21EE"/>
    <w:rsid w:val="00AC3B22"/>
    <w:rsid w:val="00AC4101"/>
    <w:rsid w:val="00AC5597"/>
    <w:rsid w:val="00AD0116"/>
    <w:rsid w:val="00AD117D"/>
    <w:rsid w:val="00AD1559"/>
    <w:rsid w:val="00AD1B42"/>
    <w:rsid w:val="00AD4B84"/>
    <w:rsid w:val="00AE23BE"/>
    <w:rsid w:val="00AE2598"/>
    <w:rsid w:val="00AE5772"/>
    <w:rsid w:val="00AF0AC0"/>
    <w:rsid w:val="00AF39EA"/>
    <w:rsid w:val="00AF4CA9"/>
    <w:rsid w:val="00AF5B52"/>
    <w:rsid w:val="00B008BF"/>
    <w:rsid w:val="00B07460"/>
    <w:rsid w:val="00B16978"/>
    <w:rsid w:val="00B16BE4"/>
    <w:rsid w:val="00B17EBB"/>
    <w:rsid w:val="00B24A6F"/>
    <w:rsid w:val="00B278DB"/>
    <w:rsid w:val="00B30D4F"/>
    <w:rsid w:val="00B3434E"/>
    <w:rsid w:val="00B347F4"/>
    <w:rsid w:val="00B351FD"/>
    <w:rsid w:val="00B35BFD"/>
    <w:rsid w:val="00B40BB3"/>
    <w:rsid w:val="00B417AF"/>
    <w:rsid w:val="00B421F2"/>
    <w:rsid w:val="00B42822"/>
    <w:rsid w:val="00B42C54"/>
    <w:rsid w:val="00B4395A"/>
    <w:rsid w:val="00B4553E"/>
    <w:rsid w:val="00B46773"/>
    <w:rsid w:val="00B47091"/>
    <w:rsid w:val="00B47E14"/>
    <w:rsid w:val="00B54256"/>
    <w:rsid w:val="00B545F4"/>
    <w:rsid w:val="00B56303"/>
    <w:rsid w:val="00B64F62"/>
    <w:rsid w:val="00B654F0"/>
    <w:rsid w:val="00B66898"/>
    <w:rsid w:val="00B7164C"/>
    <w:rsid w:val="00B76887"/>
    <w:rsid w:val="00B807AB"/>
    <w:rsid w:val="00B80F53"/>
    <w:rsid w:val="00B82E26"/>
    <w:rsid w:val="00B95FBC"/>
    <w:rsid w:val="00B97C44"/>
    <w:rsid w:val="00BA05AE"/>
    <w:rsid w:val="00BA2FA3"/>
    <w:rsid w:val="00BA333A"/>
    <w:rsid w:val="00BA6418"/>
    <w:rsid w:val="00BA7D18"/>
    <w:rsid w:val="00BB3A8F"/>
    <w:rsid w:val="00BC2A83"/>
    <w:rsid w:val="00BD0D15"/>
    <w:rsid w:val="00BD26B5"/>
    <w:rsid w:val="00BD5425"/>
    <w:rsid w:val="00BD6045"/>
    <w:rsid w:val="00BD78F0"/>
    <w:rsid w:val="00BF0332"/>
    <w:rsid w:val="00BF5FCC"/>
    <w:rsid w:val="00C069A2"/>
    <w:rsid w:val="00C069EC"/>
    <w:rsid w:val="00C171CB"/>
    <w:rsid w:val="00C17416"/>
    <w:rsid w:val="00C1748F"/>
    <w:rsid w:val="00C20604"/>
    <w:rsid w:val="00C221D5"/>
    <w:rsid w:val="00C2280A"/>
    <w:rsid w:val="00C231B3"/>
    <w:rsid w:val="00C2652B"/>
    <w:rsid w:val="00C27D3B"/>
    <w:rsid w:val="00C30598"/>
    <w:rsid w:val="00C45C85"/>
    <w:rsid w:val="00C52450"/>
    <w:rsid w:val="00C533E6"/>
    <w:rsid w:val="00C56730"/>
    <w:rsid w:val="00C6024F"/>
    <w:rsid w:val="00C60CE3"/>
    <w:rsid w:val="00C63D95"/>
    <w:rsid w:val="00C64B94"/>
    <w:rsid w:val="00C739BF"/>
    <w:rsid w:val="00C74DB6"/>
    <w:rsid w:val="00C751E5"/>
    <w:rsid w:val="00C76C24"/>
    <w:rsid w:val="00C80E3F"/>
    <w:rsid w:val="00C822A8"/>
    <w:rsid w:val="00C90663"/>
    <w:rsid w:val="00C93DCA"/>
    <w:rsid w:val="00C94167"/>
    <w:rsid w:val="00CA071B"/>
    <w:rsid w:val="00CA5466"/>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E493E"/>
    <w:rsid w:val="00CF0534"/>
    <w:rsid w:val="00CF3FF0"/>
    <w:rsid w:val="00CF41AF"/>
    <w:rsid w:val="00CF4567"/>
    <w:rsid w:val="00CF53AB"/>
    <w:rsid w:val="00CF6815"/>
    <w:rsid w:val="00D04D3D"/>
    <w:rsid w:val="00D11B02"/>
    <w:rsid w:val="00D1202C"/>
    <w:rsid w:val="00D12617"/>
    <w:rsid w:val="00D16DDF"/>
    <w:rsid w:val="00D16E24"/>
    <w:rsid w:val="00D20486"/>
    <w:rsid w:val="00D21E0C"/>
    <w:rsid w:val="00D228D8"/>
    <w:rsid w:val="00D26849"/>
    <w:rsid w:val="00D27774"/>
    <w:rsid w:val="00D31439"/>
    <w:rsid w:val="00D33677"/>
    <w:rsid w:val="00D373EC"/>
    <w:rsid w:val="00D40B7D"/>
    <w:rsid w:val="00D4180D"/>
    <w:rsid w:val="00D42875"/>
    <w:rsid w:val="00D42B44"/>
    <w:rsid w:val="00D44A14"/>
    <w:rsid w:val="00D4722A"/>
    <w:rsid w:val="00D47738"/>
    <w:rsid w:val="00D51A9B"/>
    <w:rsid w:val="00D51D95"/>
    <w:rsid w:val="00D53EC6"/>
    <w:rsid w:val="00D55A00"/>
    <w:rsid w:val="00D56F77"/>
    <w:rsid w:val="00D57E77"/>
    <w:rsid w:val="00D61E9F"/>
    <w:rsid w:val="00D62CC8"/>
    <w:rsid w:val="00D6402F"/>
    <w:rsid w:val="00D7047A"/>
    <w:rsid w:val="00D719E9"/>
    <w:rsid w:val="00D72225"/>
    <w:rsid w:val="00D73550"/>
    <w:rsid w:val="00D838F7"/>
    <w:rsid w:val="00D8479E"/>
    <w:rsid w:val="00D868F1"/>
    <w:rsid w:val="00D87EFF"/>
    <w:rsid w:val="00D91AE6"/>
    <w:rsid w:val="00D934A8"/>
    <w:rsid w:val="00D941E0"/>
    <w:rsid w:val="00D95840"/>
    <w:rsid w:val="00DA150B"/>
    <w:rsid w:val="00DA3BB3"/>
    <w:rsid w:val="00DA554C"/>
    <w:rsid w:val="00DA5BBE"/>
    <w:rsid w:val="00DA5F07"/>
    <w:rsid w:val="00DB42FB"/>
    <w:rsid w:val="00DB7AEE"/>
    <w:rsid w:val="00DC11FF"/>
    <w:rsid w:val="00DC39C4"/>
    <w:rsid w:val="00DC4568"/>
    <w:rsid w:val="00DD0941"/>
    <w:rsid w:val="00DD1C47"/>
    <w:rsid w:val="00DD6B5E"/>
    <w:rsid w:val="00DE4BF6"/>
    <w:rsid w:val="00DE69D0"/>
    <w:rsid w:val="00DE7070"/>
    <w:rsid w:val="00DE77A3"/>
    <w:rsid w:val="00DF02F6"/>
    <w:rsid w:val="00DF21B8"/>
    <w:rsid w:val="00DF31EE"/>
    <w:rsid w:val="00DF3395"/>
    <w:rsid w:val="00DF7681"/>
    <w:rsid w:val="00E02D36"/>
    <w:rsid w:val="00E03431"/>
    <w:rsid w:val="00E04E43"/>
    <w:rsid w:val="00E05E74"/>
    <w:rsid w:val="00E149CE"/>
    <w:rsid w:val="00E16AC4"/>
    <w:rsid w:val="00E17C58"/>
    <w:rsid w:val="00E2178D"/>
    <w:rsid w:val="00E21B19"/>
    <w:rsid w:val="00E23958"/>
    <w:rsid w:val="00E23AD4"/>
    <w:rsid w:val="00E23BEC"/>
    <w:rsid w:val="00E23EC3"/>
    <w:rsid w:val="00E24E4D"/>
    <w:rsid w:val="00E2618B"/>
    <w:rsid w:val="00E267F1"/>
    <w:rsid w:val="00E528AF"/>
    <w:rsid w:val="00E53131"/>
    <w:rsid w:val="00E5518E"/>
    <w:rsid w:val="00E56222"/>
    <w:rsid w:val="00E566D8"/>
    <w:rsid w:val="00E57743"/>
    <w:rsid w:val="00E577C9"/>
    <w:rsid w:val="00E6019A"/>
    <w:rsid w:val="00E62DD3"/>
    <w:rsid w:val="00E66D8F"/>
    <w:rsid w:val="00E6742D"/>
    <w:rsid w:val="00E71707"/>
    <w:rsid w:val="00E71C1B"/>
    <w:rsid w:val="00E71EF1"/>
    <w:rsid w:val="00E731C6"/>
    <w:rsid w:val="00E740C4"/>
    <w:rsid w:val="00E74686"/>
    <w:rsid w:val="00E74750"/>
    <w:rsid w:val="00E76686"/>
    <w:rsid w:val="00E80520"/>
    <w:rsid w:val="00E81BD0"/>
    <w:rsid w:val="00E83C98"/>
    <w:rsid w:val="00E840FE"/>
    <w:rsid w:val="00E84DBD"/>
    <w:rsid w:val="00E9128A"/>
    <w:rsid w:val="00E91C15"/>
    <w:rsid w:val="00E943E8"/>
    <w:rsid w:val="00E945CE"/>
    <w:rsid w:val="00E94FAF"/>
    <w:rsid w:val="00EA0528"/>
    <w:rsid w:val="00EA347E"/>
    <w:rsid w:val="00EA4E02"/>
    <w:rsid w:val="00EA6276"/>
    <w:rsid w:val="00EB048C"/>
    <w:rsid w:val="00EB2C67"/>
    <w:rsid w:val="00EB367C"/>
    <w:rsid w:val="00EB43BA"/>
    <w:rsid w:val="00EB46D0"/>
    <w:rsid w:val="00EB4700"/>
    <w:rsid w:val="00EB7F72"/>
    <w:rsid w:val="00EC08B4"/>
    <w:rsid w:val="00EC3DE2"/>
    <w:rsid w:val="00EC4357"/>
    <w:rsid w:val="00EC49A4"/>
    <w:rsid w:val="00EC4EF3"/>
    <w:rsid w:val="00ED20C9"/>
    <w:rsid w:val="00ED21EE"/>
    <w:rsid w:val="00ED37E1"/>
    <w:rsid w:val="00ED3B31"/>
    <w:rsid w:val="00ED4EC4"/>
    <w:rsid w:val="00ED6C04"/>
    <w:rsid w:val="00EE4094"/>
    <w:rsid w:val="00EE4D57"/>
    <w:rsid w:val="00EE53FF"/>
    <w:rsid w:val="00EE5E83"/>
    <w:rsid w:val="00EE7092"/>
    <w:rsid w:val="00EF2F5C"/>
    <w:rsid w:val="00EF7590"/>
    <w:rsid w:val="00F024CA"/>
    <w:rsid w:val="00F0354F"/>
    <w:rsid w:val="00F1013F"/>
    <w:rsid w:val="00F10A99"/>
    <w:rsid w:val="00F138A2"/>
    <w:rsid w:val="00F154EB"/>
    <w:rsid w:val="00F15C68"/>
    <w:rsid w:val="00F20632"/>
    <w:rsid w:val="00F23738"/>
    <w:rsid w:val="00F30846"/>
    <w:rsid w:val="00F30CAB"/>
    <w:rsid w:val="00F32479"/>
    <w:rsid w:val="00F327DF"/>
    <w:rsid w:val="00F33121"/>
    <w:rsid w:val="00F33769"/>
    <w:rsid w:val="00F36DEB"/>
    <w:rsid w:val="00F4049A"/>
    <w:rsid w:val="00F406FD"/>
    <w:rsid w:val="00F40BD1"/>
    <w:rsid w:val="00F414D0"/>
    <w:rsid w:val="00F46972"/>
    <w:rsid w:val="00F47D9D"/>
    <w:rsid w:val="00F50558"/>
    <w:rsid w:val="00F50A8E"/>
    <w:rsid w:val="00F55847"/>
    <w:rsid w:val="00F57142"/>
    <w:rsid w:val="00F5756D"/>
    <w:rsid w:val="00F630A2"/>
    <w:rsid w:val="00F652AB"/>
    <w:rsid w:val="00F65942"/>
    <w:rsid w:val="00F72AA0"/>
    <w:rsid w:val="00F732AD"/>
    <w:rsid w:val="00F740A9"/>
    <w:rsid w:val="00F76A40"/>
    <w:rsid w:val="00F80C07"/>
    <w:rsid w:val="00F81385"/>
    <w:rsid w:val="00F81A75"/>
    <w:rsid w:val="00F87264"/>
    <w:rsid w:val="00F908E9"/>
    <w:rsid w:val="00FA1377"/>
    <w:rsid w:val="00FA56D6"/>
    <w:rsid w:val="00FA595F"/>
    <w:rsid w:val="00FA6C24"/>
    <w:rsid w:val="00FB651A"/>
    <w:rsid w:val="00FC0CB3"/>
    <w:rsid w:val="00FC2999"/>
    <w:rsid w:val="00FC765F"/>
    <w:rsid w:val="00FD1861"/>
    <w:rsid w:val="00FD5375"/>
    <w:rsid w:val="00FD61A3"/>
    <w:rsid w:val="00FD66C9"/>
    <w:rsid w:val="00FD79F6"/>
    <w:rsid w:val="00FE0371"/>
    <w:rsid w:val="00FE1258"/>
    <w:rsid w:val="00FE2969"/>
    <w:rsid w:val="00FE31D0"/>
    <w:rsid w:val="00FE3581"/>
    <w:rsid w:val="00FE7A3F"/>
    <w:rsid w:val="00FF4E87"/>
    <w:rsid w:val="00FF4F8D"/>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137DDC"/>
    <w:rPr>
      <w:rFonts w:ascii="Arial" w:hAnsi="Arial"/>
      <w:sz w:val="22"/>
    </w:rPr>
  </w:style>
  <w:style w:type="paragraph" w:styleId="TOC2">
    <w:name w:val="toc 2"/>
    <w:basedOn w:val="Normal"/>
    <w:next w:val="Normal"/>
    <w:autoRedefine/>
    <w:uiPriority w:val="39"/>
    <w:rsid w:val="00137DDC"/>
    <w:pPr>
      <w:ind w:left="240"/>
    </w:pPr>
    <w:rPr>
      <w:rFonts w:ascii="Arial" w:hAnsi="Arial"/>
      <w:sz w:val="22"/>
    </w:r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rsid w:val="00137DDC"/>
    <w:pPr>
      <w:ind w:left="480"/>
    </w:pPr>
    <w:rPr>
      <w:rFonts w:ascii="Arial" w:hAnsi="Arial"/>
      <w:sz w:val="22"/>
    </w:r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137DDC"/>
    <w:rPr>
      <w:rFonts w:ascii="Arial" w:hAnsi="Arial"/>
      <w:sz w:val="22"/>
    </w:rPr>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BodyText">
    <w:name w:val="Body Text"/>
    <w:basedOn w:val="Normal"/>
    <w:link w:val="BodyTextChar1"/>
    <w:rsid w:val="0011561D"/>
    <w:pPr>
      <w:spacing w:after="120"/>
    </w:pPr>
  </w:style>
  <w:style w:type="character" w:customStyle="1" w:styleId="BodyTextChar">
    <w:name w:val="Body Text Char"/>
    <w:rsid w:val="0011561D"/>
    <w:rPr>
      <w:sz w:val="24"/>
      <w:szCs w:val="24"/>
    </w:rPr>
  </w:style>
  <w:style w:type="character" w:customStyle="1" w:styleId="BodyTextChar1">
    <w:name w:val="Body Text Char1"/>
    <w:link w:val="BodyText"/>
    <w:rsid w:val="0011561D"/>
    <w:rPr>
      <w:sz w:val="24"/>
      <w:szCs w:val="24"/>
    </w:rPr>
  </w:style>
  <w:style w:type="character" w:customStyle="1" w:styleId="EndnoteTextChar">
    <w:name w:val="Endnote Text Char"/>
    <w:link w:val="EndnoteText"/>
    <w:semiHidden/>
    <w:rsid w:val="002C1F11"/>
  </w:style>
  <w:style w:type="paragraph" w:styleId="Revision">
    <w:name w:val="Revision"/>
    <w:hidden/>
    <w:uiPriority w:val="99"/>
    <w:semiHidden/>
    <w:rsid w:val="003A1AEA"/>
    <w:rPr>
      <w:sz w:val="24"/>
      <w:szCs w:val="24"/>
    </w:rPr>
  </w:style>
  <w:style w:type="character" w:customStyle="1" w:styleId="FooterChar">
    <w:name w:val="Footer Char"/>
    <w:link w:val="Footer"/>
    <w:uiPriority w:val="99"/>
    <w:rsid w:val="006B2E23"/>
    <w:rPr>
      <w:sz w:val="24"/>
      <w:szCs w:val="24"/>
    </w:rPr>
  </w:style>
  <w:style w:type="character" w:styleId="Strong">
    <w:name w:val="Strong"/>
    <w:qFormat/>
    <w:rsid w:val="001D2372"/>
    <w:rPr>
      <w:rFonts w:ascii="Arial" w:hAnsi="Arial"/>
      <w:b/>
      <w:bCs/>
      <w:sz w:val="22"/>
    </w:rPr>
  </w:style>
  <w:style w:type="character" w:customStyle="1" w:styleId="Heading2Char">
    <w:name w:val="Heading 2 Char"/>
    <w:basedOn w:val="DefaultParagraphFont"/>
    <w:link w:val="Heading2"/>
    <w:rsid w:val="001D2372"/>
    <w:rPr>
      <w:rFonts w:ascii="Arial" w:hAnsi="Arial" w:cs="Arial"/>
      <w:b/>
      <w:bCs/>
      <w:i/>
      <w:iCs/>
      <w:sz w:val="28"/>
      <w:szCs w:val="28"/>
    </w:rPr>
  </w:style>
  <w:style w:type="character" w:customStyle="1" w:styleId="HeaderChar">
    <w:name w:val="Header Char"/>
    <w:basedOn w:val="DefaultParagraphFont"/>
    <w:link w:val="Header"/>
    <w:uiPriority w:val="99"/>
    <w:rsid w:val="0097431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E71EF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137DDC"/>
    <w:rPr>
      <w:rFonts w:ascii="Arial" w:hAnsi="Arial"/>
      <w:sz w:val="22"/>
    </w:rPr>
  </w:style>
  <w:style w:type="paragraph" w:styleId="TOC2">
    <w:name w:val="toc 2"/>
    <w:basedOn w:val="Normal"/>
    <w:next w:val="Normal"/>
    <w:autoRedefine/>
    <w:uiPriority w:val="39"/>
    <w:rsid w:val="00137DDC"/>
    <w:pPr>
      <w:ind w:left="240"/>
    </w:pPr>
    <w:rPr>
      <w:rFonts w:ascii="Arial" w:hAnsi="Arial"/>
      <w:sz w:val="22"/>
    </w:r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link w:val="HeaderChar"/>
    <w:uiPriority w:val="99"/>
    <w:rsid w:val="000966CC"/>
    <w:pPr>
      <w:tabs>
        <w:tab w:val="center" w:pos="4320"/>
        <w:tab w:val="right" w:pos="8640"/>
      </w:tabs>
    </w:pPr>
  </w:style>
  <w:style w:type="paragraph" w:styleId="TOC3">
    <w:name w:val="toc 3"/>
    <w:basedOn w:val="Normal"/>
    <w:next w:val="Normal"/>
    <w:autoRedefine/>
    <w:uiPriority w:val="39"/>
    <w:rsid w:val="00137DDC"/>
    <w:pPr>
      <w:ind w:left="480"/>
    </w:pPr>
    <w:rPr>
      <w:rFonts w:ascii="Arial" w:hAnsi="Arial"/>
      <w:sz w:val="22"/>
    </w:r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137DDC"/>
    <w:rPr>
      <w:rFonts w:ascii="Arial" w:hAnsi="Arial"/>
      <w:sz w:val="22"/>
    </w:rPr>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paragraph" w:styleId="BodyText">
    <w:name w:val="Body Text"/>
    <w:basedOn w:val="Normal"/>
    <w:link w:val="BodyTextChar1"/>
    <w:rsid w:val="0011561D"/>
    <w:pPr>
      <w:spacing w:after="120"/>
    </w:pPr>
  </w:style>
  <w:style w:type="character" w:customStyle="1" w:styleId="BodyTextChar">
    <w:name w:val="Body Text Char"/>
    <w:rsid w:val="0011561D"/>
    <w:rPr>
      <w:sz w:val="24"/>
      <w:szCs w:val="24"/>
    </w:rPr>
  </w:style>
  <w:style w:type="character" w:customStyle="1" w:styleId="BodyTextChar1">
    <w:name w:val="Body Text Char1"/>
    <w:link w:val="BodyText"/>
    <w:rsid w:val="0011561D"/>
    <w:rPr>
      <w:sz w:val="24"/>
      <w:szCs w:val="24"/>
    </w:rPr>
  </w:style>
  <w:style w:type="character" w:customStyle="1" w:styleId="EndnoteTextChar">
    <w:name w:val="Endnote Text Char"/>
    <w:link w:val="EndnoteText"/>
    <w:semiHidden/>
    <w:rsid w:val="002C1F11"/>
  </w:style>
  <w:style w:type="paragraph" w:styleId="Revision">
    <w:name w:val="Revision"/>
    <w:hidden/>
    <w:uiPriority w:val="99"/>
    <w:semiHidden/>
    <w:rsid w:val="003A1AEA"/>
    <w:rPr>
      <w:sz w:val="24"/>
      <w:szCs w:val="24"/>
    </w:rPr>
  </w:style>
  <w:style w:type="character" w:customStyle="1" w:styleId="FooterChar">
    <w:name w:val="Footer Char"/>
    <w:link w:val="Footer"/>
    <w:uiPriority w:val="99"/>
    <w:rsid w:val="006B2E23"/>
    <w:rPr>
      <w:sz w:val="24"/>
      <w:szCs w:val="24"/>
    </w:rPr>
  </w:style>
  <w:style w:type="character" w:styleId="Strong">
    <w:name w:val="Strong"/>
    <w:qFormat/>
    <w:rsid w:val="001D2372"/>
    <w:rPr>
      <w:rFonts w:ascii="Arial" w:hAnsi="Arial"/>
      <w:b/>
      <w:bCs/>
      <w:sz w:val="22"/>
    </w:rPr>
  </w:style>
  <w:style w:type="character" w:customStyle="1" w:styleId="Heading2Char">
    <w:name w:val="Heading 2 Char"/>
    <w:basedOn w:val="DefaultParagraphFont"/>
    <w:link w:val="Heading2"/>
    <w:rsid w:val="001D2372"/>
    <w:rPr>
      <w:rFonts w:ascii="Arial" w:hAnsi="Arial" w:cs="Arial"/>
      <w:b/>
      <w:bCs/>
      <w:i/>
      <w:iCs/>
      <w:sz w:val="28"/>
      <w:szCs w:val="28"/>
    </w:rPr>
  </w:style>
  <w:style w:type="character" w:customStyle="1" w:styleId="HeaderChar">
    <w:name w:val="Header Char"/>
    <w:basedOn w:val="DefaultParagraphFont"/>
    <w:link w:val="Header"/>
    <w:uiPriority w:val="99"/>
    <w:rsid w:val="009743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39843850">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59319657">
      <w:bodyDiv w:val="1"/>
      <w:marLeft w:val="0"/>
      <w:marRight w:val="0"/>
      <w:marTop w:val="0"/>
      <w:marBottom w:val="0"/>
      <w:divBdr>
        <w:top w:val="none" w:sz="0" w:space="0" w:color="auto"/>
        <w:left w:val="none" w:sz="0" w:space="0" w:color="auto"/>
        <w:bottom w:val="none" w:sz="0" w:space="0" w:color="auto"/>
        <w:right w:val="none" w:sz="0" w:space="0" w:color="auto"/>
      </w:divBdr>
    </w:div>
    <w:div w:id="933704965">
      <w:bodyDiv w:val="1"/>
      <w:marLeft w:val="0"/>
      <w:marRight w:val="0"/>
      <w:marTop w:val="0"/>
      <w:marBottom w:val="0"/>
      <w:divBdr>
        <w:top w:val="none" w:sz="0" w:space="0" w:color="auto"/>
        <w:left w:val="none" w:sz="0" w:space="0" w:color="auto"/>
        <w:bottom w:val="none" w:sz="0" w:space="0" w:color="auto"/>
        <w:right w:val="none" w:sz="0" w:space="0" w:color="auto"/>
      </w:divBdr>
    </w:div>
    <w:div w:id="939874303">
      <w:bodyDiv w:val="1"/>
      <w:marLeft w:val="0"/>
      <w:marRight w:val="0"/>
      <w:marTop w:val="0"/>
      <w:marBottom w:val="0"/>
      <w:divBdr>
        <w:top w:val="none" w:sz="0" w:space="0" w:color="auto"/>
        <w:left w:val="none" w:sz="0" w:space="0" w:color="auto"/>
        <w:bottom w:val="none" w:sz="0" w:space="0" w:color="auto"/>
        <w:right w:val="none" w:sz="0" w:space="0" w:color="auto"/>
      </w:divBdr>
    </w:div>
    <w:div w:id="959186020">
      <w:bodyDiv w:val="1"/>
      <w:marLeft w:val="0"/>
      <w:marRight w:val="0"/>
      <w:marTop w:val="0"/>
      <w:marBottom w:val="0"/>
      <w:divBdr>
        <w:top w:val="none" w:sz="0" w:space="0" w:color="auto"/>
        <w:left w:val="none" w:sz="0" w:space="0" w:color="auto"/>
        <w:bottom w:val="none" w:sz="0" w:space="0" w:color="auto"/>
        <w:right w:val="none" w:sz="0" w:space="0" w:color="auto"/>
      </w:divBdr>
    </w:div>
    <w:div w:id="1041829614">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21565175">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6532629">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84043839">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oleObject" Target="embeddings/oleObject2.bin"/><Relationship Id="rId39" Type="http://schemas.openxmlformats.org/officeDocument/2006/relationships/oleObject" Target="embeddings/oleObject9.bin"/><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image" Target="media/image8.wmf"/><Relationship Id="rId42" Type="http://schemas.openxmlformats.org/officeDocument/2006/relationships/image" Target="media/image13.png"/><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wmf"/><Relationship Id="rId33" Type="http://schemas.openxmlformats.org/officeDocument/2006/relationships/image" Target="media/image7.png"/><Relationship Id="rId38" Type="http://schemas.openxmlformats.org/officeDocument/2006/relationships/image" Target="media/image10.w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5.wmf"/><Relationship Id="rId41"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oleObject" Target="embeddings/oleObject1.bin"/><Relationship Id="rId32" Type="http://schemas.openxmlformats.org/officeDocument/2006/relationships/oleObject" Target="embeddings/oleObject6.bin"/><Relationship Id="rId37" Type="http://schemas.openxmlformats.org/officeDocument/2006/relationships/oleObject" Target="embeddings/oleObject8.bin"/><Relationship Id="rId40" Type="http://schemas.openxmlformats.org/officeDocument/2006/relationships/image" Target="media/image11.png"/><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1.wmf"/><Relationship Id="rId28" Type="http://schemas.openxmlformats.org/officeDocument/2006/relationships/oleObject" Target="embeddings/oleObject3.bin"/><Relationship Id="rId36" Type="http://schemas.openxmlformats.org/officeDocument/2006/relationships/image" Target="media/image9.w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image" Target="media/image6.wmf"/><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3.wmf"/><Relationship Id="rId30" Type="http://schemas.openxmlformats.org/officeDocument/2006/relationships/oleObject" Target="embeddings/oleObject5.bin"/><Relationship Id="rId35" Type="http://schemas.openxmlformats.org/officeDocument/2006/relationships/oleObject" Target="embeddings/oleObject7.bin"/><Relationship Id="rId43" Type="http://schemas.openxmlformats.org/officeDocument/2006/relationships/footer" Target="footer7.xml"/></Relationships>
</file>

<file path=word/_rels/endnotes.xml.rels><?xml version="1.0" encoding="UTF-8" standalone="yes"?>
<Relationships xmlns="http://schemas.openxmlformats.org/package/2006/relationships"><Relationship Id="rId2" Type="http://schemas.openxmlformats.org/officeDocument/2006/relationships/oleObject" Target="embeddings/oleObject4.bin"/><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2ACF9F9F-CD61-462E-BF82-C87AD4B051C8}">
  <ds:schemaRefs>
    <ds:schemaRef ds:uri="http://purl.org/dc/elements/1.1/"/>
    <ds:schemaRef ds:uri="http://schemas.microsoft.com/office/2006/metadata/properties"/>
    <ds:schemaRef ds:uri="http://schemas.microsoft.com/office/2006/documentManagement/types"/>
    <ds:schemaRef ds:uri="http://purl.org/dc/terms/"/>
    <ds:schemaRef ds:uri="http://purl.org/dc/dcmitype/"/>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11EEE2A-3639-4AE8-AD70-BD1A6EF9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0</TotalTime>
  <Pages>16</Pages>
  <Words>3436</Words>
  <Characters>19588</Characters>
  <Application>Microsoft Office Word</Application>
  <DocSecurity>4</DocSecurity>
  <Lines>163</Lines>
  <Paragraphs>45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22979</CharactersWithSpaces>
  <SharedDoc>false</SharedDoc>
  <HLinks>
    <vt:vector size="192" baseType="variant">
      <vt:variant>
        <vt:i4>1572920</vt:i4>
      </vt:variant>
      <vt:variant>
        <vt:i4>194</vt:i4>
      </vt:variant>
      <vt:variant>
        <vt:i4>0</vt:i4>
      </vt:variant>
      <vt:variant>
        <vt:i4>5</vt:i4>
      </vt:variant>
      <vt:variant>
        <vt:lpwstr/>
      </vt:variant>
      <vt:variant>
        <vt:lpwstr>_Toc174189507</vt:lpwstr>
      </vt:variant>
      <vt:variant>
        <vt:i4>1572920</vt:i4>
      </vt:variant>
      <vt:variant>
        <vt:i4>188</vt:i4>
      </vt:variant>
      <vt:variant>
        <vt:i4>0</vt:i4>
      </vt:variant>
      <vt:variant>
        <vt:i4>5</vt:i4>
      </vt:variant>
      <vt:variant>
        <vt:lpwstr/>
      </vt:variant>
      <vt:variant>
        <vt:lpwstr>_Toc174189506</vt:lpwstr>
      </vt:variant>
      <vt:variant>
        <vt:i4>1441840</vt:i4>
      </vt:variant>
      <vt:variant>
        <vt:i4>179</vt:i4>
      </vt:variant>
      <vt:variant>
        <vt:i4>0</vt:i4>
      </vt:variant>
      <vt:variant>
        <vt:i4>5</vt:i4>
      </vt:variant>
      <vt:variant>
        <vt:lpwstr/>
      </vt:variant>
      <vt:variant>
        <vt:lpwstr>_Toc184119412</vt:lpwstr>
      </vt:variant>
      <vt:variant>
        <vt:i4>1900597</vt:i4>
      </vt:variant>
      <vt:variant>
        <vt:i4>170</vt:i4>
      </vt:variant>
      <vt:variant>
        <vt:i4>0</vt:i4>
      </vt:variant>
      <vt:variant>
        <vt:i4>5</vt:i4>
      </vt:variant>
      <vt:variant>
        <vt:lpwstr/>
      </vt:variant>
      <vt:variant>
        <vt:lpwstr>_Toc304800222</vt:lpwstr>
      </vt:variant>
      <vt:variant>
        <vt:i4>1900597</vt:i4>
      </vt:variant>
      <vt:variant>
        <vt:i4>164</vt:i4>
      </vt:variant>
      <vt:variant>
        <vt:i4>0</vt:i4>
      </vt:variant>
      <vt:variant>
        <vt:i4>5</vt:i4>
      </vt:variant>
      <vt:variant>
        <vt:lpwstr/>
      </vt:variant>
      <vt:variant>
        <vt:lpwstr>_Toc304800221</vt:lpwstr>
      </vt:variant>
      <vt:variant>
        <vt:i4>1900597</vt:i4>
      </vt:variant>
      <vt:variant>
        <vt:i4>158</vt:i4>
      </vt:variant>
      <vt:variant>
        <vt:i4>0</vt:i4>
      </vt:variant>
      <vt:variant>
        <vt:i4>5</vt:i4>
      </vt:variant>
      <vt:variant>
        <vt:lpwstr/>
      </vt:variant>
      <vt:variant>
        <vt:lpwstr>_Toc304800220</vt:lpwstr>
      </vt:variant>
      <vt:variant>
        <vt:i4>1966133</vt:i4>
      </vt:variant>
      <vt:variant>
        <vt:i4>152</vt:i4>
      </vt:variant>
      <vt:variant>
        <vt:i4>0</vt:i4>
      </vt:variant>
      <vt:variant>
        <vt:i4>5</vt:i4>
      </vt:variant>
      <vt:variant>
        <vt:lpwstr/>
      </vt:variant>
      <vt:variant>
        <vt:lpwstr>_Toc304800219</vt:lpwstr>
      </vt:variant>
      <vt:variant>
        <vt:i4>1966133</vt:i4>
      </vt:variant>
      <vt:variant>
        <vt:i4>146</vt:i4>
      </vt:variant>
      <vt:variant>
        <vt:i4>0</vt:i4>
      </vt:variant>
      <vt:variant>
        <vt:i4>5</vt:i4>
      </vt:variant>
      <vt:variant>
        <vt:lpwstr/>
      </vt:variant>
      <vt:variant>
        <vt:lpwstr>_Toc304800218</vt:lpwstr>
      </vt:variant>
      <vt:variant>
        <vt:i4>1966133</vt:i4>
      </vt:variant>
      <vt:variant>
        <vt:i4>140</vt:i4>
      </vt:variant>
      <vt:variant>
        <vt:i4>0</vt:i4>
      </vt:variant>
      <vt:variant>
        <vt:i4>5</vt:i4>
      </vt:variant>
      <vt:variant>
        <vt:lpwstr/>
      </vt:variant>
      <vt:variant>
        <vt:lpwstr>_Toc304800217</vt:lpwstr>
      </vt:variant>
      <vt:variant>
        <vt:i4>1966133</vt:i4>
      </vt:variant>
      <vt:variant>
        <vt:i4>134</vt:i4>
      </vt:variant>
      <vt:variant>
        <vt:i4>0</vt:i4>
      </vt:variant>
      <vt:variant>
        <vt:i4>5</vt:i4>
      </vt:variant>
      <vt:variant>
        <vt:lpwstr/>
      </vt:variant>
      <vt:variant>
        <vt:lpwstr>_Toc304800216</vt:lpwstr>
      </vt:variant>
      <vt:variant>
        <vt:i4>1966133</vt:i4>
      </vt:variant>
      <vt:variant>
        <vt:i4>128</vt:i4>
      </vt:variant>
      <vt:variant>
        <vt:i4>0</vt:i4>
      </vt:variant>
      <vt:variant>
        <vt:i4>5</vt:i4>
      </vt:variant>
      <vt:variant>
        <vt:lpwstr/>
      </vt:variant>
      <vt:variant>
        <vt:lpwstr>_Toc304800215</vt:lpwstr>
      </vt:variant>
      <vt:variant>
        <vt:i4>1966133</vt:i4>
      </vt:variant>
      <vt:variant>
        <vt:i4>122</vt:i4>
      </vt:variant>
      <vt:variant>
        <vt:i4>0</vt:i4>
      </vt:variant>
      <vt:variant>
        <vt:i4>5</vt:i4>
      </vt:variant>
      <vt:variant>
        <vt:lpwstr/>
      </vt:variant>
      <vt:variant>
        <vt:lpwstr>_Toc304800214</vt:lpwstr>
      </vt:variant>
      <vt:variant>
        <vt:i4>1966133</vt:i4>
      </vt:variant>
      <vt:variant>
        <vt:i4>116</vt:i4>
      </vt:variant>
      <vt:variant>
        <vt:i4>0</vt:i4>
      </vt:variant>
      <vt:variant>
        <vt:i4>5</vt:i4>
      </vt:variant>
      <vt:variant>
        <vt:lpwstr/>
      </vt:variant>
      <vt:variant>
        <vt:lpwstr>_Toc304800213</vt:lpwstr>
      </vt:variant>
      <vt:variant>
        <vt:i4>1966133</vt:i4>
      </vt:variant>
      <vt:variant>
        <vt:i4>110</vt:i4>
      </vt:variant>
      <vt:variant>
        <vt:i4>0</vt:i4>
      </vt:variant>
      <vt:variant>
        <vt:i4>5</vt:i4>
      </vt:variant>
      <vt:variant>
        <vt:lpwstr/>
      </vt:variant>
      <vt:variant>
        <vt:lpwstr>_Toc304800212</vt:lpwstr>
      </vt:variant>
      <vt:variant>
        <vt:i4>1966133</vt:i4>
      </vt:variant>
      <vt:variant>
        <vt:i4>104</vt:i4>
      </vt:variant>
      <vt:variant>
        <vt:i4>0</vt:i4>
      </vt:variant>
      <vt:variant>
        <vt:i4>5</vt:i4>
      </vt:variant>
      <vt:variant>
        <vt:lpwstr/>
      </vt:variant>
      <vt:variant>
        <vt:lpwstr>_Toc304800211</vt:lpwstr>
      </vt:variant>
      <vt:variant>
        <vt:i4>1966133</vt:i4>
      </vt:variant>
      <vt:variant>
        <vt:i4>98</vt:i4>
      </vt:variant>
      <vt:variant>
        <vt:i4>0</vt:i4>
      </vt:variant>
      <vt:variant>
        <vt:i4>5</vt:i4>
      </vt:variant>
      <vt:variant>
        <vt:lpwstr/>
      </vt:variant>
      <vt:variant>
        <vt:lpwstr>_Toc304800210</vt:lpwstr>
      </vt:variant>
      <vt:variant>
        <vt:i4>2031669</vt:i4>
      </vt:variant>
      <vt:variant>
        <vt:i4>92</vt:i4>
      </vt:variant>
      <vt:variant>
        <vt:i4>0</vt:i4>
      </vt:variant>
      <vt:variant>
        <vt:i4>5</vt:i4>
      </vt:variant>
      <vt:variant>
        <vt:lpwstr/>
      </vt:variant>
      <vt:variant>
        <vt:lpwstr>_Toc304800209</vt:lpwstr>
      </vt:variant>
      <vt:variant>
        <vt:i4>2031669</vt:i4>
      </vt:variant>
      <vt:variant>
        <vt:i4>86</vt:i4>
      </vt:variant>
      <vt:variant>
        <vt:i4>0</vt:i4>
      </vt:variant>
      <vt:variant>
        <vt:i4>5</vt:i4>
      </vt:variant>
      <vt:variant>
        <vt:lpwstr/>
      </vt:variant>
      <vt:variant>
        <vt:lpwstr>_Toc304800208</vt:lpwstr>
      </vt:variant>
      <vt:variant>
        <vt:i4>2031669</vt:i4>
      </vt:variant>
      <vt:variant>
        <vt:i4>80</vt:i4>
      </vt:variant>
      <vt:variant>
        <vt:i4>0</vt:i4>
      </vt:variant>
      <vt:variant>
        <vt:i4>5</vt:i4>
      </vt:variant>
      <vt:variant>
        <vt:lpwstr/>
      </vt:variant>
      <vt:variant>
        <vt:lpwstr>_Toc304800207</vt:lpwstr>
      </vt:variant>
      <vt:variant>
        <vt:i4>2031669</vt:i4>
      </vt:variant>
      <vt:variant>
        <vt:i4>74</vt:i4>
      </vt:variant>
      <vt:variant>
        <vt:i4>0</vt:i4>
      </vt:variant>
      <vt:variant>
        <vt:i4>5</vt:i4>
      </vt:variant>
      <vt:variant>
        <vt:lpwstr/>
      </vt:variant>
      <vt:variant>
        <vt:lpwstr>_Toc304800206</vt:lpwstr>
      </vt:variant>
      <vt:variant>
        <vt:i4>2031669</vt:i4>
      </vt:variant>
      <vt:variant>
        <vt:i4>68</vt:i4>
      </vt:variant>
      <vt:variant>
        <vt:i4>0</vt:i4>
      </vt:variant>
      <vt:variant>
        <vt:i4>5</vt:i4>
      </vt:variant>
      <vt:variant>
        <vt:lpwstr/>
      </vt:variant>
      <vt:variant>
        <vt:lpwstr>_Toc304800205</vt:lpwstr>
      </vt:variant>
      <vt:variant>
        <vt:i4>2031669</vt:i4>
      </vt:variant>
      <vt:variant>
        <vt:i4>62</vt:i4>
      </vt:variant>
      <vt:variant>
        <vt:i4>0</vt:i4>
      </vt:variant>
      <vt:variant>
        <vt:i4>5</vt:i4>
      </vt:variant>
      <vt:variant>
        <vt:lpwstr/>
      </vt:variant>
      <vt:variant>
        <vt:lpwstr>_Toc304800204</vt:lpwstr>
      </vt:variant>
      <vt:variant>
        <vt:i4>2031669</vt:i4>
      </vt:variant>
      <vt:variant>
        <vt:i4>56</vt:i4>
      </vt:variant>
      <vt:variant>
        <vt:i4>0</vt:i4>
      </vt:variant>
      <vt:variant>
        <vt:i4>5</vt:i4>
      </vt:variant>
      <vt:variant>
        <vt:lpwstr/>
      </vt:variant>
      <vt:variant>
        <vt:lpwstr>_Toc304800203</vt:lpwstr>
      </vt:variant>
      <vt:variant>
        <vt:i4>2031669</vt:i4>
      </vt:variant>
      <vt:variant>
        <vt:i4>50</vt:i4>
      </vt:variant>
      <vt:variant>
        <vt:i4>0</vt:i4>
      </vt:variant>
      <vt:variant>
        <vt:i4>5</vt:i4>
      </vt:variant>
      <vt:variant>
        <vt:lpwstr/>
      </vt:variant>
      <vt:variant>
        <vt:lpwstr>_Toc304800202</vt:lpwstr>
      </vt:variant>
      <vt:variant>
        <vt:i4>2031669</vt:i4>
      </vt:variant>
      <vt:variant>
        <vt:i4>44</vt:i4>
      </vt:variant>
      <vt:variant>
        <vt:i4>0</vt:i4>
      </vt:variant>
      <vt:variant>
        <vt:i4>5</vt:i4>
      </vt:variant>
      <vt:variant>
        <vt:lpwstr/>
      </vt:variant>
      <vt:variant>
        <vt:lpwstr>_Toc304800201</vt:lpwstr>
      </vt:variant>
      <vt:variant>
        <vt:i4>2031669</vt:i4>
      </vt:variant>
      <vt:variant>
        <vt:i4>38</vt:i4>
      </vt:variant>
      <vt:variant>
        <vt:i4>0</vt:i4>
      </vt:variant>
      <vt:variant>
        <vt:i4>5</vt:i4>
      </vt:variant>
      <vt:variant>
        <vt:lpwstr/>
      </vt:variant>
      <vt:variant>
        <vt:lpwstr>_Toc304800200</vt:lpwstr>
      </vt:variant>
      <vt:variant>
        <vt:i4>1441846</vt:i4>
      </vt:variant>
      <vt:variant>
        <vt:i4>32</vt:i4>
      </vt:variant>
      <vt:variant>
        <vt:i4>0</vt:i4>
      </vt:variant>
      <vt:variant>
        <vt:i4>5</vt:i4>
      </vt:variant>
      <vt:variant>
        <vt:lpwstr/>
      </vt:variant>
      <vt:variant>
        <vt:lpwstr>_Toc304800199</vt:lpwstr>
      </vt:variant>
      <vt:variant>
        <vt:i4>1441846</vt:i4>
      </vt:variant>
      <vt:variant>
        <vt:i4>26</vt:i4>
      </vt:variant>
      <vt:variant>
        <vt:i4>0</vt:i4>
      </vt:variant>
      <vt:variant>
        <vt:i4>5</vt:i4>
      </vt:variant>
      <vt:variant>
        <vt:lpwstr/>
      </vt:variant>
      <vt:variant>
        <vt:lpwstr>_Toc304800198</vt:lpwstr>
      </vt:variant>
      <vt:variant>
        <vt:i4>1441846</vt:i4>
      </vt:variant>
      <vt:variant>
        <vt:i4>20</vt:i4>
      </vt:variant>
      <vt:variant>
        <vt:i4>0</vt:i4>
      </vt:variant>
      <vt:variant>
        <vt:i4>5</vt:i4>
      </vt:variant>
      <vt:variant>
        <vt:lpwstr/>
      </vt:variant>
      <vt:variant>
        <vt:lpwstr>_Toc304800196</vt:lpwstr>
      </vt:variant>
      <vt:variant>
        <vt:i4>1441846</vt:i4>
      </vt:variant>
      <vt:variant>
        <vt:i4>14</vt:i4>
      </vt:variant>
      <vt:variant>
        <vt:i4>0</vt:i4>
      </vt:variant>
      <vt:variant>
        <vt:i4>5</vt:i4>
      </vt:variant>
      <vt:variant>
        <vt:lpwstr/>
      </vt:variant>
      <vt:variant>
        <vt:lpwstr>_Toc304800195</vt:lpwstr>
      </vt:variant>
      <vt:variant>
        <vt:i4>1441846</vt:i4>
      </vt:variant>
      <vt:variant>
        <vt:i4>8</vt:i4>
      </vt:variant>
      <vt:variant>
        <vt:i4>0</vt:i4>
      </vt:variant>
      <vt:variant>
        <vt:i4>5</vt:i4>
      </vt:variant>
      <vt:variant>
        <vt:lpwstr/>
      </vt:variant>
      <vt:variant>
        <vt:lpwstr>_Toc304800194</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Wyatt, Jim</cp:lastModifiedBy>
  <cp:revision>2</cp:revision>
  <cp:lastPrinted>2012-06-13T17:44:00Z</cp:lastPrinted>
  <dcterms:created xsi:type="dcterms:W3CDTF">2014-06-13T06:10:00Z</dcterms:created>
  <dcterms:modified xsi:type="dcterms:W3CDTF">2014-06-13T06:10:00Z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