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CF6895">
        <w:t>PGE3PREF12</w:t>
      </w:r>
      <w:r w:rsidR="00B107E3">
        <w:t>0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B107E3">
        <w:rPr>
          <w:rStyle w:val="CaptionChar"/>
          <w:b/>
          <w:bCs w:val="0"/>
        </w:rPr>
        <w:t>5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CF6895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Pacific</w:t>
      </w:r>
      <w:r w:rsidR="006875B3">
        <w:rPr>
          <w:rFonts w:cstheme="minorHAnsi"/>
          <w:b/>
          <w:sz w:val="36"/>
          <w:szCs w:val="36"/>
        </w:rPr>
        <w:t xml:space="preserve">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0D325B" w:rsidP="00884B9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Refrigeration Case S</w:t>
      </w:r>
      <w:r w:rsidR="00B107E3">
        <w:rPr>
          <w:rFonts w:cstheme="minorHAnsi"/>
          <w:b/>
          <w:sz w:val="72"/>
          <w:szCs w:val="72"/>
        </w:rPr>
        <w:t>C</w:t>
      </w:r>
      <w:r>
        <w:rPr>
          <w:rFonts w:cstheme="minorHAnsi"/>
          <w:b/>
          <w:sz w:val="72"/>
          <w:szCs w:val="72"/>
        </w:rPr>
        <w:t>T Control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0D325B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April 1, 2017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0D325B" w:rsidP="00FE520B">
      <w:pPr>
        <w:pStyle w:val="Heading1"/>
      </w:pPr>
      <w:r>
        <w:lastRenderedPageBreak/>
        <w:t>PG&amp;E</w:t>
      </w:r>
      <w:r w:rsidR="0059117D">
        <w:t xml:space="preserve"> </w:t>
      </w:r>
      <w:r>
        <w:t>Refrigeration Case S</w:t>
      </w:r>
      <w:r w:rsidR="00B107E3">
        <w:t>C</w:t>
      </w:r>
      <w:r>
        <w:t>T Control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 w:rsidRPr="00936A50">
        <w:t xml:space="preserve">This short form </w:t>
      </w:r>
      <w:proofErr w:type="spellStart"/>
      <w:r w:rsidRPr="00936A50">
        <w:t>workpaper</w:t>
      </w:r>
      <w:proofErr w:type="spellEnd"/>
      <w:r w:rsidRPr="00936A50">
        <w:t xml:space="preserve"> documents (</w:t>
      </w:r>
      <w:r w:rsidR="008E5CD5" w:rsidRPr="00936A50">
        <w:t>WP</w:t>
      </w:r>
      <w:r w:rsidRPr="00936A50">
        <w:t xml:space="preserve">) the values adopted from </w:t>
      </w:r>
      <w:r w:rsidR="007E66F2" w:rsidRPr="00936A50">
        <w:t>SCE</w:t>
      </w:r>
      <w:r w:rsidRPr="00936A50">
        <w:t xml:space="preserve">’s </w:t>
      </w:r>
      <w:r w:rsidR="008E5CD5" w:rsidRPr="00936A50">
        <w:t>WP</w:t>
      </w:r>
      <w:r w:rsidRPr="00936A50">
        <w:t xml:space="preserve"> entitled “</w:t>
      </w:r>
      <w:r w:rsidR="000D325B" w:rsidRPr="00936A50">
        <w:t>Refrigeration Floating Suction and Head Pressure Controls</w:t>
      </w:r>
      <w:r w:rsidR="005E18A1" w:rsidRPr="00936A50">
        <w:t>” (</w:t>
      </w:r>
      <w:r w:rsidR="004016D3" w:rsidRPr="00936A50">
        <w:t>SCE1</w:t>
      </w:r>
      <w:r w:rsidR="000D325B" w:rsidRPr="00936A50">
        <w:t>7RN023.0 – Refrigeration Floating Head Pressure Controls_Final</w:t>
      </w:r>
      <w:r w:rsidR="004016D3" w:rsidRPr="00936A50">
        <w:t>.docx</w:t>
      </w:r>
      <w:r w:rsidR="006875B3" w:rsidRPr="00936A50">
        <w:t>)</w:t>
      </w:r>
      <w:r w:rsidR="000D325B" w:rsidRPr="00936A50">
        <w:t>.  P</w:t>
      </w:r>
      <w:r w:rsidR="005E18A1" w:rsidRPr="00936A50">
        <w:t xml:space="preserve">G&amp;E </w:t>
      </w:r>
      <w:r w:rsidR="00555671" w:rsidRPr="00936A50">
        <w:t>a</w:t>
      </w:r>
      <w:r w:rsidR="005E18A1" w:rsidRPr="00936A50">
        <w:t>d</w:t>
      </w:r>
      <w:r w:rsidR="00555671" w:rsidRPr="00936A50">
        <w:t>op</w:t>
      </w:r>
      <w:r w:rsidR="005E18A1" w:rsidRPr="00936A50">
        <w:t xml:space="preserve">ts </w:t>
      </w:r>
      <w:r w:rsidR="000D325B" w:rsidRPr="00936A50">
        <w:t>SCE measure code RF-</w:t>
      </w:r>
      <w:r w:rsidR="00936A50" w:rsidRPr="00936A50">
        <w:t xml:space="preserve">31355 </w:t>
      </w:r>
      <w:r w:rsidR="00936A50" w:rsidRPr="00936A50">
        <w:rPr>
          <w:rFonts w:cstheme="minorHAnsi"/>
          <w:szCs w:val="20"/>
        </w:rPr>
        <w:t>Floating Head Pressure Controls on Commercial Air-Cooled Multiplex Refrigeration System</w:t>
      </w:r>
      <w:r w:rsidR="00936A50" w:rsidRPr="00936A50">
        <w:t xml:space="preserve"> </w:t>
      </w:r>
      <w:r w:rsidR="00936A50">
        <w:t>and</w:t>
      </w:r>
      <w:r w:rsidR="00936A50" w:rsidRPr="00936A50">
        <w:t xml:space="preserve"> RF-41488</w:t>
      </w:r>
      <w:r w:rsidR="00936A50" w:rsidRPr="00936A50">
        <w:rPr>
          <w:rFonts w:cstheme="minorHAnsi"/>
          <w:szCs w:val="20"/>
        </w:rPr>
        <w:t xml:space="preserve"> Floating Head Pressure Controls on Commercial Evap-Cooled Multiplex Refrigeration System.</w:t>
      </w:r>
    </w:p>
    <w:p w:rsidR="005E18A1" w:rsidRDefault="005E18A1" w:rsidP="00555671">
      <w:pPr>
        <w:jc w:val="both"/>
      </w:pPr>
    </w:p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4998" w:type="pct"/>
        <w:tblLayout w:type="fixed"/>
        <w:tblLook w:val="01E0" w:firstRow="1" w:lastRow="1" w:firstColumn="1" w:lastColumn="1" w:noHBand="0" w:noVBand="0"/>
      </w:tblPr>
      <w:tblGrid>
        <w:gridCol w:w="530"/>
        <w:gridCol w:w="1193"/>
        <w:gridCol w:w="1535"/>
        <w:gridCol w:w="6314"/>
      </w:tblGrid>
      <w:tr w:rsidR="00E52110" w:rsidRPr="00500C4E" w:rsidTr="00A965B2">
        <w:trPr>
          <w:trHeight w:val="20"/>
        </w:trPr>
        <w:tc>
          <w:tcPr>
            <w:tcW w:w="277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23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02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298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23" w:type="pct"/>
          </w:tcPr>
          <w:p w:rsidR="00884B9C" w:rsidRPr="000E2B6B" w:rsidRDefault="000D325B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4/7/2008</w:t>
            </w:r>
          </w:p>
        </w:tc>
        <w:tc>
          <w:tcPr>
            <w:tcW w:w="802" w:type="pct"/>
          </w:tcPr>
          <w:p w:rsidR="00884B9C" w:rsidRPr="000E2B6B" w:rsidRDefault="00B107E3" w:rsidP="00393E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Dennis Krieger </w:t>
            </w:r>
            <w:r w:rsidR="000D325B" w:rsidRPr="000D325B">
              <w:rPr>
                <w:rFonts w:cstheme="minorHAnsi"/>
                <w:szCs w:val="20"/>
              </w:rPr>
              <w:t>(PECI Engineering)</w:t>
            </w:r>
          </w:p>
        </w:tc>
        <w:tc>
          <w:tcPr>
            <w:tcW w:w="3298" w:type="pct"/>
          </w:tcPr>
          <w:p w:rsidR="00884B9C" w:rsidRPr="005734A4" w:rsidRDefault="00700C85" w:rsidP="00762D81">
            <w:pPr>
              <w:rPr>
                <w:rFonts w:cstheme="minorHAnsi"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Original Workpaper.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884B9C" w:rsidRPr="000E2B6B" w:rsidRDefault="00762D81" w:rsidP="000D325B">
            <w:pPr>
              <w:jc w:val="center"/>
              <w:rPr>
                <w:rStyle w:val="Strong"/>
                <w:b w:val="0"/>
              </w:rPr>
            </w:pPr>
            <w:r>
              <w:t>1</w:t>
            </w:r>
          </w:p>
        </w:tc>
        <w:tc>
          <w:tcPr>
            <w:tcW w:w="623" w:type="pct"/>
          </w:tcPr>
          <w:p w:rsidR="00884B9C" w:rsidRPr="000E2B6B" w:rsidRDefault="00B107E3" w:rsidP="00393EC8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6/7</w:t>
            </w:r>
            <w:r w:rsidR="000D325B">
              <w:rPr>
                <w:rFonts w:cstheme="minorHAnsi"/>
                <w:szCs w:val="20"/>
              </w:rPr>
              <w:t>/2012</w:t>
            </w:r>
          </w:p>
        </w:tc>
        <w:tc>
          <w:tcPr>
            <w:tcW w:w="802" w:type="pct"/>
          </w:tcPr>
          <w:p w:rsidR="000D325B" w:rsidRPr="000D325B" w:rsidRDefault="00B107E3" w:rsidP="000D325B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Laura </w:t>
            </w:r>
            <w:proofErr w:type="spellStart"/>
            <w:r>
              <w:rPr>
                <w:rFonts w:cstheme="minorHAnsi"/>
                <w:szCs w:val="20"/>
              </w:rPr>
              <w:t>Konstin</w:t>
            </w:r>
            <w:proofErr w:type="spellEnd"/>
          </w:p>
          <w:p w:rsidR="00884B9C" w:rsidRPr="000E2B6B" w:rsidRDefault="000D325B" w:rsidP="000D325B">
            <w:pPr>
              <w:rPr>
                <w:rStyle w:val="Strong"/>
                <w:b w:val="0"/>
              </w:rPr>
            </w:pPr>
            <w:r w:rsidRPr="000D325B">
              <w:rPr>
                <w:rFonts w:cstheme="minorHAnsi"/>
                <w:szCs w:val="20"/>
              </w:rPr>
              <w:t>(</w:t>
            </w:r>
            <w:proofErr w:type="spellStart"/>
            <w:r w:rsidRPr="000D325B">
              <w:rPr>
                <w:rFonts w:cstheme="minorHAnsi"/>
                <w:szCs w:val="20"/>
              </w:rPr>
              <w:t>EnergySmart</w:t>
            </w:r>
            <w:proofErr w:type="spellEnd"/>
            <w:r w:rsidRPr="000D325B">
              <w:rPr>
                <w:rFonts w:cstheme="minorHAnsi"/>
                <w:szCs w:val="20"/>
              </w:rPr>
              <w:t xml:space="preserve"> Grocer)</w:t>
            </w:r>
          </w:p>
        </w:tc>
        <w:tc>
          <w:tcPr>
            <w:tcW w:w="3298" w:type="pct"/>
          </w:tcPr>
          <w:p w:rsidR="000D325B" w:rsidRPr="000D325B" w:rsidRDefault="000D325B" w:rsidP="000D325B">
            <w:pPr>
              <w:rPr>
                <w:rFonts w:ascii="Calibri" w:hAnsi="Calibri" w:cs="Calibri"/>
                <w:szCs w:val="20"/>
              </w:rPr>
            </w:pPr>
            <w:r w:rsidRPr="000D325B">
              <w:rPr>
                <w:rFonts w:ascii="Calibri" w:hAnsi="Calibri" w:cs="Calibri"/>
                <w:szCs w:val="20"/>
              </w:rPr>
              <w:t>Updated to PG&amp;E 2013-2014 format</w:t>
            </w:r>
          </w:p>
          <w:p w:rsidR="000D325B" w:rsidRPr="000D325B" w:rsidRDefault="000D325B" w:rsidP="000D325B">
            <w:pPr>
              <w:rPr>
                <w:rFonts w:ascii="Calibri" w:hAnsi="Calibri" w:cs="Calibri"/>
                <w:szCs w:val="20"/>
              </w:rPr>
            </w:pPr>
            <w:r w:rsidRPr="000D325B">
              <w:rPr>
                <w:rFonts w:ascii="Calibri" w:hAnsi="Calibri" w:cs="Calibri"/>
                <w:szCs w:val="20"/>
              </w:rPr>
              <w:t>Update cost data to reflect DEER 2008</w:t>
            </w:r>
          </w:p>
          <w:p w:rsidR="00762D81" w:rsidRPr="00762D81" w:rsidRDefault="000D325B" w:rsidP="000D325B">
            <w:pPr>
              <w:rPr>
                <w:rStyle w:val="Strong"/>
                <w:b w:val="0"/>
                <w:szCs w:val="20"/>
              </w:rPr>
            </w:pPr>
            <w:r w:rsidRPr="000D325B">
              <w:rPr>
                <w:rFonts w:ascii="Calibri" w:hAnsi="Calibri" w:cs="Calibri"/>
                <w:szCs w:val="20"/>
              </w:rPr>
              <w:t>Update EUL to reflect DEER 2008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DB544A" w:rsidRPr="00F2079F" w:rsidRDefault="00700C85" w:rsidP="00700C85">
            <w:pPr>
              <w:jc w:val="center"/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23" w:type="pct"/>
          </w:tcPr>
          <w:p w:rsidR="000D325B" w:rsidRPr="000D325B" w:rsidRDefault="00B107E3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5/15</w:t>
            </w:r>
            <w:r w:rsidR="000D325B">
              <w:rPr>
                <w:rFonts w:cstheme="minorHAnsi"/>
                <w:szCs w:val="20"/>
              </w:rPr>
              <w:t>/2014</w:t>
            </w:r>
          </w:p>
        </w:tc>
        <w:tc>
          <w:tcPr>
            <w:tcW w:w="802" w:type="pct"/>
          </w:tcPr>
          <w:p w:rsidR="00DB544A" w:rsidRDefault="000D325B" w:rsidP="00B107E3">
            <w:pPr>
              <w:rPr>
                <w:szCs w:val="20"/>
              </w:rPr>
            </w:pPr>
            <w:r w:rsidRPr="000D325B">
              <w:rPr>
                <w:rFonts w:cstheme="minorHAnsi"/>
                <w:szCs w:val="20"/>
              </w:rPr>
              <w:t>B</w:t>
            </w:r>
            <w:r w:rsidR="00B107E3">
              <w:rPr>
                <w:rFonts w:cstheme="minorHAnsi"/>
                <w:szCs w:val="20"/>
              </w:rPr>
              <w:t>rian Owens</w:t>
            </w:r>
            <w:r w:rsidRPr="000D325B">
              <w:rPr>
                <w:rFonts w:cstheme="minorHAnsi"/>
                <w:szCs w:val="20"/>
              </w:rPr>
              <w:t xml:space="preserve"> PECI</w:t>
            </w:r>
          </w:p>
        </w:tc>
        <w:tc>
          <w:tcPr>
            <w:tcW w:w="3298" w:type="pct"/>
          </w:tcPr>
          <w:p w:rsidR="00762D81" w:rsidRPr="006A478E" w:rsidRDefault="000D325B" w:rsidP="00B107E3">
            <w:pPr>
              <w:rPr>
                <w:bCs/>
                <w:szCs w:val="20"/>
              </w:rPr>
            </w:pPr>
            <w:r w:rsidRPr="000D325B">
              <w:rPr>
                <w:rFonts w:ascii="Calibri" w:hAnsi="Calibri" w:cs="Calibri"/>
                <w:szCs w:val="20"/>
              </w:rPr>
              <w:t xml:space="preserve">Updated </w:t>
            </w:r>
            <w:r w:rsidR="00B107E3">
              <w:rPr>
                <w:rFonts w:ascii="Calibri" w:hAnsi="Calibri" w:cs="Calibri"/>
                <w:szCs w:val="20"/>
              </w:rPr>
              <w:t>calculations with 2009 weather data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762D81" w:rsidRDefault="000D325B" w:rsidP="008C2C8A">
            <w:pPr>
              <w:jc w:val="center"/>
            </w:pPr>
            <w:r>
              <w:t>3</w:t>
            </w:r>
          </w:p>
        </w:tc>
        <w:tc>
          <w:tcPr>
            <w:tcW w:w="623" w:type="pct"/>
          </w:tcPr>
          <w:p w:rsidR="00762D81" w:rsidRDefault="000D325B" w:rsidP="00393EC8">
            <w:pPr>
              <w:jc w:val="center"/>
              <w:rPr>
                <w:szCs w:val="20"/>
              </w:rPr>
            </w:pPr>
            <w:r>
              <w:rPr>
                <w:rFonts w:cstheme="minorHAnsi"/>
                <w:szCs w:val="20"/>
              </w:rPr>
              <w:t>3/15/2016</w:t>
            </w:r>
          </w:p>
        </w:tc>
        <w:tc>
          <w:tcPr>
            <w:tcW w:w="802" w:type="pct"/>
          </w:tcPr>
          <w:p w:rsidR="004016D3" w:rsidRDefault="000D325B" w:rsidP="00393EC8">
            <w:pPr>
              <w:rPr>
                <w:szCs w:val="20"/>
              </w:rPr>
            </w:pPr>
            <w:r>
              <w:rPr>
                <w:szCs w:val="20"/>
              </w:rPr>
              <w:t>Linda Wan (PG&amp;E)</w:t>
            </w:r>
          </w:p>
        </w:tc>
        <w:tc>
          <w:tcPr>
            <w:tcW w:w="3298" w:type="pct"/>
          </w:tcPr>
          <w:p w:rsidR="004016D3" w:rsidRDefault="000D325B" w:rsidP="004016D3">
            <w:pPr>
              <w:rPr>
                <w:bCs/>
                <w:szCs w:val="20"/>
              </w:rPr>
            </w:pPr>
            <w:r w:rsidRPr="000D325B">
              <w:rPr>
                <w:rFonts w:ascii="Calibri" w:hAnsi="Calibri" w:cs="Calibri"/>
                <w:szCs w:val="20"/>
              </w:rPr>
              <w:t>Updated to ex ante format 2016</w:t>
            </w:r>
          </w:p>
        </w:tc>
      </w:tr>
      <w:tr w:rsidR="00700C85" w:rsidRPr="00500C4E" w:rsidTr="00A965B2">
        <w:trPr>
          <w:trHeight w:val="20"/>
        </w:trPr>
        <w:tc>
          <w:tcPr>
            <w:tcW w:w="277" w:type="pct"/>
          </w:tcPr>
          <w:p w:rsidR="00700C85" w:rsidRDefault="000D325B" w:rsidP="008C2C8A">
            <w:pPr>
              <w:jc w:val="center"/>
            </w:pPr>
            <w:r>
              <w:t>4</w:t>
            </w:r>
          </w:p>
        </w:tc>
        <w:tc>
          <w:tcPr>
            <w:tcW w:w="623" w:type="pct"/>
          </w:tcPr>
          <w:p w:rsidR="00700C85" w:rsidRDefault="00B107E3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1/10/2017</w:t>
            </w:r>
          </w:p>
        </w:tc>
        <w:tc>
          <w:tcPr>
            <w:tcW w:w="802" w:type="pct"/>
          </w:tcPr>
          <w:p w:rsidR="00700C85" w:rsidRDefault="000D325B" w:rsidP="00393EC8">
            <w:pPr>
              <w:rPr>
                <w:szCs w:val="20"/>
              </w:rPr>
            </w:pPr>
            <w:r>
              <w:rPr>
                <w:szCs w:val="20"/>
              </w:rPr>
              <w:t>Linda Wan (PG&amp;E)</w:t>
            </w:r>
          </w:p>
        </w:tc>
        <w:tc>
          <w:tcPr>
            <w:tcW w:w="3298" w:type="pct"/>
          </w:tcPr>
          <w:p w:rsidR="00700C85" w:rsidRPr="000D325B" w:rsidRDefault="00B107E3" w:rsidP="000D325B">
            <w:pPr>
              <w:pStyle w:val="ListParagraph"/>
              <w:numPr>
                <w:ilvl w:val="0"/>
                <w:numId w:val="17"/>
              </w:numPr>
              <w:ind w:lef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Removed measures R117 &amp; R118</w:t>
            </w:r>
          </w:p>
        </w:tc>
      </w:tr>
      <w:tr w:rsidR="00B107E3" w:rsidRPr="00500C4E" w:rsidTr="00A965B2">
        <w:trPr>
          <w:trHeight w:val="20"/>
        </w:trPr>
        <w:tc>
          <w:tcPr>
            <w:tcW w:w="277" w:type="pct"/>
          </w:tcPr>
          <w:p w:rsidR="00B107E3" w:rsidRDefault="00B107E3" w:rsidP="008C2C8A">
            <w:pPr>
              <w:jc w:val="center"/>
            </w:pPr>
            <w:r>
              <w:t>5</w:t>
            </w:r>
          </w:p>
        </w:tc>
        <w:tc>
          <w:tcPr>
            <w:tcW w:w="623" w:type="pct"/>
          </w:tcPr>
          <w:p w:rsidR="00B107E3" w:rsidRDefault="00B107E3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4/1/2017</w:t>
            </w:r>
          </w:p>
        </w:tc>
        <w:tc>
          <w:tcPr>
            <w:tcW w:w="802" w:type="pct"/>
          </w:tcPr>
          <w:p w:rsidR="00B107E3" w:rsidRDefault="00B107E3" w:rsidP="00393EC8">
            <w:pPr>
              <w:rPr>
                <w:szCs w:val="20"/>
              </w:rPr>
            </w:pPr>
            <w:r>
              <w:rPr>
                <w:szCs w:val="20"/>
              </w:rPr>
              <w:t>Linda Wan (PG&amp;E)</w:t>
            </w:r>
          </w:p>
        </w:tc>
        <w:tc>
          <w:tcPr>
            <w:tcW w:w="3298" w:type="pct"/>
          </w:tcPr>
          <w:p w:rsidR="00E22177" w:rsidRDefault="00E22177" w:rsidP="00A028CD">
            <w:pPr>
              <w:pStyle w:val="ListParagraph"/>
              <w:ind w:lef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Removed measures R115 &amp; R122.</w:t>
            </w:r>
          </w:p>
          <w:p w:rsidR="00A028CD" w:rsidRDefault="00A028CD" w:rsidP="00A028CD">
            <w:pPr>
              <w:pStyle w:val="ListParagraph"/>
              <w:ind w:left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Converted PG&amp;E legacy </w:t>
            </w:r>
            <w:proofErr w:type="spellStart"/>
            <w:r>
              <w:rPr>
                <w:bCs/>
                <w:szCs w:val="20"/>
              </w:rPr>
              <w:t>workpaper</w:t>
            </w:r>
            <w:proofErr w:type="spellEnd"/>
            <w:r>
              <w:rPr>
                <w:bCs/>
                <w:szCs w:val="20"/>
              </w:rPr>
              <w:t xml:space="preserve"> “PGE3PREF121 R3 – Refrigeration Case SST Control” to short form </w:t>
            </w:r>
            <w:proofErr w:type="spellStart"/>
            <w:r>
              <w:rPr>
                <w:bCs/>
                <w:szCs w:val="20"/>
              </w:rPr>
              <w:t>workpaper</w:t>
            </w:r>
            <w:proofErr w:type="spellEnd"/>
            <w:r>
              <w:rPr>
                <w:bCs/>
                <w:szCs w:val="20"/>
              </w:rPr>
              <w:t xml:space="preserve">. </w:t>
            </w:r>
            <w:bookmarkStart w:id="1" w:name="_GoBack"/>
            <w:bookmarkEnd w:id="1"/>
          </w:p>
          <w:p w:rsidR="00B107E3" w:rsidRDefault="00A028CD" w:rsidP="00A028CD">
            <w:pPr>
              <w:pStyle w:val="ListParagraph"/>
              <w:numPr>
                <w:ilvl w:val="0"/>
                <w:numId w:val="17"/>
              </w:numPr>
              <w:ind w:left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Adopted lead IOU </w:t>
            </w:r>
            <w:proofErr w:type="spellStart"/>
            <w:r>
              <w:rPr>
                <w:bCs/>
                <w:szCs w:val="20"/>
              </w:rPr>
              <w:t>workpaper</w:t>
            </w:r>
            <w:proofErr w:type="spellEnd"/>
            <w:r>
              <w:rPr>
                <w:bCs/>
                <w:szCs w:val="20"/>
              </w:rPr>
              <w:t xml:space="preserve"> measure code RF-31355 &amp; RF-41488 from SCE’s “SCE17RN023.0 Refrigeration Floating Head Pressure Controls” </w:t>
            </w:r>
            <w:r w:rsidRPr="000D325B">
              <w:rPr>
                <w:bCs/>
                <w:szCs w:val="20"/>
              </w:rPr>
              <w:t xml:space="preserve">dated </w:t>
            </w:r>
            <w:r>
              <w:rPr>
                <w:bCs/>
                <w:szCs w:val="20"/>
              </w:rPr>
              <w:t>December 9, 2016.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0719BF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7"/>
        <w:gridCol w:w="6949"/>
      </w:tblGrid>
      <w:tr w:rsidR="00DB71F1" w:rsidTr="008E699A">
        <w:trPr>
          <w:cantSplit/>
          <w:tblHeader/>
        </w:trPr>
        <w:tc>
          <w:tcPr>
            <w:tcW w:w="2627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949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949" w:type="dxa"/>
          </w:tcPr>
          <w:p w:rsidR="00DE364E" w:rsidRPr="00E52110" w:rsidRDefault="00DB71F1" w:rsidP="008E0850">
            <w:pPr>
              <w:jc w:val="both"/>
              <w:rPr>
                <w:rFonts w:cs="Arial"/>
                <w:sz w:val="20"/>
                <w:szCs w:val="20"/>
              </w:rPr>
            </w:pPr>
            <w:r w:rsidRPr="005A6880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5A6880">
              <w:rPr>
                <w:rFonts w:cs="Arial"/>
                <w:sz w:val="20"/>
                <w:szCs w:val="20"/>
              </w:rPr>
              <w:t>s</w:t>
            </w:r>
            <w:r w:rsidR="001A34A6" w:rsidRPr="005A6880">
              <w:rPr>
                <w:rFonts w:cs="Arial"/>
                <w:sz w:val="20"/>
                <w:szCs w:val="20"/>
              </w:rPr>
              <w:t xml:space="preserve"> for</w:t>
            </w:r>
            <w:r w:rsidRPr="005A6880">
              <w:rPr>
                <w:rFonts w:cs="Arial"/>
                <w:sz w:val="20"/>
                <w:szCs w:val="20"/>
              </w:rPr>
              <w:t xml:space="preserve"> </w:t>
            </w:r>
            <w:r w:rsidR="00E52110" w:rsidRPr="005A6880">
              <w:rPr>
                <w:rFonts w:cs="Arial"/>
                <w:sz w:val="20"/>
                <w:szCs w:val="20"/>
              </w:rPr>
              <w:t>SCE’s “</w:t>
            </w:r>
            <w:r w:rsidR="005A6880">
              <w:rPr>
                <w:sz w:val="20"/>
                <w:szCs w:val="20"/>
              </w:rPr>
              <w:t>Refrigeration Floating Suction and Head Pressure Controls</w:t>
            </w:r>
            <w:r w:rsidR="00E52110" w:rsidRPr="005A6880">
              <w:rPr>
                <w:sz w:val="20"/>
                <w:szCs w:val="20"/>
              </w:rPr>
              <w:t>”</w:t>
            </w:r>
            <w:r w:rsidRPr="005A6880">
              <w:rPr>
                <w:rFonts w:cs="Arial"/>
                <w:sz w:val="20"/>
                <w:szCs w:val="20"/>
              </w:rPr>
              <w:t xml:space="preserve">. </w:t>
            </w:r>
            <w:r w:rsidR="00C228B0" w:rsidRPr="005A6880">
              <w:rPr>
                <w:rFonts w:cs="Arial"/>
                <w:sz w:val="20"/>
                <w:szCs w:val="20"/>
              </w:rPr>
              <w:t>The base energy consumption</w:t>
            </w:r>
            <w:r w:rsidR="00067315" w:rsidRPr="005A6880">
              <w:rPr>
                <w:rFonts w:cs="Arial"/>
                <w:sz w:val="20"/>
                <w:szCs w:val="20"/>
              </w:rPr>
              <w:t xml:space="preserve"> and </w:t>
            </w:r>
            <w:r w:rsidR="00C228B0" w:rsidRPr="005A6880">
              <w:rPr>
                <w:rFonts w:cs="Arial"/>
                <w:sz w:val="20"/>
                <w:szCs w:val="20"/>
              </w:rPr>
              <w:t>measure energy consumption</w:t>
            </w:r>
            <w:r w:rsidR="00067315" w:rsidRPr="005A6880">
              <w:rPr>
                <w:rFonts w:cs="Arial"/>
                <w:sz w:val="20"/>
                <w:szCs w:val="20"/>
              </w:rPr>
              <w:t xml:space="preserve"> values</w:t>
            </w:r>
            <w:r w:rsidR="00C228B0" w:rsidRPr="005A6880">
              <w:rPr>
                <w:rFonts w:cs="Arial"/>
                <w:sz w:val="20"/>
                <w:szCs w:val="20"/>
              </w:rPr>
              <w:t xml:space="preserve"> are fr</w:t>
            </w:r>
            <w:r w:rsidR="001A34A6" w:rsidRPr="005A6880">
              <w:rPr>
                <w:rFonts w:cs="Arial"/>
                <w:sz w:val="20"/>
                <w:szCs w:val="20"/>
              </w:rPr>
              <w:t xml:space="preserve">om </w:t>
            </w:r>
            <w:proofErr w:type="spellStart"/>
            <w:r w:rsidR="005A6880">
              <w:rPr>
                <w:rFonts w:cs="Arial"/>
                <w:sz w:val="20"/>
                <w:szCs w:val="20"/>
              </w:rPr>
              <w:t>LegacyID</w:t>
            </w:r>
            <w:r w:rsidR="00A028CD">
              <w:rPr>
                <w:rFonts w:cs="Arial"/>
                <w:sz w:val="20"/>
                <w:szCs w:val="20"/>
              </w:rPr>
              <w:t>s</w:t>
            </w:r>
            <w:proofErr w:type="spellEnd"/>
            <w:r w:rsidR="00A028CD">
              <w:rPr>
                <w:rFonts w:cs="Arial"/>
                <w:sz w:val="20"/>
                <w:szCs w:val="20"/>
              </w:rPr>
              <w:t xml:space="preserve"> D03-221, D03-222, D03-223, D03-224, D03-225, &amp; D03-226</w:t>
            </w:r>
            <w:r w:rsidR="005A6880">
              <w:rPr>
                <w:rFonts w:cs="Arial"/>
                <w:sz w:val="20"/>
                <w:szCs w:val="20"/>
              </w:rPr>
              <w:t xml:space="preserve"> from READI v2.4.7.</w:t>
            </w:r>
          </w:p>
          <w:p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949" w:type="dxa"/>
          </w:tcPr>
          <w:p w:rsidR="008C2C8A" w:rsidRPr="005A6880" w:rsidRDefault="00EE6CFE" w:rsidP="001D57D7">
            <w:pPr>
              <w:rPr>
                <w:rFonts w:cs="Arial"/>
                <w:sz w:val="20"/>
                <w:szCs w:val="20"/>
              </w:rPr>
            </w:pPr>
            <w:r w:rsidRPr="005A6880">
              <w:rPr>
                <w:rFonts w:cs="Arial"/>
                <w:sz w:val="20"/>
                <w:szCs w:val="20"/>
              </w:rPr>
              <w:t>Measure</w:t>
            </w:r>
            <w:r w:rsidR="00666474" w:rsidRPr="005A6880">
              <w:rPr>
                <w:rFonts w:cs="Arial"/>
                <w:sz w:val="20"/>
                <w:szCs w:val="20"/>
              </w:rPr>
              <w:t>s</w:t>
            </w:r>
            <w:r w:rsidRPr="005A6880">
              <w:rPr>
                <w:rFonts w:cs="Arial"/>
                <w:sz w:val="20"/>
                <w:szCs w:val="20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8"/>
              <w:gridCol w:w="990"/>
              <w:gridCol w:w="4760"/>
            </w:tblGrid>
            <w:tr w:rsidR="008C5A8E" w:rsidRPr="005A6880" w:rsidTr="008C5A8E">
              <w:tc>
                <w:tcPr>
                  <w:tcW w:w="968" w:type="dxa"/>
                </w:tcPr>
                <w:p w:rsidR="008C5A8E" w:rsidRPr="005A6880" w:rsidRDefault="001E37EF" w:rsidP="001E37EF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P</w:t>
                  </w:r>
                  <w:r w:rsidR="008C5A8E" w:rsidRPr="005A6880">
                    <w:rPr>
                      <w:rFonts w:cs="Arial"/>
                      <w:sz w:val="20"/>
                      <w:szCs w:val="20"/>
                    </w:rPr>
                    <w:t xml:space="preserve">G&amp;E </w:t>
                  </w:r>
                  <w:r w:rsidRPr="005A6880"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990" w:type="dxa"/>
                </w:tcPr>
                <w:p w:rsidR="008C5A8E" w:rsidRPr="005A6880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SCE Product Code</w:t>
                  </w:r>
                </w:p>
              </w:tc>
              <w:tc>
                <w:tcPr>
                  <w:tcW w:w="4760" w:type="dxa"/>
                </w:tcPr>
                <w:p w:rsidR="008C5A8E" w:rsidRPr="005A6880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8C5A8E" w:rsidRPr="001E37EF" w:rsidTr="008C5A8E">
              <w:tc>
                <w:tcPr>
                  <w:tcW w:w="968" w:type="dxa"/>
                </w:tcPr>
                <w:p w:rsidR="00666474" w:rsidRPr="005A6880" w:rsidRDefault="00A028CD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R116</w:t>
                  </w:r>
                </w:p>
              </w:tc>
              <w:tc>
                <w:tcPr>
                  <w:tcW w:w="990" w:type="dxa"/>
                </w:tcPr>
                <w:p w:rsidR="008C5A8E" w:rsidRPr="005A6880" w:rsidRDefault="001E37EF" w:rsidP="00A028CD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5A6880">
                    <w:rPr>
                      <w:rFonts w:cstheme="minorHAnsi"/>
                      <w:sz w:val="20"/>
                      <w:szCs w:val="20"/>
                    </w:rPr>
                    <w:t>RF-</w:t>
                  </w:r>
                  <w:r w:rsidR="00A028CD">
                    <w:rPr>
                      <w:rFonts w:cstheme="minorHAnsi"/>
                      <w:sz w:val="20"/>
                      <w:szCs w:val="20"/>
                    </w:rPr>
                    <w:t>31355</w:t>
                  </w:r>
                </w:p>
              </w:tc>
              <w:tc>
                <w:tcPr>
                  <w:tcW w:w="4760" w:type="dxa"/>
                </w:tcPr>
                <w:p w:rsidR="008C5A8E" w:rsidRPr="005A6880" w:rsidRDefault="00A028CD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A028CD">
                    <w:rPr>
                      <w:rFonts w:cs="Arial"/>
                      <w:sz w:val="20"/>
                      <w:szCs w:val="20"/>
                    </w:rPr>
                    <w:t>Floating Head Pressure Controls on Commercial Air-Cooled Multiplex Refrigeration System</w:t>
                  </w:r>
                </w:p>
              </w:tc>
            </w:tr>
            <w:tr w:rsidR="00A028CD" w:rsidRPr="001E37EF" w:rsidTr="008C5A8E">
              <w:tc>
                <w:tcPr>
                  <w:tcW w:w="968" w:type="dxa"/>
                </w:tcPr>
                <w:p w:rsidR="00A028CD" w:rsidRPr="005A6880" w:rsidRDefault="00A028CD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R123</w:t>
                  </w:r>
                </w:p>
              </w:tc>
              <w:tc>
                <w:tcPr>
                  <w:tcW w:w="990" w:type="dxa"/>
                </w:tcPr>
                <w:p w:rsidR="00A028CD" w:rsidRPr="005A6880" w:rsidRDefault="00A028CD" w:rsidP="001E37EF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RF-41488</w:t>
                  </w:r>
                </w:p>
              </w:tc>
              <w:tc>
                <w:tcPr>
                  <w:tcW w:w="4760" w:type="dxa"/>
                </w:tcPr>
                <w:p w:rsidR="00A028CD" w:rsidRPr="005A6880" w:rsidRDefault="00A028CD" w:rsidP="00A028CD">
                  <w:pPr>
                    <w:tabs>
                      <w:tab w:val="left" w:pos="1065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A028CD">
                    <w:rPr>
                      <w:rFonts w:cs="Arial"/>
                      <w:sz w:val="20"/>
                      <w:szCs w:val="20"/>
                    </w:rPr>
                    <w:t>Floating Head Pressure Controls on Commercial Evap-Cooled Multiplex Refrigeration System</w:t>
                  </w:r>
                </w:p>
              </w:tc>
            </w:tr>
          </w:tbl>
          <w:p w:rsidR="008C5A8E" w:rsidRPr="001E37EF" w:rsidRDefault="008C5A8E" w:rsidP="008C5A8E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949" w:type="dxa"/>
          </w:tcPr>
          <w:p w:rsidR="00DB71F1" w:rsidRPr="001E37EF" w:rsidRDefault="00DB71F1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8775D7" w:rsidRPr="008775D7" w:rsidTr="008E699A">
        <w:trPr>
          <w:cantSplit/>
        </w:trPr>
        <w:tc>
          <w:tcPr>
            <w:tcW w:w="2627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949" w:type="dxa"/>
          </w:tcPr>
          <w:p w:rsidR="00A028CD" w:rsidRPr="00A028CD" w:rsidRDefault="00A028CD" w:rsidP="00A028CD">
            <w:pPr>
              <w:rPr>
                <w:rFonts w:cs="Arial"/>
                <w:sz w:val="20"/>
                <w:szCs w:val="20"/>
              </w:rPr>
            </w:pPr>
            <w:r w:rsidRPr="00A028CD">
              <w:rPr>
                <w:rFonts w:cs="Arial"/>
                <w:sz w:val="20"/>
                <w:szCs w:val="20"/>
              </w:rPr>
              <w:t>Base Cases:</w:t>
            </w:r>
          </w:p>
          <w:p w:rsidR="00A028CD" w:rsidRPr="00A028CD" w:rsidRDefault="0037572E" w:rsidP="00A028C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1. </w:t>
            </w:r>
            <w:r w:rsidR="00A028CD" w:rsidRPr="00A028CD">
              <w:rPr>
                <w:rFonts w:cs="Arial"/>
                <w:sz w:val="20"/>
                <w:szCs w:val="20"/>
              </w:rPr>
              <w:t>RF-31355: Multiplex system, air-cooled condenser, fixed SCT = 80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>F</w:t>
            </w:r>
          </w:p>
          <w:p w:rsidR="00A028CD" w:rsidRPr="00A028CD" w:rsidRDefault="0037572E" w:rsidP="0037572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2. 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RF-41488: Multiplex system,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evap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>-coo</w:t>
            </w:r>
            <w:r>
              <w:rPr>
                <w:rFonts w:cs="Arial"/>
                <w:sz w:val="20"/>
                <w:szCs w:val="20"/>
              </w:rPr>
              <w:t>led condenser, fixed SCT = 80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>
              <w:rPr>
                <w:rFonts w:cs="Arial"/>
                <w:sz w:val="20"/>
                <w:szCs w:val="20"/>
              </w:rPr>
              <w:t>F</w:t>
            </w:r>
          </w:p>
          <w:p w:rsidR="0037572E" w:rsidRDefault="0037572E" w:rsidP="00A028CD">
            <w:pPr>
              <w:rPr>
                <w:rFonts w:cs="Arial"/>
                <w:sz w:val="20"/>
                <w:szCs w:val="20"/>
              </w:rPr>
            </w:pPr>
          </w:p>
          <w:p w:rsidR="00A028CD" w:rsidRPr="00A028CD" w:rsidRDefault="00A028CD" w:rsidP="00A028CD">
            <w:pPr>
              <w:rPr>
                <w:rFonts w:cs="Arial"/>
                <w:sz w:val="20"/>
                <w:szCs w:val="20"/>
              </w:rPr>
            </w:pPr>
            <w:r w:rsidRPr="00A028CD">
              <w:rPr>
                <w:rFonts w:cs="Arial"/>
                <w:sz w:val="20"/>
                <w:szCs w:val="20"/>
              </w:rPr>
              <w:t>Measure Cases:</w:t>
            </w:r>
          </w:p>
          <w:p w:rsidR="00A028CD" w:rsidRPr="00A028CD" w:rsidRDefault="0037572E" w:rsidP="00A028C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1. </w:t>
            </w:r>
            <w:r w:rsidR="00A028CD" w:rsidRPr="00A028CD">
              <w:rPr>
                <w:rFonts w:cs="Arial"/>
                <w:sz w:val="20"/>
                <w:szCs w:val="20"/>
              </w:rPr>
              <w:t>RF-31355: Floating head pressure control for commercial air-cooled multiplex refrigeration systems. This measure comprises three DEER measures, described as follows:</w:t>
            </w:r>
          </w:p>
          <w:p w:rsidR="00A028CD" w:rsidRPr="00A028CD" w:rsidRDefault="0037572E" w:rsidP="00A028C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a) </w:t>
            </w:r>
            <w:r w:rsidR="00A028CD" w:rsidRPr="00A028CD">
              <w:rPr>
                <w:rFonts w:cs="Arial"/>
                <w:sz w:val="20"/>
                <w:szCs w:val="20"/>
              </w:rPr>
              <w:t>DEER ID: D03-221: Multiplex system, air-cooled condenser, fixed SCT = 70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F </w:t>
            </w:r>
          </w:p>
          <w:p w:rsidR="00A028CD" w:rsidRPr="00A028CD" w:rsidRDefault="0037572E" w:rsidP="00A028C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b) </w:t>
            </w:r>
            <w:r w:rsidR="00A028CD" w:rsidRPr="00A028CD">
              <w:rPr>
                <w:rFonts w:cs="Arial"/>
                <w:sz w:val="20"/>
                <w:szCs w:val="20"/>
              </w:rPr>
              <w:t>DEER ID: D03-223: Multiplex system, air-cooled condenser, control SCT to ambient + 12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F TD, 70oF min,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backflood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setpoint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of 68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F </w:t>
            </w:r>
          </w:p>
          <w:p w:rsidR="00A028CD" w:rsidRPr="00A028CD" w:rsidRDefault="0037572E" w:rsidP="00A028C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c) </w:t>
            </w:r>
            <w:r w:rsidR="00A028CD" w:rsidRPr="00A028CD">
              <w:rPr>
                <w:rFonts w:cs="Arial"/>
                <w:sz w:val="20"/>
                <w:szCs w:val="20"/>
              </w:rPr>
              <w:t>DEER ID: D03-225: Multiplex system, air-cooled condenser, control SCT to ambient + 12</w:t>
            </w:r>
            <w:r w:rsidR="00381A71">
              <w:rPr>
                <w:rFonts w:cs="Arial"/>
                <w:sz w:val="20"/>
                <w:szCs w:val="20"/>
              </w:rPr>
              <w:t>°F TD, 70°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F min,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backflood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setpoint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of 68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>F, variable-speed fan control</w:t>
            </w:r>
          </w:p>
          <w:p w:rsidR="00A028CD" w:rsidRPr="00A028CD" w:rsidRDefault="0037572E" w:rsidP="00A028C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2. 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RF-41488: Floating head pressure control for commercial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evap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>-cooled multiplex refrigeration systems. This measure comprises three DEER measures, described as follows:</w:t>
            </w:r>
          </w:p>
          <w:p w:rsidR="00A028CD" w:rsidRPr="00A028CD" w:rsidRDefault="0037572E" w:rsidP="00A028C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a) 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DEER ID: D03-222: Multiplex system,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evap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>-cooled condenser, fixed SCT = 70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>F</w:t>
            </w:r>
          </w:p>
          <w:p w:rsidR="00A028CD" w:rsidRPr="00A028CD" w:rsidRDefault="0037572E" w:rsidP="00A028C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b) 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DEER ID: D03-224: Multiplex system,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evap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-cooled condenser, control SCT to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wetbulb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+ 17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>F TD, 70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F min,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backflood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setpoint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of 68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>F</w:t>
            </w:r>
          </w:p>
          <w:p w:rsidR="008775D7" w:rsidRPr="001E37EF" w:rsidRDefault="0037572E" w:rsidP="00A028CD">
            <w:pPr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 xml:space="preserve">c) 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DEER ID: D03-226: Multiplex system,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evap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-cooled condenser, control SCT to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wetbulb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+ 17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>F TD, 70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 xml:space="preserve">F min,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backflood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028CD" w:rsidRPr="00A028CD">
              <w:rPr>
                <w:rFonts w:cs="Arial"/>
                <w:sz w:val="20"/>
                <w:szCs w:val="20"/>
              </w:rPr>
              <w:t>setpoint</w:t>
            </w:r>
            <w:proofErr w:type="spellEnd"/>
            <w:r w:rsidR="00A028CD" w:rsidRPr="00A028CD">
              <w:rPr>
                <w:rFonts w:cs="Arial"/>
                <w:sz w:val="20"/>
                <w:szCs w:val="20"/>
              </w:rPr>
              <w:t xml:space="preserve"> of 68</w:t>
            </w:r>
            <w:r w:rsidR="00381A71">
              <w:rPr>
                <w:rFonts w:cs="Arial"/>
                <w:sz w:val="20"/>
                <w:szCs w:val="20"/>
              </w:rPr>
              <w:t>°</w:t>
            </w:r>
            <w:r w:rsidR="00A028CD" w:rsidRPr="00A028CD">
              <w:rPr>
                <w:rFonts w:cs="Arial"/>
                <w:sz w:val="20"/>
                <w:szCs w:val="20"/>
              </w:rPr>
              <w:t>F, variable-speed fan control</w:t>
            </w:r>
          </w:p>
        </w:tc>
      </w:tr>
      <w:tr w:rsidR="008775D7" w:rsidRPr="008775D7" w:rsidTr="008E699A">
        <w:trPr>
          <w:cantSplit/>
        </w:trPr>
        <w:tc>
          <w:tcPr>
            <w:tcW w:w="2627" w:type="dxa"/>
          </w:tcPr>
          <w:p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lastRenderedPageBreak/>
              <w:t>Code for All Measures</w:t>
            </w:r>
          </w:p>
        </w:tc>
        <w:tc>
          <w:tcPr>
            <w:tcW w:w="6949" w:type="dxa"/>
          </w:tcPr>
          <w:p w:rsidR="00041DA6" w:rsidRPr="001E37EF" w:rsidRDefault="00041DA6" w:rsidP="00041DA6">
            <w:pPr>
              <w:rPr>
                <w:sz w:val="20"/>
                <w:szCs w:val="20"/>
                <w:highlight w:val="yellow"/>
              </w:rPr>
            </w:pPr>
            <w:r w:rsidRPr="00697340">
              <w:rPr>
                <w:sz w:val="20"/>
                <w:szCs w:val="20"/>
              </w:rPr>
              <w:t>As cited per SCE workpaper</w:t>
            </w:r>
          </w:p>
          <w:p w:rsidR="00697340" w:rsidRPr="00697340" w:rsidRDefault="00697340" w:rsidP="00697340">
            <w:pPr>
              <w:rPr>
                <w:sz w:val="20"/>
                <w:szCs w:val="20"/>
              </w:rPr>
            </w:pPr>
            <w:r w:rsidRPr="00697340">
              <w:rPr>
                <w:sz w:val="20"/>
                <w:szCs w:val="20"/>
              </w:rPr>
              <w:t xml:space="preserve">Chapter 10.5 of the California’s Title 24 2016 Non-Residential Compliance Manual [496] addresses commercial refrigeration systems in retail food stores. Chapter 10.5.2, Section A requires that all new commercial air-cooled and evaporative condenser fans be continuously variable speed. Additionally, head pressure must float in response to </w:t>
            </w:r>
            <w:proofErr w:type="spellStart"/>
            <w:r w:rsidRPr="00697340">
              <w:rPr>
                <w:sz w:val="20"/>
                <w:szCs w:val="20"/>
              </w:rPr>
              <w:t>Tdb</w:t>
            </w:r>
            <w:proofErr w:type="spellEnd"/>
            <w:r w:rsidRPr="00697340">
              <w:rPr>
                <w:sz w:val="20"/>
                <w:szCs w:val="20"/>
              </w:rPr>
              <w:t xml:space="preserve"> or </w:t>
            </w:r>
            <w:proofErr w:type="spellStart"/>
            <w:r w:rsidRPr="00697340">
              <w:rPr>
                <w:sz w:val="20"/>
                <w:szCs w:val="20"/>
              </w:rPr>
              <w:t>Twb</w:t>
            </w:r>
            <w:proofErr w:type="spellEnd"/>
            <w:r w:rsidRPr="00697340">
              <w:rPr>
                <w:sz w:val="20"/>
                <w:szCs w:val="20"/>
              </w:rPr>
              <w:t xml:space="preserve">, and the minimum SCT must be 70oF or less. Table 10-2 in Title 24 specifies the minimum specific efficiency requirements (Btu-h/Watt) for new fan-powered condensers. Chapter 10.5.3, Section A requires floating suction pressure controls based on worst-case demand for all new remote refrigeration systems. </w:t>
            </w:r>
          </w:p>
          <w:p w:rsidR="00697340" w:rsidRPr="00697340" w:rsidRDefault="00697340" w:rsidP="00697340">
            <w:pPr>
              <w:rPr>
                <w:sz w:val="20"/>
                <w:szCs w:val="20"/>
              </w:rPr>
            </w:pPr>
          </w:p>
          <w:p w:rsidR="00041DA6" w:rsidRPr="001E37EF" w:rsidRDefault="00697340" w:rsidP="00697340">
            <w:pPr>
              <w:rPr>
                <w:sz w:val="20"/>
                <w:szCs w:val="20"/>
                <w:highlight w:val="yellow"/>
              </w:rPr>
            </w:pPr>
            <w:r w:rsidRPr="00697340">
              <w:rPr>
                <w:sz w:val="20"/>
                <w:szCs w:val="20"/>
              </w:rPr>
              <w:t xml:space="preserve">Chapter 10.6.3 addresses the mechanical systems serving refrigerated warehouses. Section B requires that all new commercial air-cooled and evaporative condenser fans be continuously variable speed. Additionally, head pressure must float in response to </w:t>
            </w:r>
            <w:proofErr w:type="spellStart"/>
            <w:r w:rsidRPr="00697340">
              <w:rPr>
                <w:sz w:val="20"/>
                <w:szCs w:val="20"/>
              </w:rPr>
              <w:t>Tdb</w:t>
            </w:r>
            <w:proofErr w:type="spellEnd"/>
            <w:r w:rsidRPr="00697340">
              <w:rPr>
                <w:sz w:val="20"/>
                <w:szCs w:val="20"/>
              </w:rPr>
              <w:t xml:space="preserve"> or </w:t>
            </w:r>
            <w:proofErr w:type="spellStart"/>
            <w:r w:rsidRPr="00697340">
              <w:rPr>
                <w:sz w:val="20"/>
                <w:szCs w:val="20"/>
              </w:rPr>
              <w:t>Twb</w:t>
            </w:r>
            <w:proofErr w:type="spellEnd"/>
            <w:r w:rsidRPr="00697340">
              <w:rPr>
                <w:sz w:val="20"/>
                <w:szCs w:val="20"/>
              </w:rPr>
              <w:t>, and the minimum SCT must be 70oF or less.  Table 10-6 in Title 24 specifies the minimum specific efficiency requirements (Btu-h/Watt) for new fan-powered condensers. Floating suction pressure controls are not mandatory. Additionally, areas within refrigerated warehouses designed for quick chilling or freezing of products are exempt.</w:t>
            </w:r>
          </w:p>
        </w:tc>
      </w:tr>
      <w:tr w:rsidR="00E84938" w:rsidTr="008E699A">
        <w:trPr>
          <w:cantSplit/>
        </w:trPr>
        <w:tc>
          <w:tcPr>
            <w:tcW w:w="2627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949" w:type="dxa"/>
          </w:tcPr>
          <w:p w:rsidR="00BD7ED5" w:rsidRPr="00697340" w:rsidRDefault="00697340" w:rsidP="00BD7ED5">
            <w:pPr>
              <w:pStyle w:val="Reminders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697340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As cited per SCE </w:t>
            </w:r>
            <w:proofErr w:type="spellStart"/>
            <w:r w:rsidRPr="00697340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workpaper</w:t>
            </w:r>
            <w:proofErr w:type="spellEnd"/>
          </w:p>
          <w:p w:rsidR="00697340" w:rsidRPr="00697340" w:rsidRDefault="00697340" w:rsidP="00697340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Proposed head pressure controls must operate the refrigeration systems according to:</w:t>
            </w:r>
          </w:p>
          <w:p w:rsidR="00697340" w:rsidRPr="00697340" w:rsidRDefault="00697340" w:rsidP="00697340">
            <w:pPr>
              <w:pStyle w:val="Reminders"/>
              <w:numPr>
                <w:ilvl w:val="0"/>
                <w:numId w:val="22"/>
              </w:numPr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12°F temperature difference (TD) between </w:t>
            </w:r>
            <w:proofErr w:type="spellStart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Tdb</w:t>
            </w:r>
            <w:proofErr w:type="spellEnd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 and SCT for air-cooled commercial systems on all building types except refrigerated warehouse</w:t>
            </w:r>
          </w:p>
          <w:p w:rsidR="00697340" w:rsidRPr="00697340" w:rsidRDefault="00697340" w:rsidP="00697340">
            <w:pPr>
              <w:pStyle w:val="Reminders"/>
              <w:numPr>
                <w:ilvl w:val="0"/>
                <w:numId w:val="22"/>
              </w:numPr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17°F TD between </w:t>
            </w:r>
            <w:proofErr w:type="spellStart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Twb</w:t>
            </w:r>
            <w:proofErr w:type="spellEnd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 and SCT for </w:t>
            </w:r>
            <w:proofErr w:type="spellStart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evap</w:t>
            </w:r>
            <w:proofErr w:type="spellEnd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-cooled commercial systems on all building types except refrigerated warehouse</w:t>
            </w:r>
          </w:p>
          <w:p w:rsidR="00697340" w:rsidRPr="00697340" w:rsidRDefault="00697340" w:rsidP="00697340">
            <w:pPr>
              <w:pStyle w:val="Reminders"/>
              <w:numPr>
                <w:ilvl w:val="0"/>
                <w:numId w:val="22"/>
              </w:numPr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9°F TD between </w:t>
            </w:r>
            <w:proofErr w:type="spellStart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Twb</w:t>
            </w:r>
            <w:proofErr w:type="spellEnd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 and SCT for </w:t>
            </w:r>
            <w:proofErr w:type="spellStart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evap</w:t>
            </w:r>
            <w:proofErr w:type="spellEnd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-cooled process systems on refrigerated warehouses</w:t>
            </w:r>
          </w:p>
          <w:p w:rsidR="00697340" w:rsidRPr="00697340" w:rsidRDefault="00697340" w:rsidP="00697340">
            <w:pPr>
              <w:pStyle w:val="Reminders"/>
              <w:numPr>
                <w:ilvl w:val="0"/>
                <w:numId w:val="22"/>
              </w:numPr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Minimum SCT of 70°F</w:t>
            </w:r>
          </w:p>
          <w:p w:rsidR="00697340" w:rsidRPr="00697340" w:rsidRDefault="00697340" w:rsidP="00697340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</w:p>
          <w:p w:rsidR="00697340" w:rsidRPr="00697340" w:rsidRDefault="00697340" w:rsidP="00697340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The proposed suction pressure controls must operate the refrigeration systems according to:</w:t>
            </w:r>
          </w:p>
          <w:p w:rsidR="00697340" w:rsidRPr="00697340" w:rsidRDefault="00697340" w:rsidP="00697340">
            <w:pPr>
              <w:pStyle w:val="Reminders"/>
              <w:numPr>
                <w:ilvl w:val="0"/>
                <w:numId w:val="25"/>
              </w:numPr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Worst zone demand. The maximum suction </w:t>
            </w:r>
            <w:proofErr w:type="spellStart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setpoint</w:t>
            </w:r>
            <w:proofErr w:type="spellEnd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 is 5°F above the design temperature. The minimum is the same as the base case.</w:t>
            </w:r>
          </w:p>
          <w:p w:rsidR="00697340" w:rsidRPr="00697340" w:rsidRDefault="00697340" w:rsidP="00697340">
            <w:pPr>
              <w:pStyle w:val="Reminders"/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</w:p>
          <w:p w:rsidR="00697340" w:rsidRPr="00697340" w:rsidRDefault="00697340" w:rsidP="00697340">
            <w:pPr>
              <w:pStyle w:val="Reminders"/>
              <w:ind w:left="73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The following are ineligible:</w:t>
            </w:r>
          </w:p>
          <w:p w:rsidR="00697340" w:rsidRPr="00697340" w:rsidRDefault="00697340" w:rsidP="00697340">
            <w:pPr>
              <w:pStyle w:val="Reminders"/>
              <w:numPr>
                <w:ilvl w:val="0"/>
                <w:numId w:val="25"/>
              </w:numPr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New construction installations.</w:t>
            </w:r>
          </w:p>
          <w:p w:rsidR="00697340" w:rsidRPr="00697340" w:rsidRDefault="00697340" w:rsidP="00697340">
            <w:pPr>
              <w:pStyle w:val="Reminders"/>
              <w:numPr>
                <w:ilvl w:val="0"/>
                <w:numId w:val="25"/>
              </w:numPr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Floating head pressure controls on air-cooled process refrigeration systems.</w:t>
            </w:r>
          </w:p>
          <w:p w:rsidR="00697340" w:rsidRPr="00697340" w:rsidRDefault="00697340" w:rsidP="00697340">
            <w:pPr>
              <w:pStyle w:val="Reminders"/>
              <w:numPr>
                <w:ilvl w:val="0"/>
                <w:numId w:val="25"/>
              </w:numPr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Floating suction pressure controls on refrigeration systems with variable speed evaporator fans.</w:t>
            </w:r>
          </w:p>
          <w:p w:rsidR="00697340" w:rsidRPr="00697340" w:rsidRDefault="00697340" w:rsidP="00697340">
            <w:pPr>
              <w:pStyle w:val="Reminders"/>
              <w:numPr>
                <w:ilvl w:val="0"/>
                <w:numId w:val="25"/>
              </w:numPr>
              <w:ind w:left="343" w:hanging="270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Any improvements which results in increased system energy use</w:t>
            </w:r>
          </w:p>
          <w:p w:rsidR="00697340" w:rsidRPr="00697340" w:rsidRDefault="00697340" w:rsidP="00697340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</w:pPr>
          </w:p>
          <w:p w:rsidR="00697340" w:rsidRPr="001E37EF" w:rsidRDefault="00697340" w:rsidP="00697340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Cs w:val="22"/>
                <w:highlight w:val="yellow"/>
              </w:rPr>
            </w:pPr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Additionally, calculation of the design cooling load (tons) is to be based on connected display cases, walk-in coolers and freezers, cooled storage and prep areas only.  </w:t>
            </w:r>
            <w:proofErr w:type="spellStart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>Subcooler</w:t>
            </w:r>
            <w:proofErr w:type="spellEnd"/>
            <w:r w:rsidRPr="00697340">
              <w:rPr>
                <w:rFonts w:asciiTheme="minorHAnsi" w:hAnsiTheme="minorHAnsi" w:cstheme="minorHAnsi"/>
                <w:i w:val="0"/>
                <w:color w:val="auto"/>
                <w:sz w:val="20"/>
                <w:szCs w:val="22"/>
              </w:rPr>
              <w:t xml:space="preserve"> loads and air conditioning loads are ineligible for consideration.</w:t>
            </w:r>
          </w:p>
        </w:tc>
      </w:tr>
      <w:tr w:rsidR="00DB71F1" w:rsidTr="001E37EF">
        <w:trPr>
          <w:cantSplit/>
          <w:trHeight w:val="530"/>
        </w:trPr>
        <w:tc>
          <w:tcPr>
            <w:tcW w:w="2627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949" w:type="dxa"/>
          </w:tcPr>
          <w:p w:rsidR="00DB71F1" w:rsidRPr="001E37EF" w:rsidRDefault="00DB71F1" w:rsidP="00393EC8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Installation Type</w:t>
            </w:r>
          </w:p>
        </w:tc>
        <w:tc>
          <w:tcPr>
            <w:tcW w:w="6949" w:type="dxa"/>
          </w:tcPr>
          <w:p w:rsidR="00CF2ABA" w:rsidRPr="001E37EF" w:rsidRDefault="005F4AE2" w:rsidP="001E37EF">
            <w:pPr>
              <w:rPr>
                <w:rFonts w:cs="Arial"/>
                <w:sz w:val="20"/>
                <w:szCs w:val="20"/>
                <w:highlight w:val="yellow"/>
              </w:rPr>
            </w:pPr>
            <w:r w:rsidRPr="007D6B13">
              <w:rPr>
                <w:sz w:val="20"/>
                <w:szCs w:val="20"/>
              </w:rPr>
              <w:t>R</w:t>
            </w:r>
            <w:r w:rsidR="001E37EF" w:rsidRPr="007D6B13">
              <w:rPr>
                <w:sz w:val="20"/>
                <w:szCs w:val="20"/>
              </w:rPr>
              <w:t xml:space="preserve">etrofit Add-on </w:t>
            </w:r>
            <w:r w:rsidRPr="007D6B13">
              <w:rPr>
                <w:sz w:val="20"/>
                <w:szCs w:val="20"/>
              </w:rPr>
              <w:t>(R</w:t>
            </w:r>
            <w:r w:rsidR="001E37EF" w:rsidRPr="007D6B13">
              <w:rPr>
                <w:sz w:val="20"/>
                <w:szCs w:val="20"/>
              </w:rPr>
              <w:t>EA</w:t>
            </w:r>
            <w:r w:rsidRPr="007D6B13">
              <w:rPr>
                <w:sz w:val="20"/>
                <w:szCs w:val="20"/>
              </w:rPr>
              <w:t>)</w:t>
            </w: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949" w:type="dxa"/>
          </w:tcPr>
          <w:p w:rsidR="00B9551F" w:rsidRPr="007D6B13" w:rsidRDefault="00DB71F1" w:rsidP="00076614">
            <w:pPr>
              <w:rPr>
                <w:rFonts w:cs="Arial"/>
                <w:sz w:val="20"/>
                <w:szCs w:val="20"/>
              </w:rPr>
            </w:pPr>
            <w:r w:rsidRPr="007D6B13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7D6B13">
              <w:rPr>
                <w:rFonts w:cs="Arial"/>
                <w:sz w:val="20"/>
                <w:szCs w:val="20"/>
              </w:rPr>
              <w:t>Rebate</w:t>
            </w:r>
            <w:r w:rsidRPr="007D6B13">
              <w:rPr>
                <w:rFonts w:cs="Arial"/>
                <w:sz w:val="20"/>
                <w:szCs w:val="20"/>
              </w:rPr>
              <w:t xml:space="preserve"> – Deemed</w:t>
            </w:r>
          </w:p>
        </w:tc>
      </w:tr>
      <w:tr w:rsidR="00DB71F1" w:rsidTr="008E699A">
        <w:trPr>
          <w:cantSplit/>
        </w:trPr>
        <w:tc>
          <w:tcPr>
            <w:tcW w:w="2627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949" w:type="dxa"/>
          </w:tcPr>
          <w:p w:rsidR="00DB71F1" w:rsidRPr="001E37EF" w:rsidRDefault="00DB71F1" w:rsidP="00393EC8">
            <w:pPr>
              <w:rPr>
                <w:highlight w:val="yellow"/>
              </w:rPr>
            </w:pP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949" w:type="dxa"/>
          </w:tcPr>
          <w:p w:rsidR="00A61271" w:rsidRPr="001E37EF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7D6B13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949" w:type="dxa"/>
          </w:tcPr>
          <w:p w:rsidR="0051536D" w:rsidRPr="001E37EF" w:rsidRDefault="0051536D">
            <w:pPr>
              <w:tabs>
                <w:tab w:val="right" w:pos="6732"/>
              </w:tabs>
              <w:rPr>
                <w:rFonts w:cstheme="minorHAnsi"/>
                <w:szCs w:val="20"/>
                <w:highlight w:val="yellow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3330"/>
              <w:gridCol w:w="735"/>
              <w:gridCol w:w="1260"/>
            </w:tblGrid>
            <w:tr w:rsidR="0051536D" w:rsidRPr="001E37EF" w:rsidTr="001E37EF">
              <w:tc>
                <w:tcPr>
                  <w:tcW w:w="1238" w:type="dxa"/>
                </w:tcPr>
                <w:p w:rsidR="0051536D" w:rsidRPr="001E37EF" w:rsidRDefault="0051536D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1E37EF">
                    <w:rPr>
                      <w:rFonts w:cs="Arial"/>
                      <w:sz w:val="20"/>
                      <w:szCs w:val="20"/>
                    </w:rPr>
                    <w:t>EUL ID</w:t>
                  </w:r>
                </w:p>
              </w:tc>
              <w:tc>
                <w:tcPr>
                  <w:tcW w:w="3330" w:type="dxa"/>
                </w:tcPr>
                <w:p w:rsidR="0051536D" w:rsidRPr="001E37EF" w:rsidRDefault="0051536D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1E37EF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735" w:type="dxa"/>
                </w:tcPr>
                <w:p w:rsidR="0051536D" w:rsidRPr="001E37EF" w:rsidRDefault="0051536D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1E37EF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260" w:type="dxa"/>
                </w:tcPr>
                <w:p w:rsidR="0051536D" w:rsidRPr="001E37EF" w:rsidRDefault="0051536D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1E37EF">
                    <w:rPr>
                      <w:rFonts w:cs="Arial"/>
                      <w:sz w:val="20"/>
                      <w:szCs w:val="20"/>
                    </w:rPr>
                    <w:t>UseCategory</w:t>
                  </w:r>
                  <w:proofErr w:type="spellEnd"/>
                </w:p>
              </w:tc>
            </w:tr>
            <w:tr w:rsidR="0051536D" w:rsidRPr="001E37EF" w:rsidTr="001E37EF">
              <w:tc>
                <w:tcPr>
                  <w:tcW w:w="1238" w:type="dxa"/>
                </w:tcPr>
                <w:p w:rsidR="0051536D" w:rsidRPr="001E37EF" w:rsidRDefault="00381A71" w:rsidP="005B33E1">
                  <w:pPr>
                    <w:rPr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GrocSys-FltHd</w:t>
                  </w:r>
                  <w:r w:rsidR="001E37EF" w:rsidRPr="001E37EF">
                    <w:rPr>
                      <w:rFonts w:cstheme="minorHAnsi"/>
                      <w:sz w:val="20"/>
                      <w:szCs w:val="20"/>
                    </w:rPr>
                    <w:t>Pres</w:t>
                  </w:r>
                  <w:proofErr w:type="spellEnd"/>
                </w:p>
              </w:tc>
              <w:tc>
                <w:tcPr>
                  <w:tcW w:w="3330" w:type="dxa"/>
                </w:tcPr>
                <w:p w:rsidR="0051536D" w:rsidRPr="001E37EF" w:rsidRDefault="001E37EF" w:rsidP="00381A71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1E37EF">
                    <w:rPr>
                      <w:rFonts w:cstheme="minorHAnsi"/>
                      <w:sz w:val="20"/>
                      <w:szCs w:val="20"/>
                    </w:rPr>
                    <w:t>Refrigeration Upgrades (</w:t>
                  </w:r>
                  <w:r w:rsidR="00381A71">
                    <w:rPr>
                      <w:rFonts w:cstheme="minorHAnsi"/>
                      <w:sz w:val="20"/>
                      <w:szCs w:val="20"/>
                    </w:rPr>
                    <w:t>Head</w:t>
                  </w:r>
                  <w:r w:rsidRPr="001E37EF">
                    <w:rPr>
                      <w:rFonts w:cstheme="minorHAnsi"/>
                      <w:sz w:val="20"/>
                      <w:szCs w:val="20"/>
                    </w:rPr>
                    <w:t xml:space="preserve"> Pressure) – Grocery</w:t>
                  </w:r>
                </w:p>
              </w:tc>
              <w:tc>
                <w:tcPr>
                  <w:tcW w:w="735" w:type="dxa"/>
                </w:tcPr>
                <w:p w:rsidR="0051536D" w:rsidRPr="001E37EF" w:rsidRDefault="0051536D" w:rsidP="005B33E1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1E37EF">
                    <w:rPr>
                      <w:rFonts w:cstheme="minorHAnsi"/>
                      <w:sz w:val="20"/>
                      <w:szCs w:val="20"/>
                    </w:rPr>
                    <w:t>Com</w:t>
                  </w:r>
                </w:p>
              </w:tc>
              <w:tc>
                <w:tcPr>
                  <w:tcW w:w="1260" w:type="dxa"/>
                </w:tcPr>
                <w:p w:rsidR="0051536D" w:rsidRPr="001E37EF" w:rsidRDefault="0051536D" w:rsidP="005B33E1">
                  <w:pPr>
                    <w:rPr>
                      <w:color w:val="FF0000"/>
                      <w:sz w:val="20"/>
                      <w:szCs w:val="20"/>
                    </w:rPr>
                  </w:pPr>
                  <w:proofErr w:type="spellStart"/>
                  <w:r w:rsidRPr="001E37EF">
                    <w:rPr>
                      <w:rFonts w:cstheme="minorHAnsi"/>
                      <w:sz w:val="20"/>
                      <w:szCs w:val="20"/>
                    </w:rPr>
                    <w:t>ComRefrig</w:t>
                  </w:r>
                  <w:proofErr w:type="spellEnd"/>
                </w:p>
              </w:tc>
            </w:tr>
            <w:tr w:rsidR="00F11BAA" w:rsidRPr="001E37EF" w:rsidTr="001E37EF">
              <w:tc>
                <w:tcPr>
                  <w:tcW w:w="6563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:rsidR="00F11BAA" w:rsidRPr="001E37EF" w:rsidRDefault="00F11BAA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51536D" w:rsidRPr="001E37EF" w:rsidRDefault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949" w:type="dxa"/>
            <w:vAlign w:val="center"/>
          </w:tcPr>
          <w:p w:rsidR="00A61271" w:rsidRPr="001E37EF" w:rsidRDefault="008D0B3C" w:rsidP="005A6880">
            <w:pPr>
              <w:rPr>
                <w:rFonts w:cs="Arial"/>
                <w:sz w:val="20"/>
                <w:szCs w:val="20"/>
              </w:rPr>
            </w:pPr>
            <w:r w:rsidRPr="001E37EF">
              <w:rPr>
                <w:rFonts w:cs="Arial"/>
                <w:sz w:val="20"/>
                <w:szCs w:val="20"/>
              </w:rPr>
              <w:t>DEER</w:t>
            </w:r>
            <w:r w:rsidR="001E37EF" w:rsidRPr="001E37EF">
              <w:rPr>
                <w:rFonts w:cs="Arial"/>
                <w:sz w:val="20"/>
                <w:szCs w:val="20"/>
              </w:rPr>
              <w:t xml:space="preserve"> </w:t>
            </w:r>
            <w:r w:rsidR="005A6880">
              <w:rPr>
                <w:rFonts w:cs="Arial"/>
                <w:sz w:val="20"/>
                <w:szCs w:val="20"/>
              </w:rPr>
              <w:t>2005</w:t>
            </w: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949" w:type="dxa"/>
          </w:tcPr>
          <w:p w:rsidR="00D84702" w:rsidRPr="005A6880" w:rsidRDefault="00D84702" w:rsidP="00D84702">
            <w:pPr>
              <w:rPr>
                <w:b/>
                <w:sz w:val="20"/>
                <w:szCs w:val="20"/>
              </w:rPr>
            </w:pPr>
            <w:r w:rsidRPr="001E37EF">
              <w:rPr>
                <w:b/>
                <w:sz w:val="20"/>
                <w:szCs w:val="20"/>
              </w:rPr>
              <w:t>As cit</w:t>
            </w:r>
            <w:r w:rsidRPr="005A6880">
              <w:rPr>
                <w:b/>
                <w:sz w:val="20"/>
                <w:szCs w:val="20"/>
              </w:rPr>
              <w:t xml:space="preserve">ed in </w:t>
            </w:r>
            <w:r w:rsidR="005A6880">
              <w:rPr>
                <w:b/>
                <w:sz w:val="20"/>
                <w:szCs w:val="20"/>
              </w:rPr>
              <w:t>READI v2.4.7, Version DEER2005,</w:t>
            </w:r>
            <w:r w:rsidRPr="005A6880">
              <w:rPr>
                <w:b/>
                <w:sz w:val="20"/>
                <w:szCs w:val="20"/>
              </w:rPr>
              <w:t xml:space="preserve"> </w:t>
            </w:r>
            <w:r w:rsidR="005A6880">
              <w:rPr>
                <w:b/>
                <w:sz w:val="20"/>
                <w:szCs w:val="20"/>
              </w:rPr>
              <w:t xml:space="preserve">Source D06 v2.01, </w:t>
            </w:r>
            <w:r w:rsidRPr="005A6880">
              <w:rPr>
                <w:b/>
                <w:sz w:val="20"/>
                <w:szCs w:val="20"/>
              </w:rPr>
              <w:t>the Savings are</w:t>
            </w:r>
            <w:r w:rsidR="005A6880">
              <w:rPr>
                <w:b/>
                <w:sz w:val="20"/>
                <w:szCs w:val="20"/>
              </w:rPr>
              <w:t xml:space="preserve"> the following for “IOU” location and building type “Com”</w:t>
            </w:r>
            <w:r w:rsidRPr="005A6880">
              <w:rPr>
                <w:b/>
                <w:sz w:val="20"/>
                <w:szCs w:val="20"/>
              </w:rPr>
              <w:t>:</w:t>
            </w:r>
          </w:p>
          <w:p w:rsidR="0051536D" w:rsidRPr="001E37EF" w:rsidRDefault="0051536D" w:rsidP="00814F9B">
            <w:pPr>
              <w:rPr>
                <w:rFonts w:cs="Arial"/>
                <w:sz w:val="20"/>
                <w:szCs w:val="20"/>
                <w:highlight w:val="yellow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79"/>
              <w:gridCol w:w="1165"/>
              <w:gridCol w:w="902"/>
              <w:gridCol w:w="1041"/>
              <w:gridCol w:w="1136"/>
              <w:gridCol w:w="1200"/>
            </w:tblGrid>
            <w:tr w:rsidR="00381A71" w:rsidRPr="005A6880" w:rsidTr="00C5632F">
              <w:tc>
                <w:tcPr>
                  <w:tcW w:w="1279" w:type="dxa"/>
                </w:tcPr>
                <w:p w:rsidR="00381A71" w:rsidRPr="005A6880" w:rsidRDefault="00381A71" w:rsidP="001E37EF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PG&amp;E Measure Code</w:t>
                  </w:r>
                </w:p>
              </w:tc>
              <w:tc>
                <w:tcPr>
                  <w:tcW w:w="1165" w:type="dxa"/>
                </w:tcPr>
                <w:p w:rsidR="00381A71" w:rsidRPr="005A6880" w:rsidRDefault="00381A71" w:rsidP="001E37EF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SCE Solution Code</w:t>
                  </w:r>
                </w:p>
              </w:tc>
              <w:tc>
                <w:tcPr>
                  <w:tcW w:w="902" w:type="dxa"/>
                </w:tcPr>
                <w:p w:rsidR="00381A71" w:rsidRPr="005A6880" w:rsidRDefault="00381A71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BldgVint</w:t>
                  </w:r>
                  <w:proofErr w:type="spellEnd"/>
                </w:p>
              </w:tc>
              <w:tc>
                <w:tcPr>
                  <w:tcW w:w="1041" w:type="dxa"/>
                </w:tcPr>
                <w:p w:rsidR="00381A71" w:rsidRPr="005A6880" w:rsidRDefault="00381A71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KWh/</w:t>
                  </w:r>
                  <w:proofErr w:type="spellStart"/>
                  <w:r w:rsidRPr="005A6880">
                    <w:rPr>
                      <w:rFonts w:cs="Arial"/>
                      <w:sz w:val="20"/>
                      <w:szCs w:val="20"/>
                    </w:rPr>
                    <w:t>yr</w:t>
                  </w:r>
                  <w:proofErr w:type="spellEnd"/>
                  <w:r w:rsidRPr="005A6880">
                    <w:rPr>
                      <w:rFonts w:cs="Arial"/>
                      <w:sz w:val="20"/>
                      <w:szCs w:val="20"/>
                    </w:rPr>
                    <w:t xml:space="preserve"> Savings</w:t>
                  </w:r>
                </w:p>
              </w:tc>
              <w:tc>
                <w:tcPr>
                  <w:tcW w:w="1136" w:type="dxa"/>
                </w:tcPr>
                <w:p w:rsidR="00381A71" w:rsidRPr="005A6880" w:rsidRDefault="00381A71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KW/yr</w:t>
                  </w:r>
                </w:p>
                <w:p w:rsidR="00381A71" w:rsidRPr="005A6880" w:rsidRDefault="00381A71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Savings</w:t>
                  </w:r>
                </w:p>
              </w:tc>
              <w:tc>
                <w:tcPr>
                  <w:tcW w:w="1200" w:type="dxa"/>
                </w:tcPr>
                <w:p w:rsidR="00381A71" w:rsidRPr="005A6880" w:rsidRDefault="00381A71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5A6880">
                    <w:rPr>
                      <w:rFonts w:cs="Arial"/>
                      <w:sz w:val="20"/>
                      <w:szCs w:val="20"/>
                    </w:rPr>
                    <w:t>Therm</w:t>
                  </w:r>
                  <w:proofErr w:type="spellEnd"/>
                  <w:r w:rsidRPr="005A6880">
                    <w:rPr>
                      <w:rFonts w:cs="Arial"/>
                      <w:sz w:val="20"/>
                      <w:szCs w:val="20"/>
                    </w:rPr>
                    <w:t>/</w:t>
                  </w:r>
                  <w:proofErr w:type="spellStart"/>
                  <w:r w:rsidRPr="005A6880">
                    <w:rPr>
                      <w:rFonts w:cs="Arial"/>
                      <w:sz w:val="20"/>
                      <w:szCs w:val="20"/>
                    </w:rPr>
                    <w:t>yr</w:t>
                  </w:r>
                  <w:proofErr w:type="spellEnd"/>
                  <w:r w:rsidRPr="005A6880">
                    <w:rPr>
                      <w:rFonts w:cs="Arial"/>
                      <w:sz w:val="20"/>
                      <w:szCs w:val="20"/>
                    </w:rPr>
                    <w:t xml:space="preserve"> Savings</w:t>
                  </w:r>
                </w:p>
              </w:tc>
            </w:tr>
            <w:tr w:rsidR="00381A71" w:rsidRPr="005A6880" w:rsidTr="00C5632F">
              <w:tc>
                <w:tcPr>
                  <w:tcW w:w="1279" w:type="dxa"/>
                </w:tcPr>
                <w:p w:rsidR="00381A71" w:rsidRPr="005A6880" w:rsidRDefault="00381A71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R116</w:t>
                  </w:r>
                </w:p>
              </w:tc>
              <w:tc>
                <w:tcPr>
                  <w:tcW w:w="1165" w:type="dxa"/>
                </w:tcPr>
                <w:p w:rsidR="00381A71" w:rsidRPr="005A6880" w:rsidRDefault="00381A71" w:rsidP="00381A71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5A6880">
                    <w:rPr>
                      <w:rFonts w:cstheme="minorHAnsi"/>
                      <w:sz w:val="20"/>
                      <w:szCs w:val="20"/>
                    </w:rPr>
                    <w:t>RF-</w:t>
                  </w:r>
                  <w:r>
                    <w:rPr>
                      <w:rFonts w:cstheme="minorHAnsi"/>
                      <w:sz w:val="20"/>
                      <w:szCs w:val="20"/>
                    </w:rPr>
                    <w:t>31355</w:t>
                  </w:r>
                </w:p>
              </w:tc>
              <w:tc>
                <w:tcPr>
                  <w:tcW w:w="902" w:type="dxa"/>
                </w:tcPr>
                <w:p w:rsidR="00381A71" w:rsidRPr="005A6880" w:rsidRDefault="00381A71" w:rsidP="0003137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Ex</w:t>
                  </w:r>
                </w:p>
              </w:tc>
              <w:tc>
                <w:tcPr>
                  <w:tcW w:w="1041" w:type="dxa"/>
                </w:tcPr>
                <w:p w:rsidR="00381A71" w:rsidRPr="005A6880" w:rsidRDefault="00942F60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1193.67</w:t>
                  </w:r>
                </w:p>
              </w:tc>
              <w:tc>
                <w:tcPr>
                  <w:tcW w:w="1136" w:type="dxa"/>
                </w:tcPr>
                <w:p w:rsidR="00381A71" w:rsidRPr="005A6880" w:rsidRDefault="00942F60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0.01213</w:t>
                  </w:r>
                </w:p>
              </w:tc>
              <w:tc>
                <w:tcPr>
                  <w:tcW w:w="1200" w:type="dxa"/>
                </w:tcPr>
                <w:p w:rsidR="00381A71" w:rsidRPr="005A6880" w:rsidRDefault="00942F60" w:rsidP="0003137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0.318</w:t>
                  </w:r>
                </w:p>
              </w:tc>
            </w:tr>
            <w:tr w:rsidR="00381A71" w:rsidRPr="005A6880" w:rsidTr="00C5632F">
              <w:tc>
                <w:tcPr>
                  <w:tcW w:w="1279" w:type="dxa"/>
                </w:tcPr>
                <w:p w:rsidR="00381A71" w:rsidRPr="005A6880" w:rsidRDefault="00381A71" w:rsidP="007D64B6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R116</w:t>
                  </w:r>
                </w:p>
              </w:tc>
              <w:tc>
                <w:tcPr>
                  <w:tcW w:w="1165" w:type="dxa"/>
                </w:tcPr>
                <w:p w:rsidR="00381A71" w:rsidRPr="005A6880" w:rsidRDefault="00381A71" w:rsidP="007D64B6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5A6880">
                    <w:rPr>
                      <w:rFonts w:cstheme="minorHAnsi"/>
                      <w:sz w:val="20"/>
                      <w:szCs w:val="20"/>
                    </w:rPr>
                    <w:t>RF-</w:t>
                  </w:r>
                  <w:r>
                    <w:rPr>
                      <w:rFonts w:cstheme="minorHAnsi"/>
                      <w:sz w:val="20"/>
                      <w:szCs w:val="20"/>
                    </w:rPr>
                    <w:t>31355</w:t>
                  </w:r>
                </w:p>
              </w:tc>
              <w:tc>
                <w:tcPr>
                  <w:tcW w:w="902" w:type="dxa"/>
                </w:tcPr>
                <w:p w:rsidR="00381A71" w:rsidRPr="005A6880" w:rsidRDefault="00381A71" w:rsidP="007D64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New</w:t>
                  </w:r>
                </w:p>
              </w:tc>
              <w:tc>
                <w:tcPr>
                  <w:tcW w:w="1041" w:type="dxa"/>
                </w:tcPr>
                <w:p w:rsidR="00381A71" w:rsidRPr="005A6880" w:rsidRDefault="00942F60" w:rsidP="007D64B6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670</w:t>
                  </w:r>
                </w:p>
              </w:tc>
              <w:tc>
                <w:tcPr>
                  <w:tcW w:w="1136" w:type="dxa"/>
                </w:tcPr>
                <w:p w:rsidR="00381A71" w:rsidRPr="005A6880" w:rsidRDefault="00942F60" w:rsidP="007D64B6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0.04091</w:t>
                  </w:r>
                </w:p>
              </w:tc>
              <w:tc>
                <w:tcPr>
                  <w:tcW w:w="1200" w:type="dxa"/>
                </w:tcPr>
                <w:p w:rsidR="00381A71" w:rsidRPr="005A6880" w:rsidRDefault="00942F60" w:rsidP="007D64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0.228</w:t>
                  </w:r>
                </w:p>
              </w:tc>
            </w:tr>
            <w:tr w:rsidR="00381A71" w:rsidRPr="005A6880" w:rsidTr="00C5632F">
              <w:tc>
                <w:tcPr>
                  <w:tcW w:w="1279" w:type="dxa"/>
                </w:tcPr>
                <w:p w:rsidR="00381A71" w:rsidRPr="005A6880" w:rsidRDefault="00381A71" w:rsidP="005F6BA2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R123</w:t>
                  </w:r>
                </w:p>
              </w:tc>
              <w:tc>
                <w:tcPr>
                  <w:tcW w:w="1165" w:type="dxa"/>
                </w:tcPr>
                <w:p w:rsidR="00381A71" w:rsidRPr="005A6880" w:rsidRDefault="00381A71" w:rsidP="005F6BA2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RF-41488</w:t>
                  </w:r>
                </w:p>
              </w:tc>
              <w:tc>
                <w:tcPr>
                  <w:tcW w:w="902" w:type="dxa"/>
                </w:tcPr>
                <w:p w:rsidR="00381A71" w:rsidRPr="005A6880" w:rsidRDefault="00381A71" w:rsidP="0003137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Ex</w:t>
                  </w:r>
                </w:p>
              </w:tc>
              <w:tc>
                <w:tcPr>
                  <w:tcW w:w="1041" w:type="dxa"/>
                </w:tcPr>
                <w:p w:rsidR="00381A71" w:rsidRPr="005A6880" w:rsidRDefault="00942F60" w:rsidP="0003137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1533.33</w:t>
                  </w:r>
                </w:p>
              </w:tc>
              <w:tc>
                <w:tcPr>
                  <w:tcW w:w="1136" w:type="dxa"/>
                </w:tcPr>
                <w:p w:rsidR="00381A71" w:rsidRPr="005A6880" w:rsidRDefault="00942F60" w:rsidP="0003137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0.03613</w:t>
                  </w:r>
                </w:p>
              </w:tc>
              <w:tc>
                <w:tcPr>
                  <w:tcW w:w="1200" w:type="dxa"/>
                </w:tcPr>
                <w:p w:rsidR="00381A71" w:rsidRPr="005A6880" w:rsidRDefault="00942F60" w:rsidP="0003137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0.320</w:t>
                  </w:r>
                </w:p>
              </w:tc>
            </w:tr>
            <w:tr w:rsidR="00381A71" w:rsidRPr="005A6880" w:rsidTr="00C5632F">
              <w:tc>
                <w:tcPr>
                  <w:tcW w:w="1279" w:type="dxa"/>
                </w:tcPr>
                <w:p w:rsidR="00381A71" w:rsidRPr="005A6880" w:rsidRDefault="00381A71" w:rsidP="007D64B6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R123</w:t>
                  </w:r>
                </w:p>
              </w:tc>
              <w:tc>
                <w:tcPr>
                  <w:tcW w:w="1165" w:type="dxa"/>
                </w:tcPr>
                <w:p w:rsidR="00381A71" w:rsidRPr="005A6880" w:rsidRDefault="00381A71" w:rsidP="007D64B6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RF-41488</w:t>
                  </w:r>
                </w:p>
              </w:tc>
              <w:tc>
                <w:tcPr>
                  <w:tcW w:w="902" w:type="dxa"/>
                </w:tcPr>
                <w:p w:rsidR="00381A71" w:rsidRPr="005A6880" w:rsidRDefault="00381A71" w:rsidP="007D64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New</w:t>
                  </w:r>
                </w:p>
              </w:tc>
              <w:tc>
                <w:tcPr>
                  <w:tcW w:w="1041" w:type="dxa"/>
                </w:tcPr>
                <w:p w:rsidR="00381A71" w:rsidRPr="005A6880" w:rsidRDefault="00942F60" w:rsidP="007D64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384.33</w:t>
                  </w:r>
                </w:p>
              </w:tc>
              <w:tc>
                <w:tcPr>
                  <w:tcW w:w="1136" w:type="dxa"/>
                </w:tcPr>
                <w:p w:rsidR="00381A71" w:rsidRPr="005A6880" w:rsidRDefault="00942F60" w:rsidP="007D64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-0.01107</w:t>
                  </w:r>
                </w:p>
              </w:tc>
              <w:tc>
                <w:tcPr>
                  <w:tcW w:w="1200" w:type="dxa"/>
                </w:tcPr>
                <w:p w:rsidR="00381A71" w:rsidRPr="005A6880" w:rsidRDefault="00942F60" w:rsidP="007D64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0.199</w:t>
                  </w:r>
                </w:p>
              </w:tc>
            </w:tr>
          </w:tbl>
          <w:p w:rsidR="00B84663" w:rsidRDefault="00B84663" w:rsidP="001E37EF">
            <w:pPr>
              <w:rPr>
                <w:rFonts w:cs="Arial"/>
                <w:sz w:val="20"/>
                <w:szCs w:val="20"/>
              </w:rPr>
            </w:pPr>
          </w:p>
          <w:p w:rsidR="00C5632F" w:rsidRPr="001E37EF" w:rsidRDefault="00C5632F" w:rsidP="001E37E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Please see PGE3PREF120 R5 Additional Calculations for more information.</w:t>
            </w: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949" w:type="dxa"/>
          </w:tcPr>
          <w:p w:rsidR="004519B4" w:rsidRPr="001E37EF" w:rsidRDefault="001E37EF" w:rsidP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1E37EF">
              <w:rPr>
                <w:rFonts w:cs="Arial"/>
                <w:sz w:val="20"/>
                <w:szCs w:val="20"/>
              </w:rPr>
              <w:t>PGE:COMMERCIAL:4 = Commercial Refrigeration</w:t>
            </w: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949" w:type="dxa"/>
          </w:tcPr>
          <w:p w:rsidR="00A61271" w:rsidRPr="001E37EF" w:rsidRDefault="007B0A6F" w:rsidP="001E37EF">
            <w:pPr>
              <w:rPr>
                <w:sz w:val="20"/>
                <w:szCs w:val="20"/>
                <w:highlight w:val="yellow"/>
              </w:rPr>
            </w:pPr>
            <w:r w:rsidRPr="001E37EF">
              <w:rPr>
                <w:sz w:val="20"/>
                <w:szCs w:val="20"/>
              </w:rPr>
              <w:t xml:space="preserve">The Gross Measure Cost is obtained from costs documented by </w:t>
            </w:r>
            <w:r w:rsidR="00E46364" w:rsidRPr="001E37EF">
              <w:rPr>
                <w:sz w:val="20"/>
                <w:szCs w:val="20"/>
              </w:rPr>
              <w:t>SCE work paper “</w:t>
            </w:r>
            <w:r w:rsidR="001E37EF">
              <w:rPr>
                <w:sz w:val="20"/>
                <w:szCs w:val="20"/>
              </w:rPr>
              <w:t>SCE17RN023.0</w:t>
            </w:r>
            <w:r w:rsidR="00E46364" w:rsidRPr="001E37EF">
              <w:rPr>
                <w:sz w:val="20"/>
                <w:szCs w:val="20"/>
              </w:rPr>
              <w:t xml:space="preserve"> </w:t>
            </w:r>
            <w:r w:rsidR="001E37EF">
              <w:rPr>
                <w:sz w:val="20"/>
                <w:szCs w:val="20"/>
              </w:rPr>
              <w:t>– Refrigeration Floating Head Pressure Controls_Final.docx” S</w:t>
            </w:r>
            <w:r w:rsidR="00E46364" w:rsidRPr="001E37EF">
              <w:rPr>
                <w:sz w:val="20"/>
                <w:szCs w:val="20"/>
              </w:rPr>
              <w:t xml:space="preserve">ection 4- Cost.  </w:t>
            </w:r>
          </w:p>
        </w:tc>
      </w:tr>
      <w:tr w:rsidR="00A61271" w:rsidRPr="00393EC8" w:rsidTr="008E699A">
        <w:trPr>
          <w:cantSplit/>
        </w:trPr>
        <w:tc>
          <w:tcPr>
            <w:tcW w:w="2627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6949" w:type="dxa"/>
          </w:tcPr>
          <w:p w:rsidR="00A61271" w:rsidRPr="00393EC8" w:rsidRDefault="00A61271" w:rsidP="00393EC8">
            <w:pPr>
              <w:rPr>
                <w:b/>
              </w:rPr>
            </w:pPr>
          </w:p>
        </w:tc>
      </w:tr>
      <w:tr w:rsidR="00E05871" w:rsidTr="008E699A">
        <w:trPr>
          <w:cantSplit/>
        </w:trPr>
        <w:tc>
          <w:tcPr>
            <w:tcW w:w="2627" w:type="dxa"/>
          </w:tcPr>
          <w:p w:rsidR="00E05871" w:rsidRPr="00822B6F" w:rsidRDefault="00E05871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6949" w:type="dxa"/>
          </w:tcPr>
          <w:p w:rsidR="00E05871" w:rsidRDefault="00AF3C67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cited per SCE workpaper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942F60" w:rsidP="008E699A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R116</w:t>
            </w:r>
          </w:p>
        </w:tc>
        <w:tc>
          <w:tcPr>
            <w:tcW w:w="6949" w:type="dxa"/>
          </w:tcPr>
          <w:p w:rsidR="008E699A" w:rsidRPr="00476F40" w:rsidRDefault="008B3167" w:rsidP="001E37EF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="001E37EF">
              <w:rPr>
                <w:rFonts w:cs="Arial"/>
                <w:sz w:val="20"/>
                <w:szCs w:val="20"/>
              </w:rPr>
              <w:t>0</w:t>
            </w:r>
          </w:p>
        </w:tc>
      </w:tr>
      <w:tr w:rsidR="00942F60" w:rsidTr="008E699A">
        <w:trPr>
          <w:cantSplit/>
        </w:trPr>
        <w:tc>
          <w:tcPr>
            <w:tcW w:w="2627" w:type="dxa"/>
          </w:tcPr>
          <w:p w:rsidR="00942F60" w:rsidRDefault="00942F60" w:rsidP="008E699A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R123</w:t>
            </w:r>
          </w:p>
        </w:tc>
        <w:tc>
          <w:tcPr>
            <w:tcW w:w="6949" w:type="dxa"/>
          </w:tcPr>
          <w:p w:rsidR="00942F60" w:rsidRDefault="00942F60" w:rsidP="001E37EF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$ 0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22B6F" w:rsidRDefault="008E699A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</w:t>
            </w:r>
          </w:p>
        </w:tc>
        <w:tc>
          <w:tcPr>
            <w:tcW w:w="6949" w:type="dxa"/>
          </w:tcPr>
          <w:p w:rsidR="008E699A" w:rsidRPr="00476F40" w:rsidRDefault="008E699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942F60" w:rsidP="008E699A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R116</w:t>
            </w:r>
          </w:p>
        </w:tc>
        <w:tc>
          <w:tcPr>
            <w:tcW w:w="6949" w:type="dxa"/>
          </w:tcPr>
          <w:p w:rsidR="008E699A" w:rsidRDefault="008B3167" w:rsidP="00942F6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942F60">
              <w:rPr>
                <w:rFonts w:cs="Arial"/>
                <w:sz w:val="20"/>
                <w:szCs w:val="20"/>
              </w:rPr>
              <w:t>539.94</w:t>
            </w:r>
          </w:p>
        </w:tc>
      </w:tr>
      <w:tr w:rsidR="00942F60" w:rsidTr="008E699A">
        <w:trPr>
          <w:cantSplit/>
        </w:trPr>
        <w:tc>
          <w:tcPr>
            <w:tcW w:w="2627" w:type="dxa"/>
          </w:tcPr>
          <w:p w:rsidR="00942F60" w:rsidRDefault="00942F60" w:rsidP="008E699A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R123</w:t>
            </w:r>
          </w:p>
        </w:tc>
        <w:tc>
          <w:tcPr>
            <w:tcW w:w="6949" w:type="dxa"/>
          </w:tcPr>
          <w:p w:rsidR="00942F60" w:rsidRDefault="00942F60" w:rsidP="001E37EF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$565.34</w:t>
            </w:r>
          </w:p>
        </w:tc>
      </w:tr>
    </w:tbl>
    <w:p w:rsidR="001B5D6C" w:rsidRDefault="001B5D6C" w:rsidP="00FE636E">
      <w:pPr>
        <w:spacing w:after="200" w:line="276" w:lineRule="auto"/>
      </w:pPr>
    </w:p>
    <w:p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B68" w:rsidRDefault="00AA3B68" w:rsidP="00FE520B">
      <w:r>
        <w:separator/>
      </w:r>
    </w:p>
  </w:endnote>
  <w:endnote w:type="continuationSeparator" w:id="0">
    <w:p w:rsidR="00AA3B68" w:rsidRDefault="00AA3B68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proofErr w:type="spellStart"/>
    <w:r>
      <w:rPr>
        <w:b/>
      </w:rPr>
      <w:t>Workpaper</w:t>
    </w:r>
    <w:proofErr w:type="spellEnd"/>
    <w:r>
      <w:rPr>
        <w:b/>
      </w:rPr>
      <w:t xml:space="preserve"> </w:t>
    </w:r>
    <w:r w:rsidR="000D325B">
      <w:rPr>
        <w:b/>
      </w:rPr>
      <w:t>PGE3PREF12</w:t>
    </w:r>
    <w:r w:rsidR="00936A50">
      <w:rPr>
        <w:b/>
      </w:rPr>
      <w:t>0</w:t>
    </w:r>
    <w:r>
      <w:rPr>
        <w:b/>
      </w:rPr>
      <w:t xml:space="preserve">, Revision </w:t>
    </w:r>
    <w:r w:rsidR="00936A50">
      <w:rPr>
        <w:b/>
      </w:rPr>
      <w:t>5</w:t>
    </w:r>
    <w:r w:rsidR="00E372B8">
      <w:rPr>
        <w:b/>
      </w:rPr>
      <w:tab/>
    </w:r>
    <w:r w:rsidR="00E372B8">
      <w:rPr>
        <w:b/>
      </w:rPr>
      <w:tab/>
    </w:r>
    <w:r w:rsidR="000D325B">
      <w:rPr>
        <w:rFonts w:cstheme="minorHAnsi"/>
        <w:b/>
        <w:szCs w:val="22"/>
      </w:rPr>
      <w:t>April 1, 2017</w:t>
    </w:r>
  </w:p>
  <w:p w:rsidR="008F2E00" w:rsidRPr="009500DC" w:rsidRDefault="000D325B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Pacific</w:t>
    </w:r>
    <w:r w:rsidR="00E372B8">
      <w:rPr>
        <w:b/>
      </w:rPr>
      <w:t xml:space="preserve"> Gas &amp; Electric</w:t>
    </w:r>
    <w:r w:rsidR="00E372B8"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E22177">
      <w:rPr>
        <w:b/>
        <w:noProof/>
      </w:rPr>
      <w:t>2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B68" w:rsidRDefault="00AA3B68" w:rsidP="00FE520B">
      <w:r>
        <w:separator/>
      </w:r>
    </w:p>
  </w:footnote>
  <w:footnote w:type="continuationSeparator" w:id="0">
    <w:p w:rsidR="00AA3B68" w:rsidRDefault="00AA3B68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2FFD"/>
    <w:multiLevelType w:val="hybridMultilevel"/>
    <w:tmpl w:val="72AA7928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E353F"/>
    <w:multiLevelType w:val="hybridMultilevel"/>
    <w:tmpl w:val="982440C8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090B25"/>
    <w:multiLevelType w:val="hybridMultilevel"/>
    <w:tmpl w:val="76A2AE12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F5896"/>
    <w:multiLevelType w:val="hybridMultilevel"/>
    <w:tmpl w:val="348A011E"/>
    <w:lvl w:ilvl="0" w:tplc="D0BE858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624474"/>
    <w:multiLevelType w:val="hybridMultilevel"/>
    <w:tmpl w:val="B4384D10"/>
    <w:lvl w:ilvl="0" w:tplc="405C75EE">
      <w:numFmt w:val="bullet"/>
      <w:lvlText w:val="•"/>
      <w:lvlJc w:val="left"/>
      <w:pPr>
        <w:ind w:left="144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05C9F"/>
    <w:multiLevelType w:val="hybridMultilevel"/>
    <w:tmpl w:val="38CC48DA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D8678E"/>
    <w:multiLevelType w:val="hybridMultilevel"/>
    <w:tmpl w:val="AF76E458"/>
    <w:lvl w:ilvl="0" w:tplc="F194714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3F50E0"/>
    <w:multiLevelType w:val="hybridMultilevel"/>
    <w:tmpl w:val="A9C8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F39D2"/>
    <w:multiLevelType w:val="hybridMultilevel"/>
    <w:tmpl w:val="DBA84DA4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1C337C"/>
    <w:multiLevelType w:val="hybridMultilevel"/>
    <w:tmpl w:val="D05280CE"/>
    <w:lvl w:ilvl="0" w:tplc="405C75EE">
      <w:numFmt w:val="bullet"/>
      <w:lvlText w:val="•"/>
      <w:lvlJc w:val="left"/>
      <w:pPr>
        <w:ind w:left="144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8E165E"/>
    <w:multiLevelType w:val="hybridMultilevel"/>
    <w:tmpl w:val="42E6D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6"/>
  </w:num>
  <w:num w:numId="7">
    <w:abstractNumId w:val="22"/>
  </w:num>
  <w:num w:numId="8">
    <w:abstractNumId w:val="14"/>
  </w:num>
  <w:num w:numId="9">
    <w:abstractNumId w:val="7"/>
  </w:num>
  <w:num w:numId="10">
    <w:abstractNumId w:val="16"/>
  </w:num>
  <w:num w:numId="11">
    <w:abstractNumId w:val="20"/>
  </w:num>
  <w:num w:numId="12">
    <w:abstractNumId w:val="10"/>
  </w:num>
  <w:num w:numId="13">
    <w:abstractNumId w:val="23"/>
  </w:num>
  <w:num w:numId="14">
    <w:abstractNumId w:val="9"/>
  </w:num>
  <w:num w:numId="15">
    <w:abstractNumId w:val="24"/>
  </w:num>
  <w:num w:numId="16">
    <w:abstractNumId w:val="12"/>
  </w:num>
  <w:num w:numId="17">
    <w:abstractNumId w:val="17"/>
  </w:num>
  <w:num w:numId="18">
    <w:abstractNumId w:val="15"/>
  </w:num>
  <w:num w:numId="19">
    <w:abstractNumId w:val="18"/>
  </w:num>
  <w:num w:numId="20">
    <w:abstractNumId w:val="1"/>
  </w:num>
  <w:num w:numId="21">
    <w:abstractNumId w:val="13"/>
  </w:num>
  <w:num w:numId="22">
    <w:abstractNumId w:val="21"/>
  </w:num>
  <w:num w:numId="23">
    <w:abstractNumId w:val="19"/>
  </w:num>
  <w:num w:numId="24">
    <w:abstractNumId w:val="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23C32"/>
    <w:rsid w:val="00031221"/>
    <w:rsid w:val="0003137E"/>
    <w:rsid w:val="00031BA0"/>
    <w:rsid w:val="00041DA6"/>
    <w:rsid w:val="00052743"/>
    <w:rsid w:val="00052CE4"/>
    <w:rsid w:val="00067315"/>
    <w:rsid w:val="000719BF"/>
    <w:rsid w:val="00076614"/>
    <w:rsid w:val="000B5761"/>
    <w:rsid w:val="000C13AE"/>
    <w:rsid w:val="000D325B"/>
    <w:rsid w:val="000E19CA"/>
    <w:rsid w:val="000E2CA6"/>
    <w:rsid w:val="000F6BA3"/>
    <w:rsid w:val="000F72EF"/>
    <w:rsid w:val="0012271D"/>
    <w:rsid w:val="00143843"/>
    <w:rsid w:val="00160E47"/>
    <w:rsid w:val="001752E5"/>
    <w:rsid w:val="001876DA"/>
    <w:rsid w:val="00194466"/>
    <w:rsid w:val="001A11C1"/>
    <w:rsid w:val="001A34A6"/>
    <w:rsid w:val="001A4875"/>
    <w:rsid w:val="001B1C8A"/>
    <w:rsid w:val="001B5D6C"/>
    <w:rsid w:val="001C3663"/>
    <w:rsid w:val="001D0AB9"/>
    <w:rsid w:val="001D57D7"/>
    <w:rsid w:val="001D6A64"/>
    <w:rsid w:val="001E37EF"/>
    <w:rsid w:val="001E5195"/>
    <w:rsid w:val="00200310"/>
    <w:rsid w:val="00215828"/>
    <w:rsid w:val="00221E65"/>
    <w:rsid w:val="00231DE1"/>
    <w:rsid w:val="00241A1F"/>
    <w:rsid w:val="00244447"/>
    <w:rsid w:val="00291B2B"/>
    <w:rsid w:val="002C1030"/>
    <w:rsid w:val="002C15E6"/>
    <w:rsid w:val="002D7B3E"/>
    <w:rsid w:val="002E0948"/>
    <w:rsid w:val="002E24BE"/>
    <w:rsid w:val="00323C28"/>
    <w:rsid w:val="0032761E"/>
    <w:rsid w:val="00360CFA"/>
    <w:rsid w:val="00362173"/>
    <w:rsid w:val="0037572E"/>
    <w:rsid w:val="00381A71"/>
    <w:rsid w:val="0039527A"/>
    <w:rsid w:val="003A0D2B"/>
    <w:rsid w:val="003A4277"/>
    <w:rsid w:val="003A5223"/>
    <w:rsid w:val="003A7B4E"/>
    <w:rsid w:val="003B5DCF"/>
    <w:rsid w:val="003C2EE4"/>
    <w:rsid w:val="003D1C21"/>
    <w:rsid w:val="003E0DC8"/>
    <w:rsid w:val="003E122A"/>
    <w:rsid w:val="003E3894"/>
    <w:rsid w:val="003E61C8"/>
    <w:rsid w:val="003E6E57"/>
    <w:rsid w:val="003E6FA5"/>
    <w:rsid w:val="003F1F0D"/>
    <w:rsid w:val="004016D3"/>
    <w:rsid w:val="00402B3D"/>
    <w:rsid w:val="00413EF4"/>
    <w:rsid w:val="00431763"/>
    <w:rsid w:val="0044686E"/>
    <w:rsid w:val="004519B4"/>
    <w:rsid w:val="00463A68"/>
    <w:rsid w:val="00467DB3"/>
    <w:rsid w:val="00481A9D"/>
    <w:rsid w:val="004A6215"/>
    <w:rsid w:val="004D0326"/>
    <w:rsid w:val="004D5D19"/>
    <w:rsid w:val="004E13B2"/>
    <w:rsid w:val="0051536D"/>
    <w:rsid w:val="005428E1"/>
    <w:rsid w:val="00555671"/>
    <w:rsid w:val="00556B27"/>
    <w:rsid w:val="005613FC"/>
    <w:rsid w:val="00567FEF"/>
    <w:rsid w:val="00580664"/>
    <w:rsid w:val="00583D02"/>
    <w:rsid w:val="0059117D"/>
    <w:rsid w:val="00591D85"/>
    <w:rsid w:val="0059663B"/>
    <w:rsid w:val="005A6880"/>
    <w:rsid w:val="005B5614"/>
    <w:rsid w:val="005C1518"/>
    <w:rsid w:val="005E18A1"/>
    <w:rsid w:val="005F4AE2"/>
    <w:rsid w:val="00636490"/>
    <w:rsid w:val="00650C31"/>
    <w:rsid w:val="00650F0D"/>
    <w:rsid w:val="00653C4B"/>
    <w:rsid w:val="00666474"/>
    <w:rsid w:val="00666CDA"/>
    <w:rsid w:val="00684ABA"/>
    <w:rsid w:val="006875B3"/>
    <w:rsid w:val="00695478"/>
    <w:rsid w:val="00697340"/>
    <w:rsid w:val="006A3E63"/>
    <w:rsid w:val="006B0D5C"/>
    <w:rsid w:val="006D03F9"/>
    <w:rsid w:val="00700C85"/>
    <w:rsid w:val="00707736"/>
    <w:rsid w:val="00711B58"/>
    <w:rsid w:val="00727839"/>
    <w:rsid w:val="00762D81"/>
    <w:rsid w:val="0076481A"/>
    <w:rsid w:val="00780BEC"/>
    <w:rsid w:val="00785AC8"/>
    <w:rsid w:val="00786E32"/>
    <w:rsid w:val="0078756E"/>
    <w:rsid w:val="00787D7C"/>
    <w:rsid w:val="00792928"/>
    <w:rsid w:val="00796174"/>
    <w:rsid w:val="00797B54"/>
    <w:rsid w:val="007B0A6F"/>
    <w:rsid w:val="007D1F1E"/>
    <w:rsid w:val="007D3A21"/>
    <w:rsid w:val="007D6B13"/>
    <w:rsid w:val="007E011C"/>
    <w:rsid w:val="007E66F2"/>
    <w:rsid w:val="00814F9B"/>
    <w:rsid w:val="0081521B"/>
    <w:rsid w:val="00856FA4"/>
    <w:rsid w:val="00862113"/>
    <w:rsid w:val="008724D6"/>
    <w:rsid w:val="008775D7"/>
    <w:rsid w:val="00884B9C"/>
    <w:rsid w:val="008A1557"/>
    <w:rsid w:val="008A1D1C"/>
    <w:rsid w:val="008A4224"/>
    <w:rsid w:val="008B3167"/>
    <w:rsid w:val="008C2C8A"/>
    <w:rsid w:val="008C5A8E"/>
    <w:rsid w:val="008D0B3C"/>
    <w:rsid w:val="008D2A13"/>
    <w:rsid w:val="008E0850"/>
    <w:rsid w:val="008E5CD5"/>
    <w:rsid w:val="008E699A"/>
    <w:rsid w:val="00900302"/>
    <w:rsid w:val="00910D54"/>
    <w:rsid w:val="00920B88"/>
    <w:rsid w:val="009269CE"/>
    <w:rsid w:val="0093657B"/>
    <w:rsid w:val="00936764"/>
    <w:rsid w:val="00936A50"/>
    <w:rsid w:val="00942F60"/>
    <w:rsid w:val="00950249"/>
    <w:rsid w:val="00957C01"/>
    <w:rsid w:val="00986A83"/>
    <w:rsid w:val="009C3F2D"/>
    <w:rsid w:val="009C6AE8"/>
    <w:rsid w:val="009F3770"/>
    <w:rsid w:val="00A028CD"/>
    <w:rsid w:val="00A051D9"/>
    <w:rsid w:val="00A3401B"/>
    <w:rsid w:val="00A61271"/>
    <w:rsid w:val="00A75EDC"/>
    <w:rsid w:val="00A965B2"/>
    <w:rsid w:val="00AA3B68"/>
    <w:rsid w:val="00AA43C4"/>
    <w:rsid w:val="00AF3C67"/>
    <w:rsid w:val="00B107E3"/>
    <w:rsid w:val="00B471CC"/>
    <w:rsid w:val="00B47B58"/>
    <w:rsid w:val="00B57F32"/>
    <w:rsid w:val="00B61FCD"/>
    <w:rsid w:val="00B75260"/>
    <w:rsid w:val="00B818B4"/>
    <w:rsid w:val="00B84663"/>
    <w:rsid w:val="00B9234D"/>
    <w:rsid w:val="00B9452E"/>
    <w:rsid w:val="00B9551F"/>
    <w:rsid w:val="00BB2D80"/>
    <w:rsid w:val="00BC40DB"/>
    <w:rsid w:val="00BC6454"/>
    <w:rsid w:val="00BD7ED5"/>
    <w:rsid w:val="00C048F4"/>
    <w:rsid w:val="00C06B9E"/>
    <w:rsid w:val="00C15F66"/>
    <w:rsid w:val="00C228B0"/>
    <w:rsid w:val="00C23CAB"/>
    <w:rsid w:val="00C24892"/>
    <w:rsid w:val="00C414A6"/>
    <w:rsid w:val="00C44550"/>
    <w:rsid w:val="00C44E5A"/>
    <w:rsid w:val="00C462C1"/>
    <w:rsid w:val="00C54AC6"/>
    <w:rsid w:val="00C5632F"/>
    <w:rsid w:val="00C7215A"/>
    <w:rsid w:val="00CA48A0"/>
    <w:rsid w:val="00CB10BC"/>
    <w:rsid w:val="00CF295D"/>
    <w:rsid w:val="00CF2ABA"/>
    <w:rsid w:val="00CF6895"/>
    <w:rsid w:val="00D00FCF"/>
    <w:rsid w:val="00D345A3"/>
    <w:rsid w:val="00D36099"/>
    <w:rsid w:val="00D36B0E"/>
    <w:rsid w:val="00D60240"/>
    <w:rsid w:val="00D73723"/>
    <w:rsid w:val="00D84702"/>
    <w:rsid w:val="00DA5D17"/>
    <w:rsid w:val="00DB544A"/>
    <w:rsid w:val="00DB71F1"/>
    <w:rsid w:val="00DC7243"/>
    <w:rsid w:val="00DE1C5D"/>
    <w:rsid w:val="00DE364E"/>
    <w:rsid w:val="00E048EA"/>
    <w:rsid w:val="00E05871"/>
    <w:rsid w:val="00E05B9C"/>
    <w:rsid w:val="00E159C8"/>
    <w:rsid w:val="00E165FC"/>
    <w:rsid w:val="00E22177"/>
    <w:rsid w:val="00E35D68"/>
    <w:rsid w:val="00E372B8"/>
    <w:rsid w:val="00E408A9"/>
    <w:rsid w:val="00E46364"/>
    <w:rsid w:val="00E52110"/>
    <w:rsid w:val="00E56CE7"/>
    <w:rsid w:val="00E6385A"/>
    <w:rsid w:val="00E6631C"/>
    <w:rsid w:val="00E733C7"/>
    <w:rsid w:val="00E76853"/>
    <w:rsid w:val="00E84938"/>
    <w:rsid w:val="00E859F0"/>
    <w:rsid w:val="00EC38B0"/>
    <w:rsid w:val="00ED043F"/>
    <w:rsid w:val="00ED3B34"/>
    <w:rsid w:val="00ED65C0"/>
    <w:rsid w:val="00EE38DA"/>
    <w:rsid w:val="00EE6CFE"/>
    <w:rsid w:val="00F117C6"/>
    <w:rsid w:val="00F11BAA"/>
    <w:rsid w:val="00F46211"/>
    <w:rsid w:val="00F6244F"/>
    <w:rsid w:val="00F77C08"/>
    <w:rsid w:val="00F855DD"/>
    <w:rsid w:val="00FA3359"/>
    <w:rsid w:val="00FB4B16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00FCF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D00F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D00FC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FC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00FCF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D00F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D00FC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FC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080D1-6382-4018-BD8C-8EFFDE97688D}"/>
</file>

<file path=customXml/itemProps2.xml><?xml version="1.0" encoding="utf-8"?>
<ds:datastoreItem xmlns:ds="http://schemas.openxmlformats.org/officeDocument/2006/customXml" ds:itemID="{55AF091B-3C7A-41E3-B477-F2FDAA23CFDA}"/>
</file>

<file path=customXml/itemProps3.xml><?xml version="1.0" encoding="utf-8"?>
<ds:datastoreItem xmlns:ds="http://schemas.openxmlformats.org/officeDocument/2006/customXml" ds:itemID="{B046CC1D-8EE7-499C-A6FB-B779ACE8DD2A}"/>
</file>

<file path=customXml/itemProps4.xml><?xml version="1.0" encoding="utf-8"?>
<ds:datastoreItem xmlns:ds="http://schemas.openxmlformats.org/officeDocument/2006/customXml" ds:itemID="{8BFD4D2E-F24E-4D04-884C-F8C8768C57F4}"/>
</file>

<file path=customXml/itemProps5.xml><?xml version="1.0" encoding="utf-8"?>
<ds:datastoreItem xmlns:ds="http://schemas.openxmlformats.org/officeDocument/2006/customXml" ds:itemID="{638AEC0A-99F4-4572-9A5E-A3D465D9B7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2017-03-01T19:35:00Z</dcterms:created>
  <dcterms:modified xsi:type="dcterms:W3CDTF">2017-03-03T22:55:00Z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