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98C" w:rsidRPr="0003076C" w:rsidRDefault="002F098C" w:rsidP="002F098C">
      <w:pPr>
        <w:jc w:val="right"/>
        <w:rPr>
          <w:rFonts w:cs="Arial"/>
          <w:b/>
          <w:sz w:val="48"/>
          <w:szCs w:val="48"/>
        </w:rPr>
      </w:pPr>
      <w:bookmarkStart w:id="0" w:name="_Toc153189646"/>
      <w:r w:rsidRPr="0003076C">
        <w:rPr>
          <w:rFonts w:cs="Arial"/>
          <w:b/>
          <w:sz w:val="48"/>
          <w:szCs w:val="48"/>
        </w:rPr>
        <w:t xml:space="preserve">Work Paper </w:t>
      </w:r>
      <w:bookmarkEnd w:id="0"/>
      <w:r w:rsidR="0093567E">
        <w:rPr>
          <w:rFonts w:cs="Arial"/>
          <w:b/>
          <w:sz w:val="48"/>
          <w:szCs w:val="48"/>
        </w:rPr>
        <w:t>PGE3P</w:t>
      </w:r>
      <w:r w:rsidRPr="0003076C">
        <w:rPr>
          <w:rFonts w:cs="Arial"/>
          <w:b/>
          <w:sz w:val="48"/>
          <w:szCs w:val="48"/>
        </w:rPr>
        <w:t>LTG</w:t>
      </w:r>
      <w:r w:rsidR="007D5AC8">
        <w:rPr>
          <w:rFonts w:cs="Arial"/>
          <w:b/>
          <w:sz w:val="48"/>
          <w:szCs w:val="48"/>
        </w:rPr>
        <w:t>173</w:t>
      </w:r>
    </w:p>
    <w:p w:rsidR="002F098C" w:rsidRPr="0003076C" w:rsidRDefault="002F098C" w:rsidP="002F098C">
      <w:pPr>
        <w:jc w:val="right"/>
        <w:rPr>
          <w:rFonts w:cs="Arial"/>
          <w:b/>
          <w:sz w:val="48"/>
          <w:szCs w:val="48"/>
        </w:rPr>
      </w:pPr>
      <w:r w:rsidRPr="0003076C">
        <w:rPr>
          <w:rFonts w:cs="Arial"/>
          <w:b/>
          <w:sz w:val="48"/>
          <w:szCs w:val="48"/>
        </w:rPr>
        <w:t xml:space="preserve"> </w:t>
      </w:r>
      <w:r w:rsidR="007D5AC8">
        <w:rPr>
          <w:rFonts w:cs="Arial"/>
          <w:b/>
          <w:sz w:val="48"/>
          <w:szCs w:val="48"/>
        </w:rPr>
        <w:t>Compact Fluorescent</w:t>
      </w:r>
      <w:r w:rsidR="00304145">
        <w:rPr>
          <w:rFonts w:cs="Arial"/>
          <w:b/>
          <w:sz w:val="48"/>
          <w:szCs w:val="48"/>
        </w:rPr>
        <w:t xml:space="preserve"> </w:t>
      </w:r>
      <w:r>
        <w:rPr>
          <w:rFonts w:cs="Arial"/>
          <w:b/>
          <w:sz w:val="48"/>
          <w:szCs w:val="48"/>
        </w:rPr>
        <w:t>Direct Install</w:t>
      </w:r>
    </w:p>
    <w:p w:rsidR="005B0D10" w:rsidRPr="00B729D2" w:rsidRDefault="002F098C" w:rsidP="002F098C">
      <w:pPr>
        <w:jc w:val="right"/>
        <w:rPr>
          <w:rFonts w:cs="Arial"/>
          <w:b/>
          <w:sz w:val="48"/>
          <w:szCs w:val="48"/>
        </w:rPr>
      </w:pPr>
      <w:bookmarkStart w:id="1" w:name="_Toc153189647"/>
      <w:r w:rsidRPr="0003076C">
        <w:rPr>
          <w:rFonts w:cs="Arial"/>
          <w:b/>
          <w:sz w:val="48"/>
          <w:szCs w:val="48"/>
        </w:rPr>
        <w:t xml:space="preserve">Revision </w:t>
      </w:r>
      <w:bookmarkEnd w:id="1"/>
      <w:r w:rsidR="004709F9">
        <w:rPr>
          <w:rFonts w:cs="Arial"/>
          <w:b/>
          <w:sz w:val="48"/>
          <w:szCs w:val="48"/>
        </w:rPr>
        <w:t>4</w:t>
      </w:r>
    </w:p>
    <w:p w:rsidR="005B0D10" w:rsidRPr="00B729D2" w:rsidRDefault="005B0D10" w:rsidP="005B0D10"/>
    <w:p w:rsidR="005B0D10" w:rsidRPr="00B729D2" w:rsidRDefault="005B0D10" w:rsidP="005B0D10">
      <w:pPr>
        <w:pBdr>
          <w:bottom w:val="single" w:sz="4" w:space="1" w:color="auto"/>
        </w:pBdr>
        <w:rPr>
          <w:rFonts w:cs="Arial"/>
          <w:b/>
          <w:sz w:val="36"/>
          <w:szCs w:val="36"/>
        </w:rPr>
      </w:pPr>
      <w:r w:rsidRPr="00B729D2">
        <w:rPr>
          <w:rFonts w:cs="Arial"/>
          <w:b/>
          <w:sz w:val="36"/>
          <w:szCs w:val="36"/>
        </w:rPr>
        <w:t>Pacific Gas &amp; Electric Company</w:t>
      </w:r>
    </w:p>
    <w:p w:rsidR="005B0D10" w:rsidRPr="00B729D2" w:rsidRDefault="005B0D10" w:rsidP="005B0D10">
      <w:pPr>
        <w:rPr>
          <w:rFonts w:cs="Arial"/>
          <w:b/>
          <w:sz w:val="32"/>
          <w:szCs w:val="32"/>
        </w:rPr>
      </w:pPr>
      <w:r w:rsidRPr="00B729D2">
        <w:rPr>
          <w:rFonts w:cs="Arial"/>
          <w:b/>
          <w:sz w:val="32"/>
          <w:szCs w:val="32"/>
        </w:rPr>
        <w:t>Customer Energy Efficiency Department</w:t>
      </w:r>
    </w:p>
    <w:p w:rsidR="005B0D10" w:rsidRPr="00B729D2" w:rsidRDefault="005B0D10" w:rsidP="005B0D10"/>
    <w:p w:rsidR="005B0D10" w:rsidRDefault="005B0D10" w:rsidP="005B0D10">
      <w:pPr>
        <w:ind w:right="-720"/>
        <w:rPr>
          <w:rFonts w:cs="Arial"/>
          <w:b/>
          <w:sz w:val="48"/>
          <w:szCs w:val="48"/>
        </w:rPr>
      </w:pPr>
    </w:p>
    <w:p w:rsidR="005B0D10" w:rsidRDefault="005B0D10" w:rsidP="005B0D10">
      <w:pPr>
        <w:ind w:right="-720"/>
        <w:rPr>
          <w:rFonts w:cs="Arial"/>
          <w:b/>
          <w:sz w:val="48"/>
          <w:szCs w:val="48"/>
        </w:rPr>
      </w:pPr>
    </w:p>
    <w:p w:rsidR="005B0D10" w:rsidRDefault="00F26097" w:rsidP="00F26097">
      <w:pPr>
        <w:tabs>
          <w:tab w:val="left" w:pos="2076"/>
        </w:tabs>
        <w:ind w:right="-720"/>
        <w:rPr>
          <w:rFonts w:cs="Arial"/>
          <w:b/>
          <w:sz w:val="48"/>
          <w:szCs w:val="48"/>
        </w:rPr>
      </w:pPr>
      <w:r>
        <w:rPr>
          <w:rFonts w:cs="Arial"/>
          <w:b/>
          <w:sz w:val="48"/>
          <w:szCs w:val="48"/>
        </w:rPr>
        <w:tab/>
      </w:r>
    </w:p>
    <w:p w:rsidR="005B0D10" w:rsidRDefault="005B0D10" w:rsidP="005B0D10">
      <w:pPr>
        <w:ind w:right="-720"/>
        <w:rPr>
          <w:rFonts w:cs="Arial"/>
          <w:b/>
          <w:sz w:val="48"/>
          <w:szCs w:val="48"/>
        </w:rPr>
      </w:pPr>
    </w:p>
    <w:p w:rsidR="002F098C" w:rsidRPr="0003076C" w:rsidRDefault="007D5AC8" w:rsidP="002F098C">
      <w:pPr>
        <w:ind w:right="-720"/>
        <w:rPr>
          <w:rFonts w:cs="Arial"/>
          <w:b/>
          <w:sz w:val="72"/>
          <w:szCs w:val="72"/>
        </w:rPr>
      </w:pPr>
      <w:r w:rsidRPr="007258F9">
        <w:rPr>
          <w:rFonts w:cs="Arial"/>
          <w:b/>
          <w:sz w:val="72"/>
          <w:szCs w:val="72"/>
        </w:rPr>
        <w:t>Compact Fluorescent</w:t>
      </w:r>
      <w:r w:rsidR="007E0228">
        <w:rPr>
          <w:rFonts w:cs="Arial"/>
          <w:b/>
          <w:sz w:val="72"/>
          <w:szCs w:val="72"/>
        </w:rPr>
        <w:t xml:space="preserve"> </w:t>
      </w:r>
      <w:r w:rsidR="002F098C">
        <w:rPr>
          <w:rFonts w:cs="Arial"/>
          <w:b/>
          <w:sz w:val="72"/>
          <w:szCs w:val="72"/>
        </w:rPr>
        <w:t>Direct Install</w:t>
      </w:r>
    </w:p>
    <w:p w:rsidR="005B0D10" w:rsidRDefault="007D5AC8" w:rsidP="002F098C">
      <w:pPr>
        <w:ind w:right="-720"/>
        <w:rPr>
          <w:rFonts w:cs="Arial"/>
          <w:b/>
        </w:rPr>
      </w:pPr>
      <w:r>
        <w:rPr>
          <w:rFonts w:cs="Arial"/>
          <w:b/>
        </w:rPr>
        <w:t xml:space="preserve">Measure Codes </w:t>
      </w:r>
      <w:r w:rsidR="00EA5D1F">
        <w:rPr>
          <w:rFonts w:cs="Arial"/>
          <w:b/>
        </w:rPr>
        <w:t>0L0</w:t>
      </w:r>
      <w:r w:rsidR="001F1160">
        <w:rPr>
          <w:rFonts w:cs="Arial"/>
          <w:b/>
        </w:rPr>
        <w:t>0-0L53, 0N01-0N13, L0234-L0235,</w:t>
      </w:r>
      <w:r w:rsidR="00EA5D1F">
        <w:rPr>
          <w:rFonts w:cs="Arial"/>
          <w:b/>
        </w:rPr>
        <w:t xml:space="preserve"> L450, L856, LC70-LC107</w:t>
      </w:r>
    </w:p>
    <w:p w:rsidR="009D6345" w:rsidRPr="00B729D2" w:rsidRDefault="009D6345" w:rsidP="002F098C">
      <w:pPr>
        <w:ind w:right="-720"/>
        <w:rPr>
          <w:rFonts w:cs="Arial"/>
          <w:b/>
        </w:rPr>
      </w:pPr>
    </w:p>
    <w:p w:rsidR="005B0D10" w:rsidRDefault="005B0D10" w:rsidP="005B0D10">
      <w:pPr>
        <w:ind w:right="-720"/>
        <w:rPr>
          <w:rFonts w:cs="Arial"/>
          <w:b/>
          <w:color w:val="FF0000"/>
        </w:rPr>
      </w:pPr>
    </w:p>
    <w:p w:rsidR="005B0D10" w:rsidRDefault="005B0D10" w:rsidP="005B0D10">
      <w:pPr>
        <w:ind w:right="-720"/>
        <w:rPr>
          <w:rFonts w:cs="Arial"/>
          <w:b/>
          <w:i/>
          <w:color w:val="FF0000"/>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rPr>
          <w:rFonts w:cs="Arial"/>
        </w:rPr>
      </w:pPr>
    </w:p>
    <w:p w:rsidR="005B0D10" w:rsidRPr="003F515E" w:rsidRDefault="005B0D10" w:rsidP="005B0D10">
      <w:pPr>
        <w:tabs>
          <w:tab w:val="left" w:pos="1872"/>
        </w:tabs>
        <w:rPr>
          <w:rFonts w:cs="Arial"/>
        </w:rPr>
        <w:sectPr w:rsidR="005B0D10" w:rsidRPr="003F515E" w:rsidSect="00EE040C">
          <w:headerReference w:type="even" r:id="rId12"/>
          <w:headerReference w:type="default" r:id="rId13"/>
          <w:footerReference w:type="even" r:id="rId14"/>
          <w:footerReference w:type="default" r:id="rId15"/>
          <w:footerReference w:type="first" r:id="rId16"/>
          <w:endnotePr>
            <w:numFmt w:val="decimal"/>
          </w:endnotePr>
          <w:pgSz w:w="12240" w:h="15840" w:code="1"/>
          <w:pgMar w:top="1296" w:right="1800" w:bottom="1296" w:left="1440" w:header="720" w:footer="720" w:gutter="0"/>
          <w:pgNumType w:fmt="lowerRoman"/>
          <w:cols w:space="720"/>
          <w:titlePg/>
          <w:docGrid w:linePitch="360"/>
        </w:sectPr>
      </w:pPr>
    </w:p>
    <w:p w:rsidR="00E71EF1" w:rsidRDefault="00E731C6" w:rsidP="00E71EF1">
      <w:pPr>
        <w:pStyle w:val="Heading1"/>
      </w:pPr>
      <w:bookmarkStart w:id="2" w:name="_Toc195330051"/>
      <w:bookmarkStart w:id="3" w:name="_Toc437875400"/>
      <w:r>
        <w:lastRenderedPageBreak/>
        <w:t>At-</w:t>
      </w:r>
      <w:r w:rsidR="00E71EF1">
        <w:t>a</w:t>
      </w:r>
      <w:r>
        <w:t>-</w:t>
      </w:r>
      <w:r w:rsidR="00E71EF1">
        <w:t>Glance Summary</w:t>
      </w:r>
      <w:bookmarkEnd w:id="2"/>
      <w:bookmarkEnd w:id="3"/>
    </w:p>
    <w:tbl>
      <w:tblPr>
        <w:tblW w:w="9648" w:type="dxa"/>
        <w:tblCellMar>
          <w:left w:w="0" w:type="dxa"/>
          <w:right w:w="0" w:type="dxa"/>
        </w:tblCellMar>
        <w:tblLook w:val="0000" w:firstRow="0" w:lastRow="0" w:firstColumn="0" w:lastColumn="0" w:noHBand="0" w:noVBand="0"/>
      </w:tblPr>
      <w:tblGrid>
        <w:gridCol w:w="4138"/>
        <w:gridCol w:w="5510"/>
      </w:tblGrid>
      <w:tr w:rsidR="007258F9" w:rsidTr="00105815">
        <w:trPr>
          <w:trHeight w:val="465"/>
        </w:trPr>
        <w:tc>
          <w:tcPr>
            <w:tcW w:w="4161"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7258F9" w:rsidRDefault="007258F9" w:rsidP="00105815">
            <w:pPr>
              <w:rPr>
                <w:b/>
                <w:bCs/>
              </w:rPr>
            </w:pPr>
            <w:bookmarkStart w:id="4" w:name="_Hlk280953228"/>
            <w:r>
              <w:rPr>
                <w:b/>
                <w:bCs/>
              </w:rPr>
              <w:t>Applicable Measure Codes:</w:t>
            </w:r>
          </w:p>
        </w:tc>
        <w:tc>
          <w:tcPr>
            <w:tcW w:w="5487" w:type="dxa"/>
            <w:tcBorders>
              <w:top w:val="nil"/>
              <w:left w:val="nil"/>
              <w:bottom w:val="single" w:sz="18" w:space="0" w:color="FFFFFF"/>
              <w:right w:val="nil"/>
            </w:tcBorders>
            <w:shd w:val="clear" w:color="auto" w:fill="CCCCCC"/>
            <w:tcMar>
              <w:top w:w="0" w:type="dxa"/>
              <w:left w:w="108" w:type="dxa"/>
              <w:bottom w:w="0" w:type="dxa"/>
              <w:right w:w="108" w:type="dxa"/>
            </w:tcMar>
          </w:tcPr>
          <w:p w:rsidR="007258F9" w:rsidRDefault="00EA5D1F" w:rsidP="00105815">
            <w:pPr>
              <w:rPr>
                <w:szCs w:val="20"/>
              </w:rPr>
            </w:pPr>
            <w:r>
              <w:rPr>
                <w:rFonts w:cs="Arial"/>
                <w:b/>
              </w:rPr>
              <w:t>0L0</w:t>
            </w:r>
            <w:r w:rsidR="001F1160">
              <w:rPr>
                <w:rFonts w:cs="Arial"/>
                <w:b/>
              </w:rPr>
              <w:t>0-0L53, 0N01-0N13, L0234-L0235,</w:t>
            </w:r>
            <w:r>
              <w:rPr>
                <w:rFonts w:cs="Arial"/>
                <w:b/>
              </w:rPr>
              <w:t xml:space="preserve"> L450, L856, LC70-LC107</w:t>
            </w:r>
          </w:p>
        </w:tc>
      </w:tr>
      <w:bookmarkEnd w:id="4"/>
      <w:tr w:rsidR="007258F9" w:rsidTr="00105815">
        <w:trPr>
          <w:trHeight w:val="465"/>
        </w:trPr>
        <w:tc>
          <w:tcPr>
            <w:tcW w:w="4161"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7258F9" w:rsidRDefault="007258F9" w:rsidP="00105815">
            <w:pPr>
              <w:rPr>
                <w:b/>
                <w:bCs/>
              </w:rPr>
            </w:pPr>
            <w:r>
              <w:rPr>
                <w:b/>
                <w:bCs/>
              </w:rPr>
              <w:t xml:space="preserve">Measure Description: </w:t>
            </w:r>
          </w:p>
        </w:tc>
        <w:tc>
          <w:tcPr>
            <w:tcW w:w="5487" w:type="dxa"/>
            <w:tcBorders>
              <w:top w:val="nil"/>
              <w:left w:val="nil"/>
              <w:bottom w:val="single" w:sz="18" w:space="0" w:color="FFFFFF"/>
              <w:right w:val="nil"/>
            </w:tcBorders>
            <w:shd w:val="clear" w:color="auto" w:fill="F2F2F2"/>
            <w:tcMar>
              <w:top w:w="0" w:type="dxa"/>
              <w:left w:w="108" w:type="dxa"/>
              <w:bottom w:w="0" w:type="dxa"/>
              <w:right w:w="108" w:type="dxa"/>
            </w:tcMar>
          </w:tcPr>
          <w:p w:rsidR="007258F9" w:rsidRDefault="007258F9" w:rsidP="007E0228">
            <w:pPr>
              <w:rPr>
                <w:szCs w:val="20"/>
              </w:rPr>
            </w:pPr>
            <w:r>
              <w:rPr>
                <w:szCs w:val="20"/>
              </w:rPr>
              <w:t>The compact fluorescent lamps program</w:t>
            </w:r>
            <w:r w:rsidR="007035A6">
              <w:rPr>
                <w:szCs w:val="20"/>
              </w:rPr>
              <w:t>s pay</w:t>
            </w:r>
            <w:r>
              <w:rPr>
                <w:szCs w:val="20"/>
              </w:rPr>
              <w:t xml:space="preserve"> contractors </w:t>
            </w:r>
            <w:r w:rsidR="00A70A4B">
              <w:rPr>
                <w:szCs w:val="20"/>
              </w:rPr>
              <w:t xml:space="preserve">(in Direct install programs) </w:t>
            </w:r>
            <w:r>
              <w:rPr>
                <w:szCs w:val="20"/>
              </w:rPr>
              <w:t>to replace customers’ existing</w:t>
            </w:r>
            <w:r w:rsidR="001D3E6C">
              <w:rPr>
                <w:szCs w:val="20"/>
              </w:rPr>
              <w:t xml:space="preserve"> incandescent lamps</w:t>
            </w:r>
            <w:r>
              <w:rPr>
                <w:szCs w:val="20"/>
              </w:rPr>
              <w:t xml:space="preserve"> with more efficient compact fluorescent lighting.   </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7258F9" w:rsidRDefault="007258F9" w:rsidP="00105815">
            <w:pPr>
              <w:rPr>
                <w:b/>
                <w:bCs/>
              </w:rPr>
            </w:pPr>
            <w:r>
              <w:rPr>
                <w:b/>
                <w:bCs/>
              </w:rPr>
              <w:t xml:space="preserve">Energy Impact Common Units: </w:t>
            </w:r>
          </w:p>
        </w:tc>
        <w:tc>
          <w:tcPr>
            <w:tcW w:w="5487" w:type="dxa"/>
            <w:tcBorders>
              <w:top w:val="nil"/>
              <w:left w:val="nil"/>
              <w:bottom w:val="single" w:sz="18" w:space="0" w:color="FFFFFF"/>
              <w:right w:val="nil"/>
            </w:tcBorders>
            <w:shd w:val="clear" w:color="auto" w:fill="CCCCCC"/>
            <w:tcMar>
              <w:top w:w="0" w:type="dxa"/>
              <w:left w:w="108" w:type="dxa"/>
              <w:bottom w:w="0" w:type="dxa"/>
              <w:right w:w="108" w:type="dxa"/>
            </w:tcMar>
          </w:tcPr>
          <w:p w:rsidR="007258F9" w:rsidRDefault="005F43C0" w:rsidP="00105815">
            <w:pPr>
              <w:rPr>
                <w:szCs w:val="20"/>
              </w:rPr>
            </w:pPr>
            <w:r>
              <w:rPr>
                <w:szCs w:val="20"/>
              </w:rPr>
              <w:t>P</w:t>
            </w:r>
            <w:r w:rsidR="007258F9">
              <w:rPr>
                <w:szCs w:val="20"/>
              </w:rPr>
              <w:t>er lamp</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7258F9" w:rsidRDefault="007258F9" w:rsidP="00105815">
            <w:pPr>
              <w:rPr>
                <w:b/>
                <w:bCs/>
              </w:rPr>
            </w:pPr>
            <w:r>
              <w:rPr>
                <w:b/>
                <w:bCs/>
              </w:rPr>
              <w:t>Base Case Description:</w:t>
            </w:r>
          </w:p>
        </w:tc>
        <w:tc>
          <w:tcPr>
            <w:tcW w:w="5487" w:type="dxa"/>
            <w:tcBorders>
              <w:top w:val="nil"/>
              <w:left w:val="nil"/>
              <w:bottom w:val="single" w:sz="18" w:space="0" w:color="FFFFFF"/>
              <w:right w:val="nil"/>
            </w:tcBorders>
            <w:shd w:val="clear" w:color="auto" w:fill="F2F2F2"/>
            <w:tcMar>
              <w:top w:w="0" w:type="dxa"/>
              <w:left w:w="108" w:type="dxa"/>
              <w:bottom w:w="0" w:type="dxa"/>
              <w:right w:w="108" w:type="dxa"/>
            </w:tcMar>
          </w:tcPr>
          <w:p w:rsidR="007258F9" w:rsidRDefault="005F43C0" w:rsidP="005F43C0">
            <w:pPr>
              <w:rPr>
                <w:szCs w:val="20"/>
              </w:rPr>
            </w:pPr>
            <w:r>
              <w:rPr>
                <w:szCs w:val="20"/>
              </w:rPr>
              <w:t>Various Wattage Reduction Ratios</w:t>
            </w:r>
          </w:p>
          <w:p w:rsidR="005F43C0" w:rsidRDefault="005F43C0" w:rsidP="005F43C0">
            <w:pPr>
              <w:rPr>
                <w:szCs w:val="20"/>
              </w:rPr>
            </w:pPr>
            <w:r>
              <w:rPr>
                <w:szCs w:val="20"/>
              </w:rPr>
              <w:t>Refer to .</w:t>
            </w:r>
            <w:proofErr w:type="spellStart"/>
            <w:r>
              <w:rPr>
                <w:szCs w:val="20"/>
              </w:rPr>
              <w:t>xlsc</w:t>
            </w:r>
            <w:proofErr w:type="spellEnd"/>
            <w:r>
              <w:rPr>
                <w:szCs w:val="20"/>
              </w:rPr>
              <w:t xml:space="preserve"> attached</w:t>
            </w:r>
          </w:p>
          <w:p w:rsidR="005F43C0" w:rsidRDefault="005F43C0" w:rsidP="006B66C7">
            <w:pPr>
              <w:rPr>
                <w:szCs w:val="20"/>
              </w:rPr>
            </w:pPr>
            <w:r>
              <w:rPr>
                <w:szCs w:val="20"/>
              </w:rPr>
              <w:t xml:space="preserve">Source: </w:t>
            </w:r>
            <w:r w:rsidR="006D0EE1">
              <w:rPr>
                <w:szCs w:val="20"/>
              </w:rPr>
              <w:t>DEER 2016</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7258F9" w:rsidRDefault="007258F9" w:rsidP="00105815">
            <w:pPr>
              <w:rPr>
                <w:b/>
                <w:bCs/>
              </w:rPr>
            </w:pPr>
            <w:r>
              <w:rPr>
                <w:b/>
                <w:bCs/>
              </w:rPr>
              <w:t xml:space="preserve">Base Case Energy Consumption: </w:t>
            </w:r>
          </w:p>
        </w:tc>
        <w:tc>
          <w:tcPr>
            <w:tcW w:w="5487" w:type="dxa"/>
            <w:tcBorders>
              <w:top w:val="nil"/>
              <w:left w:val="nil"/>
              <w:bottom w:val="single" w:sz="18" w:space="0" w:color="FFFFFF"/>
              <w:right w:val="nil"/>
            </w:tcBorders>
            <w:shd w:val="clear" w:color="auto" w:fill="CCCCCC"/>
            <w:tcMar>
              <w:top w:w="0" w:type="dxa"/>
              <w:left w:w="108" w:type="dxa"/>
              <w:bottom w:w="0" w:type="dxa"/>
              <w:right w:w="108" w:type="dxa"/>
            </w:tcMar>
          </w:tcPr>
          <w:p w:rsidR="005F43C0" w:rsidRDefault="005F43C0" w:rsidP="005F43C0">
            <w:pPr>
              <w:rPr>
                <w:szCs w:val="20"/>
              </w:rPr>
            </w:pPr>
            <w:r>
              <w:rPr>
                <w:szCs w:val="20"/>
              </w:rPr>
              <w:t>Various Refer to .</w:t>
            </w:r>
            <w:proofErr w:type="spellStart"/>
            <w:r>
              <w:rPr>
                <w:szCs w:val="20"/>
              </w:rPr>
              <w:t>xlsc</w:t>
            </w:r>
            <w:proofErr w:type="spellEnd"/>
            <w:r>
              <w:rPr>
                <w:szCs w:val="20"/>
              </w:rPr>
              <w:t xml:space="preserve"> attached</w:t>
            </w:r>
          </w:p>
          <w:p w:rsidR="007258F9" w:rsidRDefault="005F43C0" w:rsidP="006B66C7">
            <w:pPr>
              <w:rPr>
                <w:szCs w:val="20"/>
              </w:rPr>
            </w:pPr>
            <w:r>
              <w:rPr>
                <w:szCs w:val="20"/>
              </w:rPr>
              <w:t xml:space="preserve">Source: </w:t>
            </w:r>
            <w:r w:rsidR="006D0EE1">
              <w:rPr>
                <w:szCs w:val="20"/>
              </w:rPr>
              <w:t>DEER 2016</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7258F9" w:rsidRDefault="007258F9" w:rsidP="00105815">
            <w:pPr>
              <w:rPr>
                <w:b/>
                <w:bCs/>
              </w:rPr>
            </w:pPr>
            <w:r>
              <w:rPr>
                <w:b/>
                <w:bCs/>
              </w:rPr>
              <w:t>Measure Energy Consumption:</w:t>
            </w:r>
          </w:p>
        </w:tc>
        <w:tc>
          <w:tcPr>
            <w:tcW w:w="5487" w:type="dxa"/>
            <w:tcBorders>
              <w:top w:val="nil"/>
              <w:left w:val="nil"/>
              <w:bottom w:val="single" w:sz="18" w:space="0" w:color="FFFFFF"/>
              <w:right w:val="nil"/>
            </w:tcBorders>
            <w:shd w:val="clear" w:color="auto" w:fill="F2F2F2"/>
            <w:tcMar>
              <w:top w:w="0" w:type="dxa"/>
              <w:left w:w="108" w:type="dxa"/>
              <w:bottom w:w="0" w:type="dxa"/>
              <w:right w:w="108" w:type="dxa"/>
            </w:tcMar>
          </w:tcPr>
          <w:p w:rsidR="005F43C0" w:rsidRDefault="005F43C0" w:rsidP="005F43C0">
            <w:pPr>
              <w:rPr>
                <w:szCs w:val="20"/>
              </w:rPr>
            </w:pPr>
            <w:r>
              <w:rPr>
                <w:szCs w:val="20"/>
              </w:rPr>
              <w:t>Various Refer to .</w:t>
            </w:r>
            <w:proofErr w:type="spellStart"/>
            <w:r>
              <w:rPr>
                <w:szCs w:val="20"/>
              </w:rPr>
              <w:t>xlsc</w:t>
            </w:r>
            <w:proofErr w:type="spellEnd"/>
            <w:r>
              <w:rPr>
                <w:szCs w:val="20"/>
              </w:rPr>
              <w:t xml:space="preserve"> attached</w:t>
            </w:r>
          </w:p>
          <w:p w:rsidR="007258F9" w:rsidRPr="0067244E" w:rsidRDefault="005F43C0" w:rsidP="006B66C7">
            <w:pPr>
              <w:rPr>
                <w:szCs w:val="20"/>
              </w:rPr>
            </w:pPr>
            <w:r>
              <w:rPr>
                <w:szCs w:val="20"/>
              </w:rPr>
              <w:t xml:space="preserve">Source: </w:t>
            </w:r>
            <w:r w:rsidR="006D0EE1">
              <w:rPr>
                <w:szCs w:val="20"/>
              </w:rPr>
              <w:t>DEER 2016</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7258F9" w:rsidRDefault="007258F9" w:rsidP="00105815">
            <w:pPr>
              <w:rPr>
                <w:b/>
                <w:bCs/>
              </w:rPr>
            </w:pPr>
            <w:r>
              <w:rPr>
                <w:b/>
                <w:bCs/>
              </w:rPr>
              <w:t>Energy Savings (Base Case – Measure)</w:t>
            </w:r>
          </w:p>
        </w:tc>
        <w:tc>
          <w:tcPr>
            <w:tcW w:w="5487" w:type="dxa"/>
            <w:tcBorders>
              <w:top w:val="nil"/>
              <w:left w:val="nil"/>
              <w:bottom w:val="single" w:sz="18" w:space="0" w:color="FFFFFF"/>
              <w:right w:val="nil"/>
            </w:tcBorders>
            <w:shd w:val="clear" w:color="auto" w:fill="CCCCCC"/>
            <w:tcMar>
              <w:top w:w="0" w:type="dxa"/>
              <w:left w:w="108" w:type="dxa"/>
              <w:bottom w:w="0" w:type="dxa"/>
              <w:right w:w="108" w:type="dxa"/>
            </w:tcMar>
          </w:tcPr>
          <w:p w:rsidR="005F43C0" w:rsidRDefault="005F43C0" w:rsidP="005F43C0">
            <w:pPr>
              <w:rPr>
                <w:szCs w:val="20"/>
              </w:rPr>
            </w:pPr>
            <w:r>
              <w:rPr>
                <w:szCs w:val="20"/>
              </w:rPr>
              <w:t>Various Refer to .</w:t>
            </w:r>
            <w:proofErr w:type="spellStart"/>
            <w:r>
              <w:rPr>
                <w:szCs w:val="20"/>
              </w:rPr>
              <w:t>xlsc</w:t>
            </w:r>
            <w:proofErr w:type="spellEnd"/>
            <w:r>
              <w:rPr>
                <w:szCs w:val="20"/>
              </w:rPr>
              <w:t xml:space="preserve"> attached</w:t>
            </w:r>
          </w:p>
          <w:p w:rsidR="007258F9" w:rsidRDefault="005F43C0" w:rsidP="006B66C7">
            <w:pPr>
              <w:rPr>
                <w:szCs w:val="20"/>
              </w:rPr>
            </w:pPr>
            <w:r>
              <w:rPr>
                <w:szCs w:val="20"/>
              </w:rPr>
              <w:t xml:space="preserve">Source: </w:t>
            </w:r>
            <w:r w:rsidR="006D0EE1">
              <w:rPr>
                <w:szCs w:val="20"/>
              </w:rPr>
              <w:t>DEER 2016</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7258F9" w:rsidRDefault="007258F9" w:rsidP="00105815">
            <w:pPr>
              <w:rPr>
                <w:b/>
                <w:bCs/>
              </w:rPr>
            </w:pPr>
            <w:r>
              <w:rPr>
                <w:b/>
                <w:bCs/>
              </w:rPr>
              <w:t xml:space="preserve">Costs Common Units: </w:t>
            </w:r>
          </w:p>
        </w:tc>
        <w:tc>
          <w:tcPr>
            <w:tcW w:w="5487" w:type="dxa"/>
            <w:tcBorders>
              <w:top w:val="nil"/>
              <w:left w:val="nil"/>
              <w:bottom w:val="single" w:sz="18" w:space="0" w:color="FFFFFF"/>
              <w:right w:val="nil"/>
            </w:tcBorders>
            <w:shd w:val="clear" w:color="auto" w:fill="F2F2F2"/>
            <w:tcMar>
              <w:top w:w="0" w:type="dxa"/>
              <w:left w:w="108" w:type="dxa"/>
              <w:bottom w:w="0" w:type="dxa"/>
              <w:right w:w="108" w:type="dxa"/>
            </w:tcMar>
          </w:tcPr>
          <w:p w:rsidR="007258F9" w:rsidRDefault="005F43C0" w:rsidP="00105815">
            <w:pPr>
              <w:rPr>
                <w:szCs w:val="20"/>
              </w:rPr>
            </w:pPr>
            <w:r>
              <w:rPr>
                <w:szCs w:val="20"/>
              </w:rPr>
              <w:t>$ per lamp</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7258F9" w:rsidRDefault="007258F9" w:rsidP="00105815">
            <w:pPr>
              <w:rPr>
                <w:b/>
                <w:bCs/>
              </w:rPr>
            </w:pPr>
            <w:r w:rsidRPr="00097803">
              <w:rPr>
                <w:b/>
                <w:bCs/>
              </w:rPr>
              <w:t>Base Case Equipment Cost ($/unit):</w:t>
            </w:r>
          </w:p>
        </w:tc>
        <w:tc>
          <w:tcPr>
            <w:tcW w:w="5487" w:type="dxa"/>
            <w:tcBorders>
              <w:top w:val="nil"/>
              <w:left w:val="nil"/>
              <w:bottom w:val="single" w:sz="18" w:space="0" w:color="FFFFFF"/>
              <w:right w:val="nil"/>
            </w:tcBorders>
            <w:shd w:val="clear" w:color="auto" w:fill="CCCCCC"/>
            <w:tcMar>
              <w:top w:w="0" w:type="dxa"/>
              <w:left w:w="108" w:type="dxa"/>
              <w:bottom w:w="0" w:type="dxa"/>
              <w:right w:w="108" w:type="dxa"/>
            </w:tcMar>
          </w:tcPr>
          <w:p w:rsidR="00097803" w:rsidRDefault="005F43C0" w:rsidP="00097803">
            <w:pPr>
              <w:rPr>
                <w:szCs w:val="20"/>
              </w:rPr>
            </w:pPr>
            <w:r>
              <w:rPr>
                <w:szCs w:val="20"/>
              </w:rPr>
              <w:t>Various Refer to .</w:t>
            </w:r>
            <w:proofErr w:type="spellStart"/>
            <w:r>
              <w:rPr>
                <w:szCs w:val="20"/>
              </w:rPr>
              <w:t>xlsc</w:t>
            </w:r>
            <w:proofErr w:type="spellEnd"/>
            <w:r>
              <w:rPr>
                <w:szCs w:val="20"/>
              </w:rPr>
              <w:t xml:space="preserve"> attached</w:t>
            </w:r>
          </w:p>
          <w:p w:rsidR="00627B7D" w:rsidRDefault="00097803" w:rsidP="006D0EE1">
            <w:pPr>
              <w:rPr>
                <w:szCs w:val="20"/>
              </w:rPr>
            </w:pPr>
            <w:r>
              <w:rPr>
                <w:szCs w:val="20"/>
              </w:rPr>
              <w:t xml:space="preserve">Source: </w:t>
            </w:r>
            <w:r w:rsidR="006D0EE1">
              <w:rPr>
                <w:szCs w:val="20"/>
              </w:rPr>
              <w:t>2016</w:t>
            </w:r>
            <w:r>
              <w:rPr>
                <w:szCs w:val="20"/>
              </w:rPr>
              <w:t xml:space="preserve"> DEER</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7258F9" w:rsidRDefault="007258F9" w:rsidP="00105815">
            <w:pPr>
              <w:rPr>
                <w:b/>
                <w:bCs/>
              </w:rPr>
            </w:pPr>
            <w:r>
              <w:rPr>
                <w:b/>
                <w:bCs/>
              </w:rPr>
              <w:t xml:space="preserve">Measure Equipment Cost ($/unit): </w:t>
            </w:r>
          </w:p>
        </w:tc>
        <w:tc>
          <w:tcPr>
            <w:tcW w:w="5487" w:type="dxa"/>
            <w:tcBorders>
              <w:top w:val="nil"/>
              <w:left w:val="nil"/>
              <w:bottom w:val="single" w:sz="18" w:space="0" w:color="FFFFFF"/>
              <w:right w:val="nil"/>
            </w:tcBorders>
            <w:shd w:val="clear" w:color="auto" w:fill="F2F2F2"/>
            <w:tcMar>
              <w:top w:w="0" w:type="dxa"/>
              <w:left w:w="108" w:type="dxa"/>
              <w:bottom w:w="0" w:type="dxa"/>
              <w:right w:w="108" w:type="dxa"/>
            </w:tcMar>
          </w:tcPr>
          <w:p w:rsidR="00627B7D" w:rsidRDefault="005F43C0" w:rsidP="00105815">
            <w:pPr>
              <w:rPr>
                <w:szCs w:val="20"/>
              </w:rPr>
            </w:pPr>
            <w:r>
              <w:rPr>
                <w:szCs w:val="20"/>
              </w:rPr>
              <w:t>Various Refer to .</w:t>
            </w:r>
            <w:proofErr w:type="spellStart"/>
            <w:r>
              <w:rPr>
                <w:szCs w:val="20"/>
              </w:rPr>
              <w:t>xlsc</w:t>
            </w:r>
            <w:proofErr w:type="spellEnd"/>
            <w:r>
              <w:rPr>
                <w:szCs w:val="20"/>
              </w:rPr>
              <w:t xml:space="preserve"> attached</w:t>
            </w:r>
          </w:p>
          <w:p w:rsidR="00627B7D" w:rsidRDefault="00627B7D" w:rsidP="006D0EE1">
            <w:pPr>
              <w:rPr>
                <w:szCs w:val="20"/>
              </w:rPr>
            </w:pPr>
            <w:r>
              <w:rPr>
                <w:szCs w:val="20"/>
              </w:rPr>
              <w:t>Source: 201</w:t>
            </w:r>
            <w:r w:rsidR="006D0EE1">
              <w:rPr>
                <w:szCs w:val="20"/>
              </w:rPr>
              <w:t>6</w:t>
            </w:r>
            <w:r>
              <w:rPr>
                <w:szCs w:val="20"/>
              </w:rPr>
              <w:t xml:space="preserve"> DEER</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7258F9" w:rsidRDefault="007258F9" w:rsidP="00105815">
            <w:pPr>
              <w:rPr>
                <w:b/>
                <w:bCs/>
              </w:rPr>
            </w:pPr>
            <w:bookmarkStart w:id="5" w:name="OLE_LINK1"/>
            <w:r>
              <w:rPr>
                <w:b/>
                <w:bCs/>
              </w:rPr>
              <w:t xml:space="preserve">Measure Incremental Cost ($/unit): </w:t>
            </w:r>
            <w:bookmarkEnd w:id="5"/>
          </w:p>
        </w:tc>
        <w:tc>
          <w:tcPr>
            <w:tcW w:w="5487" w:type="dxa"/>
            <w:tcBorders>
              <w:top w:val="nil"/>
              <w:left w:val="nil"/>
              <w:bottom w:val="single" w:sz="18" w:space="0" w:color="FFFFFF"/>
              <w:right w:val="nil"/>
            </w:tcBorders>
            <w:shd w:val="clear" w:color="auto" w:fill="CCCCCC"/>
            <w:tcMar>
              <w:top w:w="0" w:type="dxa"/>
              <w:left w:w="108" w:type="dxa"/>
              <w:bottom w:w="0" w:type="dxa"/>
              <w:right w:w="108" w:type="dxa"/>
            </w:tcMar>
          </w:tcPr>
          <w:p w:rsidR="007258F9" w:rsidRDefault="005F43C0" w:rsidP="00105815">
            <w:pPr>
              <w:rPr>
                <w:szCs w:val="20"/>
              </w:rPr>
            </w:pPr>
            <w:r>
              <w:rPr>
                <w:szCs w:val="20"/>
              </w:rPr>
              <w:t>Various Refer to .</w:t>
            </w:r>
            <w:proofErr w:type="spellStart"/>
            <w:r>
              <w:rPr>
                <w:szCs w:val="20"/>
              </w:rPr>
              <w:t>xlsc</w:t>
            </w:r>
            <w:proofErr w:type="spellEnd"/>
            <w:r>
              <w:rPr>
                <w:szCs w:val="20"/>
              </w:rPr>
              <w:t xml:space="preserve"> attached</w:t>
            </w:r>
          </w:p>
          <w:p w:rsidR="007258F9" w:rsidRDefault="006D0EE1" w:rsidP="00627B7D">
            <w:pPr>
              <w:rPr>
                <w:szCs w:val="20"/>
              </w:rPr>
            </w:pPr>
            <w:r>
              <w:rPr>
                <w:szCs w:val="20"/>
              </w:rPr>
              <w:t>Source:  2016</w:t>
            </w:r>
            <w:r w:rsidR="007258F9">
              <w:rPr>
                <w:szCs w:val="20"/>
              </w:rPr>
              <w:t xml:space="preserve"> DEER</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7258F9" w:rsidRDefault="007258F9" w:rsidP="00105815">
            <w:pPr>
              <w:rPr>
                <w:b/>
                <w:bCs/>
              </w:rPr>
            </w:pPr>
            <w:r>
              <w:rPr>
                <w:b/>
                <w:bCs/>
              </w:rPr>
              <w:t xml:space="preserve">Effective Useful Life (years): </w:t>
            </w:r>
          </w:p>
        </w:tc>
        <w:tc>
          <w:tcPr>
            <w:tcW w:w="5487" w:type="dxa"/>
            <w:tcBorders>
              <w:top w:val="nil"/>
              <w:left w:val="nil"/>
              <w:bottom w:val="single" w:sz="18" w:space="0" w:color="FFFFFF"/>
              <w:right w:val="nil"/>
            </w:tcBorders>
            <w:shd w:val="clear" w:color="auto" w:fill="F2F2F2"/>
            <w:tcMar>
              <w:top w:w="0" w:type="dxa"/>
              <w:left w:w="108" w:type="dxa"/>
              <w:bottom w:w="0" w:type="dxa"/>
              <w:right w:w="108" w:type="dxa"/>
            </w:tcMar>
          </w:tcPr>
          <w:p w:rsidR="00627B7D" w:rsidRDefault="005F43C0" w:rsidP="00105815">
            <w:pPr>
              <w:rPr>
                <w:szCs w:val="20"/>
              </w:rPr>
            </w:pPr>
            <w:r>
              <w:rPr>
                <w:szCs w:val="20"/>
              </w:rPr>
              <w:t>Various Refer to .</w:t>
            </w:r>
            <w:proofErr w:type="spellStart"/>
            <w:r>
              <w:rPr>
                <w:szCs w:val="20"/>
              </w:rPr>
              <w:t>xlsc</w:t>
            </w:r>
            <w:proofErr w:type="spellEnd"/>
            <w:r>
              <w:rPr>
                <w:szCs w:val="20"/>
              </w:rPr>
              <w:t xml:space="preserve"> attached</w:t>
            </w:r>
          </w:p>
          <w:p w:rsidR="007258F9" w:rsidRDefault="006D0EE1" w:rsidP="00105815">
            <w:pPr>
              <w:rPr>
                <w:szCs w:val="20"/>
              </w:rPr>
            </w:pPr>
            <w:r>
              <w:rPr>
                <w:szCs w:val="20"/>
              </w:rPr>
              <w:t>Source: 2016</w:t>
            </w:r>
            <w:r w:rsidR="007258F9">
              <w:rPr>
                <w:szCs w:val="20"/>
              </w:rPr>
              <w:t xml:space="preserve"> DEER.</w:t>
            </w:r>
          </w:p>
        </w:tc>
      </w:tr>
      <w:tr w:rsidR="007258F9" w:rsidTr="00105815">
        <w:trPr>
          <w:trHeight w:val="465"/>
        </w:trPr>
        <w:tc>
          <w:tcPr>
            <w:tcW w:w="4161"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7258F9" w:rsidRDefault="007258F9" w:rsidP="00105815">
            <w:pPr>
              <w:rPr>
                <w:b/>
                <w:bCs/>
              </w:rPr>
            </w:pPr>
            <w:r>
              <w:rPr>
                <w:b/>
                <w:bCs/>
              </w:rPr>
              <w:t>Program Type:</w:t>
            </w:r>
          </w:p>
        </w:tc>
        <w:tc>
          <w:tcPr>
            <w:tcW w:w="5487" w:type="dxa"/>
            <w:tcBorders>
              <w:top w:val="nil"/>
              <w:left w:val="nil"/>
              <w:bottom w:val="single" w:sz="18" w:space="0" w:color="FFFFFF"/>
              <w:right w:val="nil"/>
            </w:tcBorders>
            <w:shd w:val="clear" w:color="auto" w:fill="CCCCCC"/>
            <w:tcMar>
              <w:top w:w="0" w:type="dxa"/>
              <w:left w:w="108" w:type="dxa"/>
              <w:bottom w:w="0" w:type="dxa"/>
              <w:right w:w="108" w:type="dxa"/>
            </w:tcMar>
          </w:tcPr>
          <w:p w:rsidR="00C44C0B" w:rsidRDefault="00C44C0B" w:rsidP="00646FEE">
            <w:pPr>
              <w:rPr>
                <w:szCs w:val="20"/>
              </w:rPr>
            </w:pPr>
            <w:r>
              <w:rPr>
                <w:szCs w:val="20"/>
              </w:rPr>
              <w:t xml:space="preserve">Replace on Burnout </w:t>
            </w:r>
            <w:r w:rsidR="005F43C0">
              <w:rPr>
                <w:szCs w:val="20"/>
              </w:rPr>
              <w:t>(ROB)</w:t>
            </w:r>
          </w:p>
        </w:tc>
      </w:tr>
      <w:tr w:rsidR="00385776" w:rsidTr="00574AAD">
        <w:trPr>
          <w:trHeight w:val="465"/>
        </w:trPr>
        <w:tc>
          <w:tcPr>
            <w:tcW w:w="4161"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385776" w:rsidRDefault="00385776" w:rsidP="00105815">
            <w:pPr>
              <w:rPr>
                <w:b/>
                <w:bCs/>
              </w:rPr>
            </w:pPr>
            <w:r>
              <w:rPr>
                <w:b/>
                <w:bCs/>
              </w:rPr>
              <w:t xml:space="preserve">Net-to-Gross Ratios: </w:t>
            </w:r>
          </w:p>
        </w:tc>
        <w:tc>
          <w:tcPr>
            <w:tcW w:w="5487" w:type="dxa"/>
            <w:tcBorders>
              <w:top w:val="nil"/>
              <w:left w:val="nil"/>
              <w:bottom w:val="single" w:sz="18" w:space="0" w:color="FFFFFF"/>
              <w:right w:val="nil"/>
            </w:tcBorders>
            <w:shd w:val="clear" w:color="auto" w:fill="F2F2F2"/>
            <w:tcMar>
              <w:top w:w="0" w:type="dxa"/>
              <w:left w:w="108" w:type="dxa"/>
              <w:bottom w:w="0" w:type="dxa"/>
              <w:right w:w="108" w:type="dxa"/>
            </w:tcMar>
          </w:tcPr>
          <w:tbl>
            <w:tblPr>
              <w:tblStyle w:val="TableGrid1"/>
              <w:tblW w:w="5284" w:type="dxa"/>
              <w:tblLook w:val="01E0" w:firstRow="1" w:lastRow="1" w:firstColumn="1" w:lastColumn="1" w:noHBand="0" w:noVBand="0"/>
            </w:tblPr>
            <w:tblGrid>
              <w:gridCol w:w="1078"/>
              <w:gridCol w:w="2484"/>
              <w:gridCol w:w="939"/>
              <w:gridCol w:w="783"/>
            </w:tblGrid>
            <w:tr w:rsidR="00385776" w:rsidRPr="00106B4A" w:rsidTr="00385776">
              <w:tc>
                <w:tcPr>
                  <w:tcW w:w="1020" w:type="pct"/>
                  <w:shd w:val="clear" w:color="auto" w:fill="D9D9D9" w:themeFill="background1" w:themeFillShade="D9"/>
                  <w:vAlign w:val="center"/>
                </w:tcPr>
                <w:p w:rsidR="00385776" w:rsidRPr="00106B4A" w:rsidRDefault="00385776" w:rsidP="00574AAD">
                  <w:pPr>
                    <w:jc w:val="center"/>
                    <w:rPr>
                      <w:rFonts w:cs="Arial"/>
                      <w:b/>
                      <w:szCs w:val="20"/>
                    </w:rPr>
                  </w:pPr>
                  <w:r w:rsidRPr="00106B4A">
                    <w:rPr>
                      <w:rFonts w:cs="Arial"/>
                      <w:b/>
                      <w:szCs w:val="20"/>
                    </w:rPr>
                    <w:t>NTGR ID</w:t>
                  </w:r>
                </w:p>
              </w:tc>
              <w:tc>
                <w:tcPr>
                  <w:tcW w:w="2724" w:type="pct"/>
                  <w:shd w:val="clear" w:color="auto" w:fill="D9D9D9" w:themeFill="background1" w:themeFillShade="D9"/>
                  <w:vAlign w:val="center"/>
                </w:tcPr>
                <w:p w:rsidR="00385776" w:rsidRPr="00106B4A" w:rsidRDefault="00385776" w:rsidP="00574AAD">
                  <w:pPr>
                    <w:jc w:val="center"/>
                    <w:rPr>
                      <w:rFonts w:cs="Arial"/>
                      <w:b/>
                      <w:szCs w:val="20"/>
                    </w:rPr>
                  </w:pPr>
                  <w:r w:rsidRPr="00106B4A">
                    <w:rPr>
                      <w:rFonts w:cs="Arial"/>
                      <w:b/>
                      <w:szCs w:val="20"/>
                    </w:rPr>
                    <w:t>Description</w:t>
                  </w:r>
                </w:p>
              </w:tc>
              <w:tc>
                <w:tcPr>
                  <w:tcW w:w="515" w:type="pct"/>
                  <w:shd w:val="clear" w:color="auto" w:fill="D9D9D9" w:themeFill="background1" w:themeFillShade="D9"/>
                  <w:vAlign w:val="center"/>
                </w:tcPr>
                <w:p w:rsidR="00385776" w:rsidRPr="00106B4A" w:rsidRDefault="00385776" w:rsidP="00574AAD">
                  <w:pPr>
                    <w:jc w:val="center"/>
                    <w:rPr>
                      <w:rFonts w:cs="Arial"/>
                      <w:b/>
                      <w:szCs w:val="20"/>
                    </w:rPr>
                  </w:pPr>
                  <w:r w:rsidRPr="00106B4A">
                    <w:rPr>
                      <w:rFonts w:cs="Arial"/>
                      <w:b/>
                      <w:szCs w:val="20"/>
                    </w:rPr>
                    <w:t>Sector</w:t>
                  </w:r>
                </w:p>
              </w:tc>
              <w:tc>
                <w:tcPr>
                  <w:tcW w:w="741" w:type="pct"/>
                  <w:shd w:val="clear" w:color="auto" w:fill="D9D9D9" w:themeFill="background1" w:themeFillShade="D9"/>
                  <w:vAlign w:val="center"/>
                </w:tcPr>
                <w:p w:rsidR="00385776" w:rsidRPr="00106B4A" w:rsidRDefault="00385776" w:rsidP="00574AAD">
                  <w:pPr>
                    <w:jc w:val="center"/>
                    <w:rPr>
                      <w:rFonts w:cs="Arial"/>
                      <w:b/>
                      <w:szCs w:val="20"/>
                    </w:rPr>
                  </w:pPr>
                  <w:r w:rsidRPr="00106B4A">
                    <w:rPr>
                      <w:rFonts w:cs="Arial"/>
                      <w:b/>
                      <w:szCs w:val="20"/>
                    </w:rPr>
                    <w:t>NTGR</w:t>
                  </w:r>
                </w:p>
              </w:tc>
            </w:tr>
            <w:tr w:rsidR="00385776" w:rsidRPr="00106B4A" w:rsidTr="00385776">
              <w:tc>
                <w:tcPr>
                  <w:tcW w:w="1020" w:type="pct"/>
                  <w:vAlign w:val="center"/>
                </w:tcPr>
                <w:p w:rsidR="00385776" w:rsidRPr="00000F54" w:rsidRDefault="00385776" w:rsidP="00574AAD">
                  <w:pPr>
                    <w:jc w:val="center"/>
                    <w:rPr>
                      <w:rFonts w:cs="Arial"/>
                      <w:szCs w:val="20"/>
                    </w:rPr>
                  </w:pPr>
                  <w:r w:rsidRPr="00000F54">
                    <w:rPr>
                      <w:rFonts w:cs="Arial"/>
                      <w:szCs w:val="20"/>
                    </w:rPr>
                    <w:t>Res-Default&gt;2</w:t>
                  </w:r>
                </w:p>
              </w:tc>
              <w:tc>
                <w:tcPr>
                  <w:tcW w:w="2724" w:type="pct"/>
                  <w:vAlign w:val="center"/>
                </w:tcPr>
                <w:p w:rsidR="00385776" w:rsidRPr="00000F54" w:rsidRDefault="00385776" w:rsidP="00574AAD">
                  <w:pPr>
                    <w:jc w:val="center"/>
                    <w:rPr>
                      <w:rFonts w:cs="Arial"/>
                      <w:szCs w:val="20"/>
                    </w:rPr>
                  </w:pPr>
                  <w:r w:rsidRPr="00000F54">
                    <w:rPr>
                      <w:rFonts w:cs="Arial"/>
                      <w:szCs w:val="20"/>
                    </w:rPr>
                    <w:t>All other EEM with no evaluated NTGR; existing EEM with same delivery mechanism for more than 2 years</w:t>
                  </w:r>
                </w:p>
              </w:tc>
              <w:tc>
                <w:tcPr>
                  <w:tcW w:w="515" w:type="pct"/>
                  <w:vAlign w:val="center"/>
                </w:tcPr>
                <w:p w:rsidR="00385776" w:rsidRPr="00000F54" w:rsidRDefault="00385776" w:rsidP="00574AAD">
                  <w:pPr>
                    <w:jc w:val="center"/>
                    <w:rPr>
                      <w:rFonts w:cs="Arial"/>
                      <w:szCs w:val="20"/>
                    </w:rPr>
                  </w:pPr>
                  <w:r w:rsidRPr="00000F54">
                    <w:rPr>
                      <w:rFonts w:cs="Arial"/>
                      <w:szCs w:val="20"/>
                    </w:rPr>
                    <w:t>Res</w:t>
                  </w:r>
                </w:p>
              </w:tc>
              <w:tc>
                <w:tcPr>
                  <w:tcW w:w="741" w:type="pct"/>
                  <w:vAlign w:val="center"/>
                </w:tcPr>
                <w:p w:rsidR="00385776" w:rsidRPr="00000F54" w:rsidRDefault="00385776" w:rsidP="00574AAD">
                  <w:pPr>
                    <w:jc w:val="center"/>
                    <w:rPr>
                      <w:rFonts w:cs="Arial"/>
                      <w:szCs w:val="20"/>
                    </w:rPr>
                  </w:pPr>
                  <w:r w:rsidRPr="00000F54">
                    <w:rPr>
                      <w:rFonts w:cs="Arial"/>
                      <w:szCs w:val="20"/>
                    </w:rPr>
                    <w:t>0.55</w:t>
                  </w:r>
                </w:p>
              </w:tc>
            </w:tr>
            <w:tr w:rsidR="00385776" w:rsidRPr="00106B4A" w:rsidTr="00385776">
              <w:tc>
                <w:tcPr>
                  <w:tcW w:w="1020" w:type="pct"/>
                  <w:vAlign w:val="center"/>
                </w:tcPr>
                <w:p w:rsidR="00385776" w:rsidRPr="00000F54" w:rsidRDefault="00385776" w:rsidP="00574AAD">
                  <w:pPr>
                    <w:jc w:val="center"/>
                    <w:rPr>
                      <w:rFonts w:cs="Arial"/>
                      <w:szCs w:val="20"/>
                    </w:rPr>
                  </w:pPr>
                  <w:proofErr w:type="spellStart"/>
                  <w:r w:rsidRPr="00EC768E">
                    <w:rPr>
                      <w:rFonts w:cs="Arial"/>
                      <w:szCs w:val="20"/>
                    </w:rPr>
                    <w:t>NonRes</w:t>
                  </w:r>
                  <w:proofErr w:type="spellEnd"/>
                  <w:r w:rsidRPr="00EC768E">
                    <w:rPr>
                      <w:rFonts w:cs="Arial"/>
                      <w:szCs w:val="20"/>
                    </w:rPr>
                    <w:t>-</w:t>
                  </w:r>
                  <w:proofErr w:type="spellStart"/>
                  <w:r w:rsidRPr="00EC768E">
                    <w:rPr>
                      <w:rFonts w:cs="Arial"/>
                      <w:szCs w:val="20"/>
                    </w:rPr>
                    <w:t>sAll</w:t>
                  </w:r>
                  <w:proofErr w:type="spellEnd"/>
                  <w:r w:rsidRPr="00EC768E">
                    <w:rPr>
                      <w:rFonts w:cs="Arial"/>
                      <w:szCs w:val="20"/>
                    </w:rPr>
                    <w:t>-</w:t>
                  </w:r>
                  <w:proofErr w:type="spellStart"/>
                  <w:r w:rsidRPr="00EC768E">
                    <w:rPr>
                      <w:rFonts w:cs="Arial"/>
                      <w:szCs w:val="20"/>
                    </w:rPr>
                    <w:t>mCFL</w:t>
                  </w:r>
                  <w:proofErr w:type="spellEnd"/>
                  <w:r w:rsidRPr="00EC768E">
                    <w:rPr>
                      <w:rFonts w:cs="Arial"/>
                      <w:szCs w:val="20"/>
                    </w:rPr>
                    <w:t>-All</w:t>
                  </w:r>
                </w:p>
              </w:tc>
              <w:tc>
                <w:tcPr>
                  <w:tcW w:w="2724" w:type="pct"/>
                  <w:vAlign w:val="center"/>
                </w:tcPr>
                <w:p w:rsidR="00385776" w:rsidRPr="00000F54" w:rsidRDefault="00385776" w:rsidP="00574AAD">
                  <w:pPr>
                    <w:jc w:val="center"/>
                    <w:rPr>
                      <w:rFonts w:cs="Arial"/>
                      <w:szCs w:val="20"/>
                    </w:rPr>
                  </w:pPr>
                  <w:r w:rsidRPr="00EC768E">
                    <w:rPr>
                      <w:rFonts w:cs="Arial"/>
                      <w:szCs w:val="20"/>
                    </w:rPr>
                    <w:t>Nonresidential CFLs: deemed; all delivery mechanisms</w:t>
                  </w:r>
                </w:p>
              </w:tc>
              <w:tc>
                <w:tcPr>
                  <w:tcW w:w="515" w:type="pct"/>
                  <w:vAlign w:val="center"/>
                </w:tcPr>
                <w:p w:rsidR="00385776" w:rsidRPr="00000F54" w:rsidRDefault="00385776" w:rsidP="00574AAD">
                  <w:pPr>
                    <w:jc w:val="center"/>
                    <w:rPr>
                      <w:rFonts w:cs="Arial"/>
                      <w:szCs w:val="20"/>
                    </w:rPr>
                  </w:pPr>
                  <w:proofErr w:type="spellStart"/>
                  <w:r>
                    <w:rPr>
                      <w:rFonts w:cs="Arial"/>
                      <w:szCs w:val="20"/>
                    </w:rPr>
                    <w:t>NonRes</w:t>
                  </w:r>
                  <w:proofErr w:type="spellEnd"/>
                </w:p>
              </w:tc>
              <w:tc>
                <w:tcPr>
                  <w:tcW w:w="741" w:type="pct"/>
                  <w:vAlign w:val="center"/>
                </w:tcPr>
                <w:p w:rsidR="00385776" w:rsidRPr="00000F54" w:rsidRDefault="00385776" w:rsidP="00574AAD">
                  <w:pPr>
                    <w:jc w:val="center"/>
                    <w:rPr>
                      <w:rFonts w:cs="Arial"/>
                      <w:szCs w:val="20"/>
                    </w:rPr>
                  </w:pPr>
                  <w:r>
                    <w:rPr>
                      <w:rFonts w:cs="Arial"/>
                      <w:szCs w:val="20"/>
                    </w:rPr>
                    <w:t>0.6</w:t>
                  </w:r>
                </w:p>
              </w:tc>
            </w:tr>
          </w:tbl>
          <w:p w:rsidR="00385776" w:rsidRDefault="00385776" w:rsidP="00385776">
            <w:pPr>
              <w:rPr>
                <w:szCs w:val="20"/>
              </w:rPr>
            </w:pPr>
            <w:r>
              <w:rPr>
                <w:szCs w:val="20"/>
              </w:rPr>
              <w:t>Source:  2016 DEER</w:t>
            </w:r>
          </w:p>
        </w:tc>
      </w:tr>
      <w:tr w:rsidR="007258F9" w:rsidTr="006B66C7">
        <w:trPr>
          <w:trHeight w:val="432"/>
        </w:trPr>
        <w:tc>
          <w:tcPr>
            <w:tcW w:w="4161" w:type="dxa"/>
            <w:tcBorders>
              <w:top w:val="nil"/>
              <w:left w:val="nil"/>
              <w:bottom w:val="nil"/>
              <w:right w:val="single" w:sz="18" w:space="0" w:color="FFFFFF"/>
            </w:tcBorders>
            <w:shd w:val="clear" w:color="auto" w:fill="CCCCCC"/>
            <w:tcMar>
              <w:top w:w="0" w:type="dxa"/>
              <w:left w:w="108" w:type="dxa"/>
              <w:bottom w:w="0" w:type="dxa"/>
              <w:right w:w="108" w:type="dxa"/>
            </w:tcMar>
          </w:tcPr>
          <w:p w:rsidR="007258F9" w:rsidRDefault="007258F9" w:rsidP="00105815">
            <w:pPr>
              <w:rPr>
                <w:b/>
                <w:bCs/>
              </w:rPr>
            </w:pPr>
            <w:r>
              <w:rPr>
                <w:b/>
                <w:bCs/>
              </w:rPr>
              <w:t>Important Comments:</w:t>
            </w:r>
          </w:p>
        </w:tc>
        <w:tc>
          <w:tcPr>
            <w:tcW w:w="5487" w:type="dxa"/>
            <w:tcBorders>
              <w:top w:val="nil"/>
              <w:left w:val="nil"/>
              <w:bottom w:val="nil"/>
              <w:right w:val="nil"/>
            </w:tcBorders>
            <w:shd w:val="clear" w:color="auto" w:fill="CCCCCC"/>
            <w:tcMar>
              <w:top w:w="0" w:type="dxa"/>
              <w:left w:w="108" w:type="dxa"/>
              <w:bottom w:w="0" w:type="dxa"/>
              <w:right w:w="108" w:type="dxa"/>
            </w:tcMar>
          </w:tcPr>
          <w:p w:rsidR="006D0EE1" w:rsidRPr="005F43C0" w:rsidRDefault="00A941DC" w:rsidP="006D0EE1">
            <w:pPr>
              <w:rPr>
                <w:color w:val="00B050"/>
                <w:szCs w:val="20"/>
              </w:rPr>
            </w:pPr>
            <w:r>
              <w:rPr>
                <w:szCs w:val="20"/>
              </w:rPr>
              <w:t>Savings</w:t>
            </w:r>
            <w:r w:rsidR="006B66C7">
              <w:rPr>
                <w:szCs w:val="20"/>
              </w:rPr>
              <w:t xml:space="preserve"> and cost</w:t>
            </w:r>
            <w:r>
              <w:rPr>
                <w:szCs w:val="20"/>
              </w:rPr>
              <w:t xml:space="preserve"> </w:t>
            </w:r>
            <w:r w:rsidR="006B66C7">
              <w:rPr>
                <w:szCs w:val="20"/>
              </w:rPr>
              <w:t>methodology follows PGECOLTG111</w:t>
            </w:r>
            <w:r w:rsidR="000F13AA">
              <w:rPr>
                <w:szCs w:val="20"/>
              </w:rPr>
              <w:t xml:space="preserve">, </w:t>
            </w:r>
            <w:r w:rsidR="000F13AA" w:rsidRPr="000F13AA">
              <w:rPr>
                <w:szCs w:val="20"/>
              </w:rPr>
              <w:t xml:space="preserve">PGECOLTG110 </w:t>
            </w:r>
            <w:r>
              <w:rPr>
                <w:szCs w:val="20"/>
              </w:rPr>
              <w:t>&amp; PGECOLTG107</w:t>
            </w:r>
          </w:p>
          <w:p w:rsidR="005F43C0" w:rsidRPr="005F43C0" w:rsidRDefault="005F43C0" w:rsidP="00105815">
            <w:pPr>
              <w:rPr>
                <w:color w:val="00B050"/>
                <w:szCs w:val="20"/>
              </w:rPr>
            </w:pPr>
          </w:p>
        </w:tc>
      </w:tr>
    </w:tbl>
    <w:p w:rsidR="000D69BC" w:rsidRDefault="000D69BC" w:rsidP="000D69BC">
      <w:pPr>
        <w:rPr>
          <w:rFonts w:cs="Arial"/>
          <w:b/>
          <w:color w:val="FF0000"/>
          <w:szCs w:val="20"/>
        </w:rPr>
      </w:pPr>
      <w:bookmarkStart w:id="6" w:name="_Toc195330054"/>
    </w:p>
    <w:p w:rsidR="00DE356B" w:rsidRDefault="00DE356B">
      <w:pPr>
        <w:rPr>
          <w:rFonts w:cs="Arial"/>
          <w:b/>
          <w:bCs/>
          <w:kern w:val="32"/>
          <w:sz w:val="32"/>
          <w:szCs w:val="32"/>
        </w:rPr>
      </w:pPr>
      <w:bookmarkStart w:id="7" w:name="_Toc388599793"/>
      <w:bookmarkStart w:id="8" w:name="_Toc174189524"/>
      <w:r>
        <w:br w:type="page"/>
      </w:r>
    </w:p>
    <w:p w:rsidR="00E71EF1" w:rsidRDefault="00E71EF1" w:rsidP="00E71EF1">
      <w:pPr>
        <w:pStyle w:val="Heading1"/>
      </w:pPr>
      <w:bookmarkStart w:id="9" w:name="_Toc437875401"/>
      <w:bookmarkEnd w:id="7"/>
      <w:bookmarkEnd w:id="8"/>
      <w:r>
        <w:lastRenderedPageBreak/>
        <w:t>Document Revision History</w:t>
      </w:r>
      <w:bookmarkEnd w:id="6"/>
      <w:bookmarkEnd w:id="9"/>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437"/>
        <w:gridCol w:w="1217"/>
        <w:gridCol w:w="3818"/>
        <w:gridCol w:w="2997"/>
      </w:tblGrid>
      <w:tr w:rsidR="000D69BC" w:rsidRPr="00D163B7" w:rsidTr="000D69BC">
        <w:trPr>
          <w:trHeight w:val="464"/>
        </w:trPr>
        <w:tc>
          <w:tcPr>
            <w:tcW w:w="761" w:type="pct"/>
            <w:shd w:val="clear" w:color="auto" w:fill="F2F2F2" w:themeFill="background1" w:themeFillShade="F2"/>
            <w:vAlign w:val="center"/>
          </w:tcPr>
          <w:p w:rsidR="000D69BC" w:rsidRPr="000D69BC" w:rsidRDefault="000D69BC" w:rsidP="004A010B">
            <w:pPr>
              <w:jc w:val="center"/>
              <w:rPr>
                <w:bCs/>
                <w:szCs w:val="20"/>
              </w:rPr>
            </w:pPr>
            <w:r>
              <w:rPr>
                <w:bCs/>
                <w:szCs w:val="20"/>
              </w:rPr>
              <w:t>Revision #</w:t>
            </w:r>
          </w:p>
        </w:tc>
        <w:tc>
          <w:tcPr>
            <w:tcW w:w="637" w:type="pct"/>
            <w:shd w:val="clear" w:color="auto" w:fill="F2F2F2" w:themeFill="background1" w:themeFillShade="F2"/>
            <w:vAlign w:val="center"/>
          </w:tcPr>
          <w:p w:rsidR="000D69BC" w:rsidRPr="000D69BC" w:rsidRDefault="000D69BC" w:rsidP="004A010B">
            <w:pPr>
              <w:jc w:val="center"/>
              <w:rPr>
                <w:bCs/>
                <w:szCs w:val="20"/>
              </w:rPr>
            </w:pPr>
            <w:r>
              <w:rPr>
                <w:bCs/>
                <w:szCs w:val="20"/>
              </w:rPr>
              <w:t>Date</w:t>
            </w:r>
          </w:p>
        </w:tc>
        <w:tc>
          <w:tcPr>
            <w:tcW w:w="2018" w:type="pct"/>
            <w:shd w:val="clear" w:color="auto" w:fill="F2F2F2" w:themeFill="background1" w:themeFillShade="F2"/>
            <w:vAlign w:val="center"/>
          </w:tcPr>
          <w:p w:rsidR="000D69BC" w:rsidRPr="000D69BC" w:rsidRDefault="000D69BC" w:rsidP="004A010B">
            <w:pPr>
              <w:jc w:val="center"/>
              <w:rPr>
                <w:bCs/>
                <w:szCs w:val="20"/>
              </w:rPr>
            </w:pPr>
            <w:r>
              <w:rPr>
                <w:bCs/>
                <w:szCs w:val="20"/>
              </w:rPr>
              <w:t>Description</w:t>
            </w:r>
          </w:p>
        </w:tc>
        <w:tc>
          <w:tcPr>
            <w:tcW w:w="1584" w:type="pct"/>
            <w:shd w:val="clear" w:color="auto" w:fill="F2F2F2" w:themeFill="background1" w:themeFillShade="F2"/>
            <w:vAlign w:val="center"/>
          </w:tcPr>
          <w:p w:rsidR="000D69BC" w:rsidRPr="000D69BC" w:rsidRDefault="000D69BC" w:rsidP="004A010B">
            <w:pPr>
              <w:jc w:val="center"/>
              <w:rPr>
                <w:bCs/>
                <w:szCs w:val="20"/>
              </w:rPr>
            </w:pPr>
            <w:r>
              <w:rPr>
                <w:bCs/>
                <w:szCs w:val="20"/>
              </w:rPr>
              <w:t>Author (Company)</w:t>
            </w:r>
          </w:p>
        </w:tc>
      </w:tr>
      <w:tr w:rsidR="004A010B" w:rsidRPr="00D163B7" w:rsidTr="005F43C0">
        <w:trPr>
          <w:trHeight w:val="464"/>
        </w:trPr>
        <w:tc>
          <w:tcPr>
            <w:tcW w:w="761" w:type="pct"/>
            <w:shd w:val="pct20" w:color="000000" w:fill="FFFFFF"/>
          </w:tcPr>
          <w:p w:rsidR="004A010B" w:rsidRPr="000D69BC" w:rsidRDefault="004A010B" w:rsidP="005F43C0">
            <w:pPr>
              <w:rPr>
                <w:bCs/>
                <w:szCs w:val="20"/>
              </w:rPr>
            </w:pPr>
            <w:r w:rsidRPr="000D69BC">
              <w:rPr>
                <w:bCs/>
                <w:szCs w:val="20"/>
              </w:rPr>
              <w:t>Revision 0</w:t>
            </w:r>
          </w:p>
        </w:tc>
        <w:tc>
          <w:tcPr>
            <w:tcW w:w="637" w:type="pct"/>
            <w:shd w:val="pct20" w:color="000000" w:fill="FFFFFF"/>
          </w:tcPr>
          <w:p w:rsidR="004A010B" w:rsidRPr="000D69BC" w:rsidRDefault="00115C0A" w:rsidP="005F43C0">
            <w:pPr>
              <w:rPr>
                <w:bCs/>
                <w:szCs w:val="20"/>
                <w:highlight w:val="red"/>
              </w:rPr>
            </w:pPr>
            <w:r w:rsidRPr="000D69BC">
              <w:rPr>
                <w:bCs/>
                <w:szCs w:val="20"/>
              </w:rPr>
              <w:t>06/8</w:t>
            </w:r>
            <w:r w:rsidR="004A010B" w:rsidRPr="000D69BC">
              <w:rPr>
                <w:bCs/>
                <w:szCs w:val="20"/>
              </w:rPr>
              <w:t>/12</w:t>
            </w:r>
          </w:p>
        </w:tc>
        <w:tc>
          <w:tcPr>
            <w:tcW w:w="2018" w:type="pct"/>
            <w:shd w:val="pct20" w:color="000000" w:fill="FFFFFF"/>
          </w:tcPr>
          <w:p w:rsidR="00E0531D" w:rsidRPr="000D69BC" w:rsidRDefault="004A010B" w:rsidP="005F43C0">
            <w:pPr>
              <w:rPr>
                <w:bCs/>
                <w:szCs w:val="20"/>
              </w:rPr>
            </w:pPr>
            <w:r w:rsidRPr="000D69BC">
              <w:rPr>
                <w:bCs/>
                <w:szCs w:val="20"/>
              </w:rPr>
              <w:t>Created Direct I</w:t>
            </w:r>
            <w:r w:rsidR="00115C0A" w:rsidRPr="000D69BC">
              <w:rPr>
                <w:bCs/>
                <w:szCs w:val="20"/>
              </w:rPr>
              <w:t>nstall</w:t>
            </w:r>
            <w:r w:rsidR="00F37AA2" w:rsidRPr="000D69BC">
              <w:rPr>
                <w:bCs/>
                <w:szCs w:val="20"/>
              </w:rPr>
              <w:t xml:space="preserve"> &amp; Downstream</w:t>
            </w:r>
            <w:r w:rsidR="00115C0A" w:rsidRPr="000D69BC">
              <w:rPr>
                <w:bCs/>
                <w:szCs w:val="20"/>
              </w:rPr>
              <w:t xml:space="preserve"> Version of PGECOLTG111 R5 &amp; </w:t>
            </w:r>
          </w:p>
          <w:p w:rsidR="004A010B" w:rsidRPr="000D69BC" w:rsidRDefault="00115C0A" w:rsidP="005F43C0">
            <w:pPr>
              <w:rPr>
                <w:bCs/>
                <w:szCs w:val="20"/>
              </w:rPr>
            </w:pPr>
            <w:r w:rsidRPr="000D69BC">
              <w:rPr>
                <w:bCs/>
                <w:szCs w:val="20"/>
              </w:rPr>
              <w:t>PGECOLTG107 R5</w:t>
            </w:r>
          </w:p>
          <w:p w:rsidR="004A010B" w:rsidRPr="000D69BC" w:rsidRDefault="004A010B" w:rsidP="005F43C0">
            <w:pPr>
              <w:rPr>
                <w:bCs/>
                <w:szCs w:val="20"/>
              </w:rPr>
            </w:pPr>
            <w:r w:rsidRPr="000D69BC">
              <w:rPr>
                <w:bCs/>
                <w:szCs w:val="20"/>
              </w:rPr>
              <w:t>Modifications from the original include:</w:t>
            </w:r>
          </w:p>
          <w:p w:rsidR="004A010B" w:rsidRPr="000D69BC" w:rsidRDefault="004A010B" w:rsidP="005F43C0">
            <w:pPr>
              <w:numPr>
                <w:ilvl w:val="0"/>
                <w:numId w:val="23"/>
              </w:numPr>
              <w:rPr>
                <w:bCs/>
                <w:szCs w:val="20"/>
              </w:rPr>
            </w:pPr>
            <w:r w:rsidRPr="000D69BC">
              <w:rPr>
                <w:bCs/>
                <w:szCs w:val="20"/>
              </w:rPr>
              <w:t>New DI</w:t>
            </w:r>
            <w:r w:rsidR="000367B0" w:rsidRPr="000D69BC">
              <w:rPr>
                <w:bCs/>
                <w:szCs w:val="20"/>
              </w:rPr>
              <w:t xml:space="preserve"> &amp; downstream</w:t>
            </w:r>
            <w:r w:rsidRPr="000D69BC">
              <w:rPr>
                <w:bCs/>
                <w:szCs w:val="20"/>
              </w:rPr>
              <w:t xml:space="preserve"> NTG</w:t>
            </w:r>
            <w:r w:rsidR="00E96AB3" w:rsidRPr="000D69BC">
              <w:rPr>
                <w:bCs/>
                <w:szCs w:val="20"/>
              </w:rPr>
              <w:t xml:space="preserve"> &amp; ISR</w:t>
            </w:r>
            <w:r w:rsidRPr="000D69BC">
              <w:rPr>
                <w:bCs/>
                <w:szCs w:val="20"/>
              </w:rPr>
              <w:t xml:space="preserve"> value</w:t>
            </w:r>
            <w:r w:rsidR="00E96AB3" w:rsidRPr="000D69BC">
              <w:rPr>
                <w:bCs/>
                <w:szCs w:val="20"/>
              </w:rPr>
              <w:t>s</w:t>
            </w:r>
          </w:p>
          <w:p w:rsidR="004A010B" w:rsidRPr="000D69BC" w:rsidRDefault="004A010B" w:rsidP="005F43C0">
            <w:pPr>
              <w:numPr>
                <w:ilvl w:val="0"/>
                <w:numId w:val="23"/>
              </w:numPr>
              <w:rPr>
                <w:bCs/>
                <w:szCs w:val="20"/>
              </w:rPr>
            </w:pPr>
            <w:r w:rsidRPr="000D69BC">
              <w:rPr>
                <w:bCs/>
                <w:szCs w:val="20"/>
              </w:rPr>
              <w:t>Adjustments to Cost Data to better align with ER transaction type</w:t>
            </w:r>
          </w:p>
          <w:p w:rsidR="004A010B" w:rsidRPr="000D69BC" w:rsidRDefault="004A010B" w:rsidP="005F43C0">
            <w:pPr>
              <w:ind w:left="360"/>
              <w:rPr>
                <w:bCs/>
                <w:szCs w:val="20"/>
              </w:rPr>
            </w:pPr>
          </w:p>
        </w:tc>
        <w:tc>
          <w:tcPr>
            <w:tcW w:w="1584" w:type="pct"/>
            <w:shd w:val="pct20" w:color="000000" w:fill="FFFFFF"/>
          </w:tcPr>
          <w:p w:rsidR="004A010B" w:rsidRPr="000D69BC" w:rsidRDefault="00115C0A" w:rsidP="005F43C0">
            <w:pPr>
              <w:rPr>
                <w:bCs/>
                <w:szCs w:val="20"/>
              </w:rPr>
            </w:pPr>
            <w:proofErr w:type="spellStart"/>
            <w:r w:rsidRPr="000D69BC">
              <w:rPr>
                <w:bCs/>
                <w:szCs w:val="20"/>
              </w:rPr>
              <w:t>Breesa</w:t>
            </w:r>
            <w:proofErr w:type="spellEnd"/>
            <w:r w:rsidRPr="000D69BC">
              <w:rPr>
                <w:bCs/>
                <w:szCs w:val="20"/>
              </w:rPr>
              <w:t xml:space="preserve"> Collyer</w:t>
            </w:r>
            <w:r w:rsidR="004A010B" w:rsidRPr="000D69BC">
              <w:rPr>
                <w:bCs/>
                <w:szCs w:val="20"/>
              </w:rPr>
              <w:t>, PG&amp;E</w:t>
            </w:r>
          </w:p>
        </w:tc>
      </w:tr>
      <w:tr w:rsidR="00AC4031" w:rsidRPr="00D163B7" w:rsidTr="005F43C0">
        <w:trPr>
          <w:trHeight w:val="464"/>
        </w:trPr>
        <w:tc>
          <w:tcPr>
            <w:tcW w:w="761" w:type="pct"/>
            <w:shd w:val="pct5" w:color="000000" w:fill="FFFFFF"/>
          </w:tcPr>
          <w:p w:rsidR="00AC4031" w:rsidRPr="000D69BC" w:rsidRDefault="00AC4031" w:rsidP="005F43C0">
            <w:r w:rsidRPr="000D69BC">
              <w:t>Revision 0</w:t>
            </w:r>
          </w:p>
        </w:tc>
        <w:tc>
          <w:tcPr>
            <w:tcW w:w="637" w:type="pct"/>
            <w:shd w:val="pct5" w:color="000000" w:fill="FFFFFF"/>
          </w:tcPr>
          <w:p w:rsidR="00AC4031" w:rsidRPr="000D69BC" w:rsidRDefault="00AC4031" w:rsidP="005F43C0">
            <w:pPr>
              <w:rPr>
                <w:szCs w:val="20"/>
              </w:rPr>
            </w:pPr>
            <w:r w:rsidRPr="000D69BC">
              <w:rPr>
                <w:szCs w:val="20"/>
              </w:rPr>
              <w:t>08/22/2012</w:t>
            </w:r>
          </w:p>
        </w:tc>
        <w:tc>
          <w:tcPr>
            <w:tcW w:w="2018" w:type="pct"/>
            <w:shd w:val="pct5" w:color="000000" w:fill="FFFFFF"/>
          </w:tcPr>
          <w:p w:rsidR="00AC4031" w:rsidRPr="000D69BC" w:rsidRDefault="00AC4031" w:rsidP="005F43C0">
            <w:pPr>
              <w:rPr>
                <w:szCs w:val="20"/>
              </w:rPr>
            </w:pPr>
            <w:r w:rsidRPr="000D69BC">
              <w:rPr>
                <w:szCs w:val="20"/>
              </w:rPr>
              <w:t>Updated nomenclature per ED direction for the following:</w:t>
            </w:r>
          </w:p>
          <w:p w:rsidR="00AC4031" w:rsidRPr="000D69BC" w:rsidRDefault="00AC4031" w:rsidP="005F43C0">
            <w:pPr>
              <w:rPr>
                <w:szCs w:val="20"/>
              </w:rPr>
            </w:pPr>
          </w:p>
          <w:p w:rsidR="00AC4031" w:rsidRPr="000D69BC" w:rsidRDefault="00AC4031" w:rsidP="005F43C0">
            <w:pPr>
              <w:rPr>
                <w:szCs w:val="20"/>
              </w:rPr>
            </w:pPr>
            <w:r w:rsidRPr="000D69BC">
              <w:rPr>
                <w:szCs w:val="20"/>
              </w:rPr>
              <w:t>Building types-BCR to Any</w:t>
            </w:r>
          </w:p>
          <w:p w:rsidR="00AC4031" w:rsidRPr="000D69BC" w:rsidRDefault="00AC4031" w:rsidP="005F43C0">
            <w:pPr>
              <w:rPr>
                <w:szCs w:val="20"/>
              </w:rPr>
            </w:pPr>
            <w:r w:rsidRPr="000D69BC">
              <w:rPr>
                <w:szCs w:val="20"/>
              </w:rPr>
              <w:t>Building vintage-AV to Any</w:t>
            </w:r>
          </w:p>
          <w:p w:rsidR="00AC4031" w:rsidRPr="000D69BC" w:rsidRDefault="00AC4031" w:rsidP="005F43C0">
            <w:pPr>
              <w:rPr>
                <w:szCs w:val="20"/>
              </w:rPr>
            </w:pPr>
            <w:r w:rsidRPr="000D69BC">
              <w:rPr>
                <w:szCs w:val="20"/>
              </w:rPr>
              <w:t>Climate Zone-All to Any</w:t>
            </w:r>
          </w:p>
          <w:p w:rsidR="00AC4031" w:rsidRPr="000D69BC" w:rsidRDefault="00AC4031" w:rsidP="005F43C0">
            <w:pPr>
              <w:rPr>
                <w:szCs w:val="20"/>
              </w:rPr>
            </w:pPr>
            <w:r w:rsidRPr="000D69BC">
              <w:rPr>
                <w:szCs w:val="20"/>
              </w:rPr>
              <w:t>Application Type-ER to ROB</w:t>
            </w:r>
          </w:p>
        </w:tc>
        <w:tc>
          <w:tcPr>
            <w:tcW w:w="1584" w:type="pct"/>
            <w:shd w:val="pct5" w:color="000000" w:fill="FFFFFF"/>
          </w:tcPr>
          <w:p w:rsidR="00AC4031" w:rsidRPr="000D69BC" w:rsidRDefault="000B560E" w:rsidP="005F43C0">
            <w:pPr>
              <w:rPr>
                <w:bCs/>
                <w:szCs w:val="20"/>
              </w:rPr>
            </w:pPr>
            <w:proofErr w:type="spellStart"/>
            <w:r>
              <w:rPr>
                <w:bCs/>
                <w:szCs w:val="20"/>
              </w:rPr>
              <w:t>Breesa</w:t>
            </w:r>
            <w:proofErr w:type="spellEnd"/>
            <w:r>
              <w:rPr>
                <w:bCs/>
                <w:szCs w:val="20"/>
              </w:rPr>
              <w:t xml:space="preserve"> Collyer, </w:t>
            </w:r>
            <w:r w:rsidR="00AC4031" w:rsidRPr="000D69BC">
              <w:rPr>
                <w:bCs/>
                <w:szCs w:val="20"/>
              </w:rPr>
              <w:t>PG&amp;E</w:t>
            </w:r>
          </w:p>
        </w:tc>
      </w:tr>
      <w:tr w:rsidR="000D69BC" w:rsidRPr="00D163B7" w:rsidTr="005F43C0">
        <w:trPr>
          <w:trHeight w:val="464"/>
        </w:trPr>
        <w:tc>
          <w:tcPr>
            <w:tcW w:w="761" w:type="pct"/>
            <w:shd w:val="clear" w:color="auto" w:fill="BFBFBF" w:themeFill="background1" w:themeFillShade="BF"/>
          </w:tcPr>
          <w:p w:rsidR="000D69BC" w:rsidRPr="000D69BC" w:rsidRDefault="000D69BC" w:rsidP="005F43C0">
            <w:pPr>
              <w:rPr>
                <w:bCs/>
                <w:szCs w:val="20"/>
              </w:rPr>
            </w:pPr>
            <w:r w:rsidRPr="000D69BC">
              <w:rPr>
                <w:bCs/>
                <w:szCs w:val="20"/>
              </w:rPr>
              <w:t>Revision 0</w:t>
            </w:r>
          </w:p>
        </w:tc>
        <w:tc>
          <w:tcPr>
            <w:tcW w:w="637" w:type="pct"/>
            <w:shd w:val="clear" w:color="auto" w:fill="BFBFBF" w:themeFill="background1" w:themeFillShade="BF"/>
          </w:tcPr>
          <w:p w:rsidR="000D69BC" w:rsidRPr="000D69BC" w:rsidRDefault="000D69BC" w:rsidP="005F43C0">
            <w:pPr>
              <w:rPr>
                <w:bCs/>
                <w:szCs w:val="20"/>
                <w:highlight w:val="red"/>
              </w:rPr>
            </w:pPr>
            <w:r w:rsidRPr="000D69BC">
              <w:rPr>
                <w:bCs/>
                <w:szCs w:val="20"/>
              </w:rPr>
              <w:t>1/7/2013</w:t>
            </w:r>
          </w:p>
        </w:tc>
        <w:tc>
          <w:tcPr>
            <w:tcW w:w="2018" w:type="pct"/>
            <w:shd w:val="clear" w:color="auto" w:fill="BFBFBF" w:themeFill="background1" w:themeFillShade="BF"/>
          </w:tcPr>
          <w:p w:rsidR="000D69BC" w:rsidRPr="000D69BC" w:rsidRDefault="000D69BC" w:rsidP="005F43C0">
            <w:pPr>
              <w:rPr>
                <w:bCs/>
                <w:szCs w:val="20"/>
              </w:rPr>
            </w:pPr>
            <w:r w:rsidRPr="000D69BC">
              <w:rPr>
                <w:bCs/>
                <w:szCs w:val="20"/>
              </w:rPr>
              <w:t>Add Measures 0L23, 0L03, 0L14, 0L30, 0L34, 0L46, 0L49, L856 for Residential Building Types.</w:t>
            </w:r>
          </w:p>
        </w:tc>
        <w:tc>
          <w:tcPr>
            <w:tcW w:w="1584" w:type="pct"/>
            <w:shd w:val="clear" w:color="auto" w:fill="BFBFBF" w:themeFill="background1" w:themeFillShade="BF"/>
          </w:tcPr>
          <w:p w:rsidR="000D69BC" w:rsidRPr="000D69BC" w:rsidRDefault="000D69BC" w:rsidP="005F43C0">
            <w:pPr>
              <w:rPr>
                <w:bCs/>
                <w:szCs w:val="20"/>
              </w:rPr>
            </w:pPr>
            <w:r w:rsidRPr="000D69BC">
              <w:rPr>
                <w:bCs/>
                <w:szCs w:val="20"/>
              </w:rPr>
              <w:t>Sherry Hu, PG&amp;E</w:t>
            </w:r>
          </w:p>
        </w:tc>
      </w:tr>
      <w:tr w:rsidR="00F26097" w:rsidRPr="00D163B7" w:rsidTr="00F26097">
        <w:trPr>
          <w:trHeight w:val="464"/>
        </w:trPr>
        <w:tc>
          <w:tcPr>
            <w:tcW w:w="761" w:type="pct"/>
            <w:shd w:val="clear" w:color="auto" w:fill="F2F2F2" w:themeFill="background1" w:themeFillShade="F2"/>
          </w:tcPr>
          <w:p w:rsidR="00F26097" w:rsidRPr="00F26097" w:rsidRDefault="00F26097" w:rsidP="00F26097">
            <w:r>
              <w:t>Revision 1</w:t>
            </w:r>
          </w:p>
        </w:tc>
        <w:tc>
          <w:tcPr>
            <w:tcW w:w="637" w:type="pct"/>
            <w:shd w:val="clear" w:color="auto" w:fill="F2F2F2" w:themeFill="background1" w:themeFillShade="F2"/>
          </w:tcPr>
          <w:p w:rsidR="00F26097" w:rsidRPr="000D69BC" w:rsidRDefault="00F26097" w:rsidP="005F43C0">
            <w:pPr>
              <w:rPr>
                <w:bCs/>
                <w:szCs w:val="20"/>
              </w:rPr>
            </w:pPr>
            <w:r>
              <w:rPr>
                <w:bCs/>
                <w:szCs w:val="20"/>
              </w:rPr>
              <w:t>10/18/2013</w:t>
            </w:r>
          </w:p>
        </w:tc>
        <w:tc>
          <w:tcPr>
            <w:tcW w:w="2018" w:type="pct"/>
            <w:shd w:val="clear" w:color="auto" w:fill="F2F2F2" w:themeFill="background1" w:themeFillShade="F2"/>
          </w:tcPr>
          <w:p w:rsidR="00F26097" w:rsidRPr="000D69BC" w:rsidRDefault="00F26097" w:rsidP="005F43C0">
            <w:pPr>
              <w:rPr>
                <w:bCs/>
                <w:szCs w:val="20"/>
              </w:rPr>
            </w:pPr>
            <w:r>
              <w:rPr>
                <w:bCs/>
                <w:szCs w:val="20"/>
              </w:rPr>
              <w:t>Added Middle Income Direct Install (MIDI) codes</w:t>
            </w:r>
          </w:p>
        </w:tc>
        <w:tc>
          <w:tcPr>
            <w:tcW w:w="1584" w:type="pct"/>
            <w:shd w:val="clear" w:color="auto" w:fill="F2F2F2" w:themeFill="background1" w:themeFillShade="F2"/>
          </w:tcPr>
          <w:p w:rsidR="00F26097" w:rsidRPr="000D69BC" w:rsidRDefault="00F26097" w:rsidP="005F43C0">
            <w:pPr>
              <w:rPr>
                <w:bCs/>
                <w:szCs w:val="20"/>
              </w:rPr>
            </w:pPr>
            <w:r>
              <w:rPr>
                <w:bCs/>
                <w:szCs w:val="20"/>
              </w:rPr>
              <w:t xml:space="preserve">Mark </w:t>
            </w:r>
            <w:proofErr w:type="spellStart"/>
            <w:r>
              <w:rPr>
                <w:bCs/>
                <w:szCs w:val="20"/>
              </w:rPr>
              <w:t>Tiemens</w:t>
            </w:r>
            <w:proofErr w:type="spellEnd"/>
            <w:r>
              <w:rPr>
                <w:bCs/>
                <w:szCs w:val="20"/>
              </w:rPr>
              <w:t>, PG&amp;E</w:t>
            </w:r>
          </w:p>
        </w:tc>
      </w:tr>
      <w:tr w:rsidR="000D69BC" w:rsidRPr="00D163B7" w:rsidTr="00F26097">
        <w:trPr>
          <w:trHeight w:val="464"/>
        </w:trPr>
        <w:tc>
          <w:tcPr>
            <w:tcW w:w="761" w:type="pct"/>
            <w:shd w:val="clear" w:color="auto" w:fill="BFBFBF" w:themeFill="background1" w:themeFillShade="BF"/>
          </w:tcPr>
          <w:p w:rsidR="000D69BC" w:rsidRPr="005F43C0" w:rsidRDefault="005F43C0" w:rsidP="005F43C0">
            <w:r w:rsidRPr="005F43C0">
              <w:t>Revision</w:t>
            </w:r>
            <w:r w:rsidR="00F26097">
              <w:t xml:space="preserve"> 2</w:t>
            </w:r>
            <w:r w:rsidR="000D69BC" w:rsidRPr="005F43C0">
              <w:t xml:space="preserve"> </w:t>
            </w:r>
          </w:p>
        </w:tc>
        <w:tc>
          <w:tcPr>
            <w:tcW w:w="637" w:type="pct"/>
            <w:shd w:val="clear" w:color="auto" w:fill="BFBFBF" w:themeFill="background1" w:themeFillShade="BF"/>
          </w:tcPr>
          <w:p w:rsidR="000D69BC" w:rsidRPr="005F43C0" w:rsidRDefault="000D69BC" w:rsidP="005F43C0">
            <w:pPr>
              <w:rPr>
                <w:szCs w:val="20"/>
              </w:rPr>
            </w:pPr>
            <w:r w:rsidRPr="005F43C0">
              <w:rPr>
                <w:szCs w:val="20"/>
              </w:rPr>
              <w:t>5/30/2014</w:t>
            </w:r>
          </w:p>
        </w:tc>
        <w:tc>
          <w:tcPr>
            <w:tcW w:w="2018" w:type="pct"/>
            <w:shd w:val="clear" w:color="auto" w:fill="BFBFBF" w:themeFill="background1" w:themeFillShade="BF"/>
          </w:tcPr>
          <w:p w:rsidR="000D69BC" w:rsidRDefault="005F43C0" w:rsidP="005F43C0">
            <w:pPr>
              <w:rPr>
                <w:szCs w:val="20"/>
              </w:rPr>
            </w:pPr>
            <w:r w:rsidRPr="005F43C0">
              <w:rPr>
                <w:szCs w:val="20"/>
              </w:rPr>
              <w:t xml:space="preserve">Revised savings values per ED </w:t>
            </w:r>
            <w:proofErr w:type="spellStart"/>
            <w:r w:rsidRPr="005F43C0">
              <w:rPr>
                <w:szCs w:val="20"/>
              </w:rPr>
              <w:t>workpaper</w:t>
            </w:r>
            <w:proofErr w:type="spellEnd"/>
            <w:r w:rsidRPr="005F43C0">
              <w:rPr>
                <w:szCs w:val="20"/>
              </w:rPr>
              <w:t xml:space="preserve"> Disposition for Lighting Retrofits</w:t>
            </w:r>
            <w:r>
              <w:rPr>
                <w:szCs w:val="20"/>
              </w:rPr>
              <w:t>.</w:t>
            </w:r>
          </w:p>
          <w:p w:rsidR="005F43C0" w:rsidRDefault="005F43C0" w:rsidP="005F43C0">
            <w:pPr>
              <w:rPr>
                <w:szCs w:val="20"/>
              </w:rPr>
            </w:pPr>
          </w:p>
          <w:p w:rsidR="005F43C0" w:rsidRPr="005F43C0" w:rsidRDefault="005F43C0" w:rsidP="005F43C0">
            <w:pPr>
              <w:rPr>
                <w:szCs w:val="20"/>
              </w:rPr>
            </w:pPr>
            <w:r>
              <w:rPr>
                <w:szCs w:val="20"/>
              </w:rPr>
              <w:t>Updated DI measures to vary by building type instead of Res/Com</w:t>
            </w:r>
          </w:p>
        </w:tc>
        <w:tc>
          <w:tcPr>
            <w:tcW w:w="1584" w:type="pct"/>
            <w:shd w:val="clear" w:color="auto" w:fill="BFBFBF" w:themeFill="background1" w:themeFillShade="BF"/>
          </w:tcPr>
          <w:p w:rsidR="000D69BC" w:rsidRPr="005F43C0" w:rsidRDefault="000B560E" w:rsidP="005F43C0">
            <w:pPr>
              <w:rPr>
                <w:bCs/>
                <w:szCs w:val="20"/>
              </w:rPr>
            </w:pPr>
            <w:r>
              <w:rPr>
                <w:bCs/>
                <w:szCs w:val="20"/>
              </w:rPr>
              <w:t xml:space="preserve">Mark </w:t>
            </w:r>
            <w:proofErr w:type="spellStart"/>
            <w:r>
              <w:rPr>
                <w:bCs/>
                <w:szCs w:val="20"/>
              </w:rPr>
              <w:t>Tiemens</w:t>
            </w:r>
            <w:proofErr w:type="spellEnd"/>
            <w:r>
              <w:rPr>
                <w:bCs/>
                <w:szCs w:val="20"/>
              </w:rPr>
              <w:t xml:space="preserve">, </w:t>
            </w:r>
            <w:r w:rsidR="005F43C0" w:rsidRPr="005F43C0">
              <w:rPr>
                <w:bCs/>
                <w:szCs w:val="20"/>
              </w:rPr>
              <w:t>PG&amp;E</w:t>
            </w:r>
          </w:p>
        </w:tc>
      </w:tr>
      <w:tr w:rsidR="00EB2E62" w:rsidRPr="00D163B7" w:rsidTr="00EB2E62">
        <w:trPr>
          <w:trHeight w:val="464"/>
        </w:trPr>
        <w:tc>
          <w:tcPr>
            <w:tcW w:w="761" w:type="pct"/>
            <w:shd w:val="clear" w:color="auto" w:fill="F2F2F2" w:themeFill="background1" w:themeFillShade="F2"/>
          </w:tcPr>
          <w:p w:rsidR="00EB2E62" w:rsidRPr="005F43C0" w:rsidRDefault="00EB2E62" w:rsidP="005F43C0">
            <w:r>
              <w:t>Revision 3</w:t>
            </w:r>
          </w:p>
        </w:tc>
        <w:tc>
          <w:tcPr>
            <w:tcW w:w="637" w:type="pct"/>
            <w:shd w:val="clear" w:color="auto" w:fill="F2F2F2" w:themeFill="background1" w:themeFillShade="F2"/>
          </w:tcPr>
          <w:p w:rsidR="00EB2E62" w:rsidRPr="005F43C0" w:rsidRDefault="00EB2E62" w:rsidP="005F43C0">
            <w:pPr>
              <w:rPr>
                <w:szCs w:val="20"/>
              </w:rPr>
            </w:pPr>
            <w:r>
              <w:rPr>
                <w:szCs w:val="20"/>
              </w:rPr>
              <w:t>10/27/2014</w:t>
            </w:r>
          </w:p>
        </w:tc>
        <w:tc>
          <w:tcPr>
            <w:tcW w:w="2018" w:type="pct"/>
            <w:shd w:val="clear" w:color="auto" w:fill="F2F2F2" w:themeFill="background1" w:themeFillShade="F2"/>
          </w:tcPr>
          <w:p w:rsidR="00EB2E62" w:rsidRPr="005F43C0" w:rsidRDefault="00EB2E62" w:rsidP="005F43C0">
            <w:pPr>
              <w:rPr>
                <w:szCs w:val="20"/>
              </w:rPr>
            </w:pPr>
            <w:r>
              <w:rPr>
                <w:szCs w:val="20"/>
              </w:rPr>
              <w:t xml:space="preserve">Updated </w:t>
            </w:r>
            <w:proofErr w:type="spellStart"/>
            <w:r>
              <w:rPr>
                <w:szCs w:val="20"/>
              </w:rPr>
              <w:t>mis</w:t>
            </w:r>
            <w:proofErr w:type="spellEnd"/>
            <w:r>
              <w:rPr>
                <w:szCs w:val="20"/>
              </w:rPr>
              <w:t>-categorization of measures LC101-LC103, LC73-LC74 and clarified measure descriptions for 0L15, 0L21, and 0L22.  Fixed EUL ID use sub categories in Excel</w:t>
            </w:r>
          </w:p>
        </w:tc>
        <w:tc>
          <w:tcPr>
            <w:tcW w:w="1584" w:type="pct"/>
            <w:shd w:val="clear" w:color="auto" w:fill="F2F2F2" w:themeFill="background1" w:themeFillShade="F2"/>
          </w:tcPr>
          <w:p w:rsidR="00EB2E62" w:rsidRDefault="00EB2E62" w:rsidP="005F43C0">
            <w:pPr>
              <w:rPr>
                <w:bCs/>
                <w:szCs w:val="20"/>
              </w:rPr>
            </w:pPr>
            <w:r>
              <w:rPr>
                <w:bCs/>
                <w:szCs w:val="20"/>
              </w:rPr>
              <w:t xml:space="preserve">Mark </w:t>
            </w:r>
            <w:proofErr w:type="spellStart"/>
            <w:r>
              <w:rPr>
                <w:bCs/>
                <w:szCs w:val="20"/>
              </w:rPr>
              <w:t>Tiemens</w:t>
            </w:r>
            <w:proofErr w:type="spellEnd"/>
            <w:r>
              <w:rPr>
                <w:bCs/>
                <w:szCs w:val="20"/>
              </w:rPr>
              <w:t>, PG&amp;E</w:t>
            </w:r>
          </w:p>
        </w:tc>
      </w:tr>
      <w:tr w:rsidR="00EB2E62" w:rsidRPr="00D163B7" w:rsidTr="00EB2E62">
        <w:trPr>
          <w:trHeight w:val="464"/>
        </w:trPr>
        <w:tc>
          <w:tcPr>
            <w:tcW w:w="761" w:type="pct"/>
            <w:shd w:val="clear" w:color="auto" w:fill="BFBFBF" w:themeFill="background1" w:themeFillShade="BF"/>
          </w:tcPr>
          <w:p w:rsidR="00EB2E62" w:rsidRDefault="00EB2E62" w:rsidP="005F43C0">
            <w:r>
              <w:t>Revision 4</w:t>
            </w:r>
          </w:p>
        </w:tc>
        <w:tc>
          <w:tcPr>
            <w:tcW w:w="637" w:type="pct"/>
            <w:shd w:val="clear" w:color="auto" w:fill="BFBFBF" w:themeFill="background1" w:themeFillShade="BF"/>
          </w:tcPr>
          <w:p w:rsidR="00EB2E62" w:rsidRDefault="00EB2E62" w:rsidP="005F43C0">
            <w:pPr>
              <w:rPr>
                <w:szCs w:val="20"/>
              </w:rPr>
            </w:pPr>
            <w:r>
              <w:rPr>
                <w:szCs w:val="20"/>
              </w:rPr>
              <w:t>1/1/2016</w:t>
            </w:r>
          </w:p>
        </w:tc>
        <w:tc>
          <w:tcPr>
            <w:tcW w:w="2018" w:type="pct"/>
            <w:shd w:val="clear" w:color="auto" w:fill="BFBFBF" w:themeFill="background1" w:themeFillShade="BF"/>
          </w:tcPr>
          <w:p w:rsidR="00EB2E62" w:rsidRDefault="00C12AE2" w:rsidP="00C12AE2">
            <w:pPr>
              <w:rPr>
                <w:szCs w:val="20"/>
              </w:rPr>
            </w:pPr>
            <w:r>
              <w:rPr>
                <w:szCs w:val="20"/>
              </w:rPr>
              <w:t xml:space="preserve">Updated NTG, Annual Hours of Operation, GSIA, EUL, </w:t>
            </w:r>
            <w:r w:rsidR="006B66C7">
              <w:rPr>
                <w:szCs w:val="20"/>
              </w:rPr>
              <w:t xml:space="preserve">CDF, IE, </w:t>
            </w:r>
            <w:r>
              <w:rPr>
                <w:szCs w:val="20"/>
              </w:rPr>
              <w:t xml:space="preserve">and </w:t>
            </w:r>
            <w:r w:rsidR="006B66C7">
              <w:rPr>
                <w:szCs w:val="20"/>
              </w:rPr>
              <w:t xml:space="preserve">base case and </w:t>
            </w:r>
            <w:r>
              <w:rPr>
                <w:szCs w:val="20"/>
              </w:rPr>
              <w:t>measure costs per DEER 2016</w:t>
            </w:r>
            <w:r w:rsidR="007E0228">
              <w:rPr>
                <w:szCs w:val="20"/>
              </w:rPr>
              <w:t>.  Removed all downstream measures.</w:t>
            </w:r>
          </w:p>
        </w:tc>
        <w:tc>
          <w:tcPr>
            <w:tcW w:w="1584" w:type="pct"/>
            <w:shd w:val="clear" w:color="auto" w:fill="BFBFBF" w:themeFill="background1" w:themeFillShade="BF"/>
          </w:tcPr>
          <w:p w:rsidR="00EB2E62" w:rsidRDefault="00EB2E62" w:rsidP="001F1160">
            <w:pPr>
              <w:rPr>
                <w:bCs/>
                <w:szCs w:val="20"/>
              </w:rPr>
            </w:pPr>
            <w:r>
              <w:rPr>
                <w:bCs/>
                <w:szCs w:val="20"/>
              </w:rPr>
              <w:t xml:space="preserve">Linda Wan, PG&amp;E </w:t>
            </w:r>
            <w:r w:rsidR="001F1160">
              <w:rPr>
                <w:bCs/>
                <w:szCs w:val="20"/>
              </w:rPr>
              <w:t>/</w:t>
            </w:r>
            <w:r>
              <w:rPr>
                <w:bCs/>
                <w:szCs w:val="20"/>
              </w:rPr>
              <w:t xml:space="preserve"> Alina </w:t>
            </w:r>
            <w:proofErr w:type="spellStart"/>
            <w:r>
              <w:rPr>
                <w:bCs/>
                <w:szCs w:val="20"/>
              </w:rPr>
              <w:t>Zohra</w:t>
            </w:r>
            <w:r w:rsidR="001B4381">
              <w:rPr>
                <w:bCs/>
                <w:szCs w:val="20"/>
              </w:rPr>
              <w:t>bian</w:t>
            </w:r>
            <w:proofErr w:type="spellEnd"/>
            <w:r w:rsidR="001B4381">
              <w:rPr>
                <w:bCs/>
                <w:szCs w:val="20"/>
              </w:rPr>
              <w:t>, PG&amp;E</w:t>
            </w:r>
            <w:r w:rsidR="001F1160">
              <w:rPr>
                <w:bCs/>
                <w:szCs w:val="20"/>
              </w:rPr>
              <w:t xml:space="preserve"> / Tai Voong, PG&amp;E</w:t>
            </w:r>
          </w:p>
        </w:tc>
      </w:tr>
    </w:tbl>
    <w:p w:rsidR="009168A1" w:rsidRDefault="009168A1" w:rsidP="00E4171D">
      <w:pPr>
        <w:rPr>
          <w:color w:val="FF0000"/>
        </w:rPr>
      </w:pPr>
    </w:p>
    <w:p w:rsidR="00DA190E" w:rsidRDefault="00DA190E" w:rsidP="00DA190E"/>
    <w:p w:rsidR="00DA190E" w:rsidRDefault="00DA190E" w:rsidP="00DA190E"/>
    <w:p w:rsidR="00ED2590" w:rsidRDefault="00DA190E" w:rsidP="00ED2590">
      <w:pPr>
        <w:pStyle w:val="Heading1"/>
      </w:pPr>
      <w:r>
        <w:br w:type="page"/>
      </w:r>
      <w:bookmarkStart w:id="10" w:name="_Toc437875402"/>
      <w:r w:rsidR="00ED2590">
        <w:lastRenderedPageBreak/>
        <w:t>Table of Contents</w:t>
      </w:r>
      <w:bookmarkEnd w:id="10"/>
    </w:p>
    <w:p w:rsidR="007E0228" w:rsidRDefault="00ED2590">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437875400" w:history="1">
        <w:r w:rsidR="007E0228" w:rsidRPr="00515945">
          <w:rPr>
            <w:rStyle w:val="Hyperlink"/>
            <w:noProof/>
          </w:rPr>
          <w:t>At-a-Glance Summary</w:t>
        </w:r>
        <w:r w:rsidR="007E0228">
          <w:rPr>
            <w:noProof/>
            <w:webHidden/>
          </w:rPr>
          <w:tab/>
        </w:r>
        <w:r w:rsidR="007E0228">
          <w:rPr>
            <w:noProof/>
            <w:webHidden/>
          </w:rPr>
          <w:fldChar w:fldCharType="begin"/>
        </w:r>
        <w:r w:rsidR="007E0228">
          <w:rPr>
            <w:noProof/>
            <w:webHidden/>
          </w:rPr>
          <w:instrText xml:space="preserve"> PAGEREF _Toc437875400 \h </w:instrText>
        </w:r>
        <w:r w:rsidR="007E0228">
          <w:rPr>
            <w:noProof/>
            <w:webHidden/>
          </w:rPr>
        </w:r>
        <w:r w:rsidR="007E0228">
          <w:rPr>
            <w:noProof/>
            <w:webHidden/>
          </w:rPr>
          <w:fldChar w:fldCharType="separate"/>
        </w:r>
        <w:r w:rsidR="007E0228">
          <w:rPr>
            <w:noProof/>
            <w:webHidden/>
          </w:rPr>
          <w:t>ii</w:t>
        </w:r>
        <w:r w:rsidR="007E0228">
          <w:rPr>
            <w:noProof/>
            <w:webHidden/>
          </w:rPr>
          <w:fldChar w:fldCharType="end"/>
        </w:r>
      </w:hyperlink>
    </w:p>
    <w:p w:rsidR="007E0228" w:rsidRDefault="00E472F5">
      <w:pPr>
        <w:pStyle w:val="TOC1"/>
        <w:tabs>
          <w:tab w:val="right" w:leader="dot" w:pos="9350"/>
        </w:tabs>
        <w:rPr>
          <w:rFonts w:asciiTheme="minorHAnsi" w:eastAsiaTheme="minorEastAsia" w:hAnsiTheme="minorHAnsi" w:cstheme="minorBidi"/>
          <w:noProof/>
          <w:sz w:val="22"/>
          <w:szCs w:val="22"/>
        </w:rPr>
      </w:pPr>
      <w:hyperlink w:anchor="_Toc437875401" w:history="1">
        <w:r w:rsidR="007E0228" w:rsidRPr="00515945">
          <w:rPr>
            <w:rStyle w:val="Hyperlink"/>
            <w:noProof/>
          </w:rPr>
          <w:t>Document Revision History</w:t>
        </w:r>
        <w:r w:rsidR="007E0228">
          <w:rPr>
            <w:noProof/>
            <w:webHidden/>
          </w:rPr>
          <w:tab/>
        </w:r>
        <w:r w:rsidR="007E0228">
          <w:rPr>
            <w:noProof/>
            <w:webHidden/>
          </w:rPr>
          <w:fldChar w:fldCharType="begin"/>
        </w:r>
        <w:r w:rsidR="007E0228">
          <w:rPr>
            <w:noProof/>
            <w:webHidden/>
          </w:rPr>
          <w:instrText xml:space="preserve"> PAGEREF _Toc437875401 \h </w:instrText>
        </w:r>
        <w:r w:rsidR="007E0228">
          <w:rPr>
            <w:noProof/>
            <w:webHidden/>
          </w:rPr>
        </w:r>
        <w:r w:rsidR="007E0228">
          <w:rPr>
            <w:noProof/>
            <w:webHidden/>
          </w:rPr>
          <w:fldChar w:fldCharType="separate"/>
        </w:r>
        <w:r w:rsidR="007E0228">
          <w:rPr>
            <w:noProof/>
            <w:webHidden/>
          </w:rPr>
          <w:t>iii</w:t>
        </w:r>
        <w:r w:rsidR="007E0228">
          <w:rPr>
            <w:noProof/>
            <w:webHidden/>
          </w:rPr>
          <w:fldChar w:fldCharType="end"/>
        </w:r>
      </w:hyperlink>
    </w:p>
    <w:p w:rsidR="007E0228" w:rsidRDefault="00E472F5">
      <w:pPr>
        <w:pStyle w:val="TOC1"/>
        <w:tabs>
          <w:tab w:val="right" w:leader="dot" w:pos="9350"/>
        </w:tabs>
        <w:rPr>
          <w:rFonts w:asciiTheme="minorHAnsi" w:eastAsiaTheme="minorEastAsia" w:hAnsiTheme="minorHAnsi" w:cstheme="minorBidi"/>
          <w:noProof/>
          <w:sz w:val="22"/>
          <w:szCs w:val="22"/>
        </w:rPr>
      </w:pPr>
      <w:hyperlink w:anchor="_Toc437875402" w:history="1">
        <w:r w:rsidR="007E0228" w:rsidRPr="00515945">
          <w:rPr>
            <w:rStyle w:val="Hyperlink"/>
            <w:noProof/>
          </w:rPr>
          <w:t>Table of Contents</w:t>
        </w:r>
        <w:r w:rsidR="007E0228">
          <w:rPr>
            <w:noProof/>
            <w:webHidden/>
          </w:rPr>
          <w:tab/>
        </w:r>
        <w:r w:rsidR="007E0228">
          <w:rPr>
            <w:noProof/>
            <w:webHidden/>
          </w:rPr>
          <w:fldChar w:fldCharType="begin"/>
        </w:r>
        <w:r w:rsidR="007E0228">
          <w:rPr>
            <w:noProof/>
            <w:webHidden/>
          </w:rPr>
          <w:instrText xml:space="preserve"> PAGEREF _Toc437875402 \h </w:instrText>
        </w:r>
        <w:r w:rsidR="007E0228">
          <w:rPr>
            <w:noProof/>
            <w:webHidden/>
          </w:rPr>
        </w:r>
        <w:r w:rsidR="007E0228">
          <w:rPr>
            <w:noProof/>
            <w:webHidden/>
          </w:rPr>
          <w:fldChar w:fldCharType="separate"/>
        </w:r>
        <w:r w:rsidR="007E0228">
          <w:rPr>
            <w:noProof/>
            <w:webHidden/>
          </w:rPr>
          <w:t>iv</w:t>
        </w:r>
        <w:r w:rsidR="007E0228">
          <w:rPr>
            <w:noProof/>
            <w:webHidden/>
          </w:rPr>
          <w:fldChar w:fldCharType="end"/>
        </w:r>
      </w:hyperlink>
    </w:p>
    <w:p w:rsidR="007E0228" w:rsidRDefault="00E472F5">
      <w:pPr>
        <w:pStyle w:val="TOC1"/>
        <w:tabs>
          <w:tab w:val="right" w:leader="dot" w:pos="9350"/>
        </w:tabs>
        <w:rPr>
          <w:rFonts w:asciiTheme="minorHAnsi" w:eastAsiaTheme="minorEastAsia" w:hAnsiTheme="minorHAnsi" w:cstheme="minorBidi"/>
          <w:noProof/>
          <w:sz w:val="22"/>
          <w:szCs w:val="22"/>
        </w:rPr>
      </w:pPr>
      <w:hyperlink w:anchor="_Toc437875403" w:history="1">
        <w:r w:rsidR="007E0228" w:rsidRPr="00515945">
          <w:rPr>
            <w:rStyle w:val="Hyperlink"/>
            <w:noProof/>
          </w:rPr>
          <w:t>List of Tables</w:t>
        </w:r>
        <w:r w:rsidR="007E0228">
          <w:rPr>
            <w:noProof/>
            <w:webHidden/>
          </w:rPr>
          <w:tab/>
        </w:r>
        <w:r w:rsidR="007E0228">
          <w:rPr>
            <w:noProof/>
            <w:webHidden/>
          </w:rPr>
          <w:fldChar w:fldCharType="begin"/>
        </w:r>
        <w:r w:rsidR="007E0228">
          <w:rPr>
            <w:noProof/>
            <w:webHidden/>
          </w:rPr>
          <w:instrText xml:space="preserve"> PAGEREF _Toc437875403 \h </w:instrText>
        </w:r>
        <w:r w:rsidR="007E0228">
          <w:rPr>
            <w:noProof/>
            <w:webHidden/>
          </w:rPr>
        </w:r>
        <w:r w:rsidR="007E0228">
          <w:rPr>
            <w:noProof/>
            <w:webHidden/>
          </w:rPr>
          <w:fldChar w:fldCharType="separate"/>
        </w:r>
        <w:r w:rsidR="007E0228">
          <w:rPr>
            <w:noProof/>
            <w:webHidden/>
          </w:rPr>
          <w:t>iv</w:t>
        </w:r>
        <w:r w:rsidR="007E0228">
          <w:rPr>
            <w:noProof/>
            <w:webHidden/>
          </w:rPr>
          <w:fldChar w:fldCharType="end"/>
        </w:r>
      </w:hyperlink>
    </w:p>
    <w:p w:rsidR="007E0228" w:rsidRDefault="00E472F5">
      <w:pPr>
        <w:pStyle w:val="TOC1"/>
        <w:tabs>
          <w:tab w:val="right" w:leader="dot" w:pos="9350"/>
        </w:tabs>
        <w:rPr>
          <w:rFonts w:asciiTheme="minorHAnsi" w:eastAsiaTheme="minorEastAsia" w:hAnsiTheme="minorHAnsi" w:cstheme="minorBidi"/>
          <w:noProof/>
          <w:sz w:val="22"/>
          <w:szCs w:val="22"/>
        </w:rPr>
      </w:pPr>
      <w:hyperlink w:anchor="_Toc437875404" w:history="1">
        <w:r w:rsidR="007E0228" w:rsidRPr="00515945">
          <w:rPr>
            <w:rStyle w:val="Hyperlink"/>
            <w:noProof/>
          </w:rPr>
          <w:t>Section 1. General Measure &amp; Baseline Data</w:t>
        </w:r>
        <w:r w:rsidR="007E0228">
          <w:rPr>
            <w:noProof/>
            <w:webHidden/>
          </w:rPr>
          <w:tab/>
        </w:r>
        <w:r w:rsidR="007E0228">
          <w:rPr>
            <w:noProof/>
            <w:webHidden/>
          </w:rPr>
          <w:fldChar w:fldCharType="begin"/>
        </w:r>
        <w:r w:rsidR="007E0228">
          <w:rPr>
            <w:noProof/>
            <w:webHidden/>
          </w:rPr>
          <w:instrText xml:space="preserve"> PAGEREF _Toc437875404 \h </w:instrText>
        </w:r>
        <w:r w:rsidR="007E0228">
          <w:rPr>
            <w:noProof/>
            <w:webHidden/>
          </w:rPr>
        </w:r>
        <w:r w:rsidR="007E0228">
          <w:rPr>
            <w:noProof/>
            <w:webHidden/>
          </w:rPr>
          <w:fldChar w:fldCharType="separate"/>
        </w:r>
        <w:r w:rsidR="007E0228">
          <w:rPr>
            <w:noProof/>
            <w:webHidden/>
          </w:rPr>
          <w:t>1</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05" w:history="1">
        <w:r w:rsidR="007E0228" w:rsidRPr="00515945">
          <w:rPr>
            <w:rStyle w:val="Hyperlink"/>
            <w:noProof/>
          </w:rPr>
          <w:t>1.1 Work Paper Relationship to Core Work Paper</w:t>
        </w:r>
        <w:r w:rsidR="007E0228">
          <w:rPr>
            <w:noProof/>
            <w:webHidden/>
          </w:rPr>
          <w:tab/>
        </w:r>
        <w:r w:rsidR="007E0228">
          <w:rPr>
            <w:noProof/>
            <w:webHidden/>
          </w:rPr>
          <w:fldChar w:fldCharType="begin"/>
        </w:r>
        <w:r w:rsidR="007E0228">
          <w:rPr>
            <w:noProof/>
            <w:webHidden/>
          </w:rPr>
          <w:instrText xml:space="preserve"> PAGEREF _Toc437875405 \h </w:instrText>
        </w:r>
        <w:r w:rsidR="007E0228">
          <w:rPr>
            <w:noProof/>
            <w:webHidden/>
          </w:rPr>
        </w:r>
        <w:r w:rsidR="007E0228">
          <w:rPr>
            <w:noProof/>
            <w:webHidden/>
          </w:rPr>
          <w:fldChar w:fldCharType="separate"/>
        </w:r>
        <w:r w:rsidR="007E0228">
          <w:rPr>
            <w:noProof/>
            <w:webHidden/>
          </w:rPr>
          <w:t>1</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06" w:history="1">
        <w:r w:rsidR="007E0228" w:rsidRPr="00515945">
          <w:rPr>
            <w:rStyle w:val="Hyperlink"/>
            <w:noProof/>
          </w:rPr>
          <w:t>1.2 Product Technical Description</w:t>
        </w:r>
        <w:r w:rsidR="007E0228">
          <w:rPr>
            <w:noProof/>
            <w:webHidden/>
          </w:rPr>
          <w:tab/>
        </w:r>
        <w:r w:rsidR="007E0228">
          <w:rPr>
            <w:noProof/>
            <w:webHidden/>
          </w:rPr>
          <w:fldChar w:fldCharType="begin"/>
        </w:r>
        <w:r w:rsidR="007E0228">
          <w:rPr>
            <w:noProof/>
            <w:webHidden/>
          </w:rPr>
          <w:instrText xml:space="preserve"> PAGEREF _Toc437875406 \h </w:instrText>
        </w:r>
        <w:r w:rsidR="007E0228">
          <w:rPr>
            <w:noProof/>
            <w:webHidden/>
          </w:rPr>
        </w:r>
        <w:r w:rsidR="007E0228">
          <w:rPr>
            <w:noProof/>
            <w:webHidden/>
          </w:rPr>
          <w:fldChar w:fldCharType="separate"/>
        </w:r>
        <w:r w:rsidR="007E0228">
          <w:rPr>
            <w:noProof/>
            <w:webHidden/>
          </w:rPr>
          <w:t>1</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07" w:history="1">
        <w:r w:rsidR="007E0228" w:rsidRPr="00515945">
          <w:rPr>
            <w:rStyle w:val="Hyperlink"/>
            <w:noProof/>
          </w:rPr>
          <w:t>1.3 Measure Application Type</w:t>
        </w:r>
        <w:r w:rsidR="007E0228">
          <w:rPr>
            <w:noProof/>
            <w:webHidden/>
          </w:rPr>
          <w:tab/>
        </w:r>
        <w:r w:rsidR="007E0228">
          <w:rPr>
            <w:noProof/>
            <w:webHidden/>
          </w:rPr>
          <w:fldChar w:fldCharType="begin"/>
        </w:r>
        <w:r w:rsidR="007E0228">
          <w:rPr>
            <w:noProof/>
            <w:webHidden/>
          </w:rPr>
          <w:instrText xml:space="preserve"> PAGEREF _Toc437875407 \h </w:instrText>
        </w:r>
        <w:r w:rsidR="007E0228">
          <w:rPr>
            <w:noProof/>
            <w:webHidden/>
          </w:rPr>
        </w:r>
        <w:r w:rsidR="007E0228">
          <w:rPr>
            <w:noProof/>
            <w:webHidden/>
          </w:rPr>
          <w:fldChar w:fldCharType="separate"/>
        </w:r>
        <w:r w:rsidR="007E0228">
          <w:rPr>
            <w:noProof/>
            <w:webHidden/>
          </w:rPr>
          <w:t>1</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08" w:history="1">
        <w:r w:rsidR="007E0228" w:rsidRPr="00515945">
          <w:rPr>
            <w:rStyle w:val="Hyperlink"/>
            <w:noProof/>
          </w:rPr>
          <w:t>1.4 Product Base Case and Measure Case Data</w:t>
        </w:r>
        <w:r w:rsidR="007E0228">
          <w:rPr>
            <w:noProof/>
            <w:webHidden/>
          </w:rPr>
          <w:tab/>
        </w:r>
        <w:r w:rsidR="007E0228">
          <w:rPr>
            <w:noProof/>
            <w:webHidden/>
          </w:rPr>
          <w:fldChar w:fldCharType="begin"/>
        </w:r>
        <w:r w:rsidR="007E0228">
          <w:rPr>
            <w:noProof/>
            <w:webHidden/>
          </w:rPr>
          <w:instrText xml:space="preserve"> PAGEREF _Toc437875408 \h </w:instrText>
        </w:r>
        <w:r w:rsidR="007E0228">
          <w:rPr>
            <w:noProof/>
            <w:webHidden/>
          </w:rPr>
        </w:r>
        <w:r w:rsidR="007E0228">
          <w:rPr>
            <w:noProof/>
            <w:webHidden/>
          </w:rPr>
          <w:fldChar w:fldCharType="separate"/>
        </w:r>
        <w:r w:rsidR="007E0228">
          <w:rPr>
            <w:noProof/>
            <w:webHidden/>
          </w:rPr>
          <w:t>1</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09" w:history="1">
        <w:r w:rsidR="007E0228" w:rsidRPr="00515945">
          <w:rPr>
            <w:rStyle w:val="Hyperlink"/>
            <w:noProof/>
          </w:rPr>
          <w:t>1.4.1 DEER Base Case and Measure Case Information</w:t>
        </w:r>
        <w:r w:rsidR="007E0228">
          <w:rPr>
            <w:noProof/>
            <w:webHidden/>
          </w:rPr>
          <w:tab/>
        </w:r>
        <w:r w:rsidR="007E0228">
          <w:rPr>
            <w:noProof/>
            <w:webHidden/>
          </w:rPr>
          <w:fldChar w:fldCharType="begin"/>
        </w:r>
        <w:r w:rsidR="007E0228">
          <w:rPr>
            <w:noProof/>
            <w:webHidden/>
          </w:rPr>
          <w:instrText xml:space="preserve"> PAGEREF _Toc437875409 \h </w:instrText>
        </w:r>
        <w:r w:rsidR="007E0228">
          <w:rPr>
            <w:noProof/>
            <w:webHidden/>
          </w:rPr>
        </w:r>
        <w:r w:rsidR="007E0228">
          <w:rPr>
            <w:noProof/>
            <w:webHidden/>
          </w:rPr>
          <w:fldChar w:fldCharType="separate"/>
        </w:r>
        <w:r w:rsidR="007E0228">
          <w:rPr>
            <w:noProof/>
            <w:webHidden/>
          </w:rPr>
          <w:t>1</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10" w:history="1">
        <w:r w:rsidR="007E0228" w:rsidRPr="00515945">
          <w:rPr>
            <w:rStyle w:val="Hyperlink"/>
            <w:noProof/>
          </w:rPr>
          <w:t>1.4.2 Codes &amp; Standards Requirements Base Case and Measure Information</w:t>
        </w:r>
        <w:r w:rsidR="007E0228">
          <w:rPr>
            <w:noProof/>
            <w:webHidden/>
          </w:rPr>
          <w:tab/>
        </w:r>
        <w:r w:rsidR="007E0228">
          <w:rPr>
            <w:noProof/>
            <w:webHidden/>
          </w:rPr>
          <w:fldChar w:fldCharType="begin"/>
        </w:r>
        <w:r w:rsidR="007E0228">
          <w:rPr>
            <w:noProof/>
            <w:webHidden/>
          </w:rPr>
          <w:instrText xml:space="preserve"> PAGEREF _Toc437875410 \h </w:instrText>
        </w:r>
        <w:r w:rsidR="007E0228">
          <w:rPr>
            <w:noProof/>
            <w:webHidden/>
          </w:rPr>
        </w:r>
        <w:r w:rsidR="007E0228">
          <w:rPr>
            <w:noProof/>
            <w:webHidden/>
          </w:rPr>
          <w:fldChar w:fldCharType="separate"/>
        </w:r>
        <w:r w:rsidR="007E0228">
          <w:rPr>
            <w:noProof/>
            <w:webHidden/>
          </w:rPr>
          <w:t>3</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11" w:history="1">
        <w:r w:rsidR="007E0228" w:rsidRPr="00515945">
          <w:rPr>
            <w:rStyle w:val="Hyperlink"/>
            <w:noProof/>
          </w:rPr>
          <w:t>1.4.3 EM&amp;V, Market Potential, and Other Studies – Base Case and Measure Case Information</w:t>
        </w:r>
        <w:r w:rsidR="007E0228">
          <w:rPr>
            <w:noProof/>
            <w:webHidden/>
          </w:rPr>
          <w:tab/>
        </w:r>
        <w:r w:rsidR="007E0228">
          <w:rPr>
            <w:noProof/>
            <w:webHidden/>
          </w:rPr>
          <w:fldChar w:fldCharType="begin"/>
        </w:r>
        <w:r w:rsidR="007E0228">
          <w:rPr>
            <w:noProof/>
            <w:webHidden/>
          </w:rPr>
          <w:instrText xml:space="preserve"> PAGEREF _Toc437875411 \h </w:instrText>
        </w:r>
        <w:r w:rsidR="007E0228">
          <w:rPr>
            <w:noProof/>
            <w:webHidden/>
          </w:rPr>
        </w:r>
        <w:r w:rsidR="007E0228">
          <w:rPr>
            <w:noProof/>
            <w:webHidden/>
          </w:rPr>
          <w:fldChar w:fldCharType="separate"/>
        </w:r>
        <w:r w:rsidR="007E0228">
          <w:rPr>
            <w:noProof/>
            <w:webHidden/>
          </w:rPr>
          <w:t>3</w:t>
        </w:r>
        <w:r w:rsidR="007E0228">
          <w:rPr>
            <w:noProof/>
            <w:webHidden/>
          </w:rPr>
          <w:fldChar w:fldCharType="end"/>
        </w:r>
      </w:hyperlink>
    </w:p>
    <w:p w:rsidR="007E0228" w:rsidRDefault="00E472F5">
      <w:pPr>
        <w:pStyle w:val="TOC1"/>
        <w:tabs>
          <w:tab w:val="right" w:leader="dot" w:pos="9350"/>
        </w:tabs>
        <w:rPr>
          <w:rFonts w:asciiTheme="minorHAnsi" w:eastAsiaTheme="minorEastAsia" w:hAnsiTheme="minorHAnsi" w:cstheme="minorBidi"/>
          <w:noProof/>
          <w:sz w:val="22"/>
          <w:szCs w:val="22"/>
        </w:rPr>
      </w:pPr>
      <w:hyperlink w:anchor="_Toc437875412" w:history="1">
        <w:r w:rsidR="007E0228" w:rsidRPr="00515945">
          <w:rPr>
            <w:rStyle w:val="Hyperlink"/>
            <w:noProof/>
          </w:rPr>
          <w:t>Section 2. Calculation Methodology</w:t>
        </w:r>
        <w:r w:rsidR="007E0228">
          <w:rPr>
            <w:noProof/>
            <w:webHidden/>
          </w:rPr>
          <w:tab/>
        </w:r>
        <w:r w:rsidR="007E0228">
          <w:rPr>
            <w:noProof/>
            <w:webHidden/>
          </w:rPr>
          <w:fldChar w:fldCharType="begin"/>
        </w:r>
        <w:r w:rsidR="007E0228">
          <w:rPr>
            <w:noProof/>
            <w:webHidden/>
          </w:rPr>
          <w:instrText xml:space="preserve"> PAGEREF _Toc437875412 \h </w:instrText>
        </w:r>
        <w:r w:rsidR="007E0228">
          <w:rPr>
            <w:noProof/>
            <w:webHidden/>
          </w:rPr>
        </w:r>
        <w:r w:rsidR="007E0228">
          <w:rPr>
            <w:noProof/>
            <w:webHidden/>
          </w:rPr>
          <w:fldChar w:fldCharType="separate"/>
        </w:r>
        <w:r w:rsidR="007E0228">
          <w:rPr>
            <w:noProof/>
            <w:webHidden/>
          </w:rPr>
          <w:t>4</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13" w:history="1">
        <w:r w:rsidR="007E0228" w:rsidRPr="00515945">
          <w:rPr>
            <w:rStyle w:val="Hyperlink"/>
            <w:noProof/>
          </w:rPr>
          <w:t>2.1 Electric Energy Savings Estimation Methodologies</w:t>
        </w:r>
        <w:r w:rsidR="007E0228">
          <w:rPr>
            <w:noProof/>
            <w:webHidden/>
          </w:rPr>
          <w:tab/>
        </w:r>
        <w:r w:rsidR="007E0228">
          <w:rPr>
            <w:noProof/>
            <w:webHidden/>
          </w:rPr>
          <w:fldChar w:fldCharType="begin"/>
        </w:r>
        <w:r w:rsidR="007E0228">
          <w:rPr>
            <w:noProof/>
            <w:webHidden/>
          </w:rPr>
          <w:instrText xml:space="preserve"> PAGEREF _Toc437875413 \h </w:instrText>
        </w:r>
        <w:r w:rsidR="007E0228">
          <w:rPr>
            <w:noProof/>
            <w:webHidden/>
          </w:rPr>
        </w:r>
        <w:r w:rsidR="007E0228">
          <w:rPr>
            <w:noProof/>
            <w:webHidden/>
          </w:rPr>
          <w:fldChar w:fldCharType="separate"/>
        </w:r>
        <w:r w:rsidR="007E0228">
          <w:rPr>
            <w:noProof/>
            <w:webHidden/>
          </w:rPr>
          <w:t>4</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14" w:history="1">
        <w:r w:rsidR="007E0228" w:rsidRPr="00515945">
          <w:rPr>
            <w:rStyle w:val="Hyperlink"/>
            <w:noProof/>
          </w:rPr>
          <w:t>2.2. Demand Reduction Estimation Methodologies</w:t>
        </w:r>
        <w:r w:rsidR="007E0228">
          <w:rPr>
            <w:noProof/>
            <w:webHidden/>
          </w:rPr>
          <w:tab/>
        </w:r>
        <w:r w:rsidR="007E0228">
          <w:rPr>
            <w:noProof/>
            <w:webHidden/>
          </w:rPr>
          <w:fldChar w:fldCharType="begin"/>
        </w:r>
        <w:r w:rsidR="007E0228">
          <w:rPr>
            <w:noProof/>
            <w:webHidden/>
          </w:rPr>
          <w:instrText xml:space="preserve"> PAGEREF _Toc437875414 \h </w:instrText>
        </w:r>
        <w:r w:rsidR="007E0228">
          <w:rPr>
            <w:noProof/>
            <w:webHidden/>
          </w:rPr>
        </w:r>
        <w:r w:rsidR="007E0228">
          <w:rPr>
            <w:noProof/>
            <w:webHidden/>
          </w:rPr>
          <w:fldChar w:fldCharType="separate"/>
        </w:r>
        <w:r w:rsidR="007E0228">
          <w:rPr>
            <w:noProof/>
            <w:webHidden/>
          </w:rPr>
          <w:t>4</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15" w:history="1">
        <w:r w:rsidR="007E0228" w:rsidRPr="00515945">
          <w:rPr>
            <w:rStyle w:val="Hyperlink"/>
            <w:noProof/>
          </w:rPr>
          <w:t>2.3. Gas Energy Savings Estimation Methodologies</w:t>
        </w:r>
        <w:r w:rsidR="007E0228">
          <w:rPr>
            <w:noProof/>
            <w:webHidden/>
          </w:rPr>
          <w:tab/>
        </w:r>
        <w:r w:rsidR="007E0228">
          <w:rPr>
            <w:noProof/>
            <w:webHidden/>
          </w:rPr>
          <w:fldChar w:fldCharType="begin"/>
        </w:r>
        <w:r w:rsidR="007E0228">
          <w:rPr>
            <w:noProof/>
            <w:webHidden/>
          </w:rPr>
          <w:instrText xml:space="preserve"> PAGEREF _Toc437875415 \h </w:instrText>
        </w:r>
        <w:r w:rsidR="007E0228">
          <w:rPr>
            <w:noProof/>
            <w:webHidden/>
          </w:rPr>
        </w:r>
        <w:r w:rsidR="007E0228">
          <w:rPr>
            <w:noProof/>
            <w:webHidden/>
          </w:rPr>
          <w:fldChar w:fldCharType="separate"/>
        </w:r>
        <w:r w:rsidR="007E0228">
          <w:rPr>
            <w:noProof/>
            <w:webHidden/>
          </w:rPr>
          <w:t>4</w:t>
        </w:r>
        <w:r w:rsidR="007E0228">
          <w:rPr>
            <w:noProof/>
            <w:webHidden/>
          </w:rPr>
          <w:fldChar w:fldCharType="end"/>
        </w:r>
      </w:hyperlink>
    </w:p>
    <w:p w:rsidR="007E0228" w:rsidRDefault="00E472F5">
      <w:pPr>
        <w:pStyle w:val="TOC1"/>
        <w:tabs>
          <w:tab w:val="right" w:leader="dot" w:pos="9350"/>
        </w:tabs>
        <w:rPr>
          <w:rFonts w:asciiTheme="minorHAnsi" w:eastAsiaTheme="minorEastAsia" w:hAnsiTheme="minorHAnsi" w:cstheme="minorBidi"/>
          <w:noProof/>
          <w:sz w:val="22"/>
          <w:szCs w:val="22"/>
        </w:rPr>
      </w:pPr>
      <w:hyperlink w:anchor="_Toc437875416" w:history="1">
        <w:r w:rsidR="007E0228" w:rsidRPr="00515945">
          <w:rPr>
            <w:rStyle w:val="Hyperlink"/>
            <w:noProof/>
          </w:rPr>
          <w:t>Section 3. Load Shapes</w:t>
        </w:r>
        <w:r w:rsidR="007E0228">
          <w:rPr>
            <w:noProof/>
            <w:webHidden/>
          </w:rPr>
          <w:tab/>
        </w:r>
        <w:r w:rsidR="007E0228">
          <w:rPr>
            <w:noProof/>
            <w:webHidden/>
          </w:rPr>
          <w:fldChar w:fldCharType="begin"/>
        </w:r>
        <w:r w:rsidR="007E0228">
          <w:rPr>
            <w:noProof/>
            <w:webHidden/>
          </w:rPr>
          <w:instrText xml:space="preserve"> PAGEREF _Toc437875416 \h </w:instrText>
        </w:r>
        <w:r w:rsidR="007E0228">
          <w:rPr>
            <w:noProof/>
            <w:webHidden/>
          </w:rPr>
        </w:r>
        <w:r w:rsidR="007E0228">
          <w:rPr>
            <w:noProof/>
            <w:webHidden/>
          </w:rPr>
          <w:fldChar w:fldCharType="separate"/>
        </w:r>
        <w:r w:rsidR="007E0228">
          <w:rPr>
            <w:noProof/>
            <w:webHidden/>
          </w:rPr>
          <w:t>5</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17" w:history="1">
        <w:r w:rsidR="007E0228" w:rsidRPr="00515945">
          <w:rPr>
            <w:rStyle w:val="Hyperlink"/>
            <w:noProof/>
          </w:rPr>
          <w:t>3.1 Base Case Load Shapes</w:t>
        </w:r>
        <w:r w:rsidR="007E0228">
          <w:rPr>
            <w:noProof/>
            <w:webHidden/>
          </w:rPr>
          <w:tab/>
        </w:r>
        <w:r w:rsidR="007E0228">
          <w:rPr>
            <w:noProof/>
            <w:webHidden/>
          </w:rPr>
          <w:fldChar w:fldCharType="begin"/>
        </w:r>
        <w:r w:rsidR="007E0228">
          <w:rPr>
            <w:noProof/>
            <w:webHidden/>
          </w:rPr>
          <w:instrText xml:space="preserve"> PAGEREF _Toc437875417 \h </w:instrText>
        </w:r>
        <w:r w:rsidR="007E0228">
          <w:rPr>
            <w:noProof/>
            <w:webHidden/>
          </w:rPr>
        </w:r>
        <w:r w:rsidR="007E0228">
          <w:rPr>
            <w:noProof/>
            <w:webHidden/>
          </w:rPr>
          <w:fldChar w:fldCharType="separate"/>
        </w:r>
        <w:r w:rsidR="007E0228">
          <w:rPr>
            <w:noProof/>
            <w:webHidden/>
          </w:rPr>
          <w:t>5</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18" w:history="1">
        <w:r w:rsidR="007E0228" w:rsidRPr="00515945">
          <w:rPr>
            <w:rStyle w:val="Hyperlink"/>
            <w:noProof/>
          </w:rPr>
          <w:t>3.2 Measure Load Shapes</w:t>
        </w:r>
        <w:r w:rsidR="007E0228">
          <w:rPr>
            <w:noProof/>
            <w:webHidden/>
          </w:rPr>
          <w:tab/>
        </w:r>
        <w:r w:rsidR="007E0228">
          <w:rPr>
            <w:noProof/>
            <w:webHidden/>
          </w:rPr>
          <w:fldChar w:fldCharType="begin"/>
        </w:r>
        <w:r w:rsidR="007E0228">
          <w:rPr>
            <w:noProof/>
            <w:webHidden/>
          </w:rPr>
          <w:instrText xml:space="preserve"> PAGEREF _Toc437875418 \h </w:instrText>
        </w:r>
        <w:r w:rsidR="007E0228">
          <w:rPr>
            <w:noProof/>
            <w:webHidden/>
          </w:rPr>
        </w:r>
        <w:r w:rsidR="007E0228">
          <w:rPr>
            <w:noProof/>
            <w:webHidden/>
          </w:rPr>
          <w:fldChar w:fldCharType="separate"/>
        </w:r>
        <w:r w:rsidR="007E0228">
          <w:rPr>
            <w:noProof/>
            <w:webHidden/>
          </w:rPr>
          <w:t>5</w:t>
        </w:r>
        <w:r w:rsidR="007E0228">
          <w:rPr>
            <w:noProof/>
            <w:webHidden/>
          </w:rPr>
          <w:fldChar w:fldCharType="end"/>
        </w:r>
      </w:hyperlink>
    </w:p>
    <w:p w:rsidR="007E0228" w:rsidRDefault="00E472F5">
      <w:pPr>
        <w:pStyle w:val="TOC1"/>
        <w:tabs>
          <w:tab w:val="right" w:leader="dot" w:pos="9350"/>
        </w:tabs>
        <w:rPr>
          <w:rFonts w:asciiTheme="minorHAnsi" w:eastAsiaTheme="minorEastAsia" w:hAnsiTheme="minorHAnsi" w:cstheme="minorBidi"/>
          <w:noProof/>
          <w:sz w:val="22"/>
          <w:szCs w:val="22"/>
        </w:rPr>
      </w:pPr>
      <w:hyperlink w:anchor="_Toc437875419" w:history="1">
        <w:r w:rsidR="007E0228" w:rsidRPr="00515945">
          <w:rPr>
            <w:rStyle w:val="Hyperlink"/>
            <w:noProof/>
          </w:rPr>
          <w:t>Section 4. Base Case &amp; Measure Costs</w:t>
        </w:r>
        <w:r w:rsidR="007E0228">
          <w:rPr>
            <w:noProof/>
            <w:webHidden/>
          </w:rPr>
          <w:tab/>
        </w:r>
        <w:r w:rsidR="007E0228">
          <w:rPr>
            <w:noProof/>
            <w:webHidden/>
          </w:rPr>
          <w:fldChar w:fldCharType="begin"/>
        </w:r>
        <w:r w:rsidR="007E0228">
          <w:rPr>
            <w:noProof/>
            <w:webHidden/>
          </w:rPr>
          <w:instrText xml:space="preserve"> PAGEREF _Toc437875419 \h </w:instrText>
        </w:r>
        <w:r w:rsidR="007E0228">
          <w:rPr>
            <w:noProof/>
            <w:webHidden/>
          </w:rPr>
        </w:r>
        <w:r w:rsidR="007E0228">
          <w:rPr>
            <w:noProof/>
            <w:webHidden/>
          </w:rPr>
          <w:fldChar w:fldCharType="separate"/>
        </w:r>
        <w:r w:rsidR="007E0228">
          <w:rPr>
            <w:noProof/>
            <w:webHidden/>
          </w:rPr>
          <w:t>6</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20" w:history="1">
        <w:r w:rsidR="007E0228" w:rsidRPr="00515945">
          <w:rPr>
            <w:rStyle w:val="Hyperlink"/>
            <w:noProof/>
          </w:rPr>
          <w:t>4.1 Base Case(s) Costs</w:t>
        </w:r>
        <w:r w:rsidR="007E0228">
          <w:rPr>
            <w:noProof/>
            <w:webHidden/>
          </w:rPr>
          <w:tab/>
        </w:r>
        <w:r w:rsidR="007E0228">
          <w:rPr>
            <w:noProof/>
            <w:webHidden/>
          </w:rPr>
          <w:fldChar w:fldCharType="begin"/>
        </w:r>
        <w:r w:rsidR="007E0228">
          <w:rPr>
            <w:noProof/>
            <w:webHidden/>
          </w:rPr>
          <w:instrText xml:space="preserve"> PAGEREF _Toc437875420 \h </w:instrText>
        </w:r>
        <w:r w:rsidR="007E0228">
          <w:rPr>
            <w:noProof/>
            <w:webHidden/>
          </w:rPr>
        </w:r>
        <w:r w:rsidR="007E0228">
          <w:rPr>
            <w:noProof/>
            <w:webHidden/>
          </w:rPr>
          <w:fldChar w:fldCharType="separate"/>
        </w:r>
        <w:r w:rsidR="007E0228">
          <w:rPr>
            <w:noProof/>
            <w:webHidden/>
          </w:rPr>
          <w:t>6</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21" w:history="1">
        <w:r w:rsidR="007E0228" w:rsidRPr="00515945">
          <w:rPr>
            <w:rStyle w:val="Hyperlink"/>
            <w:noProof/>
          </w:rPr>
          <w:t>4.2 Measure Case Costs</w:t>
        </w:r>
        <w:r w:rsidR="007E0228">
          <w:rPr>
            <w:noProof/>
            <w:webHidden/>
          </w:rPr>
          <w:tab/>
        </w:r>
        <w:r w:rsidR="007E0228">
          <w:rPr>
            <w:noProof/>
            <w:webHidden/>
          </w:rPr>
          <w:fldChar w:fldCharType="begin"/>
        </w:r>
        <w:r w:rsidR="007E0228">
          <w:rPr>
            <w:noProof/>
            <w:webHidden/>
          </w:rPr>
          <w:instrText xml:space="preserve"> PAGEREF _Toc437875421 \h </w:instrText>
        </w:r>
        <w:r w:rsidR="007E0228">
          <w:rPr>
            <w:noProof/>
            <w:webHidden/>
          </w:rPr>
        </w:r>
        <w:r w:rsidR="007E0228">
          <w:rPr>
            <w:noProof/>
            <w:webHidden/>
          </w:rPr>
          <w:fldChar w:fldCharType="separate"/>
        </w:r>
        <w:r w:rsidR="007E0228">
          <w:rPr>
            <w:noProof/>
            <w:webHidden/>
          </w:rPr>
          <w:t>6</w:t>
        </w:r>
        <w:r w:rsidR="007E0228">
          <w:rPr>
            <w:noProof/>
            <w:webHidden/>
          </w:rPr>
          <w:fldChar w:fldCharType="end"/>
        </w:r>
      </w:hyperlink>
    </w:p>
    <w:p w:rsidR="007E0228" w:rsidRDefault="00E472F5">
      <w:pPr>
        <w:pStyle w:val="TOC2"/>
        <w:tabs>
          <w:tab w:val="right" w:leader="dot" w:pos="9350"/>
        </w:tabs>
        <w:rPr>
          <w:rFonts w:asciiTheme="minorHAnsi" w:eastAsiaTheme="minorEastAsia" w:hAnsiTheme="minorHAnsi" w:cstheme="minorBidi"/>
          <w:noProof/>
          <w:sz w:val="22"/>
          <w:szCs w:val="22"/>
        </w:rPr>
      </w:pPr>
      <w:hyperlink w:anchor="_Toc437875422" w:history="1">
        <w:r w:rsidR="007E0228" w:rsidRPr="00515945">
          <w:rPr>
            <w:rStyle w:val="Hyperlink"/>
            <w:noProof/>
          </w:rPr>
          <w:t>4.3 Incremental &amp; Full Measure Costs</w:t>
        </w:r>
        <w:r w:rsidR="007E0228">
          <w:rPr>
            <w:noProof/>
            <w:webHidden/>
          </w:rPr>
          <w:tab/>
        </w:r>
        <w:r w:rsidR="007E0228">
          <w:rPr>
            <w:noProof/>
            <w:webHidden/>
          </w:rPr>
          <w:fldChar w:fldCharType="begin"/>
        </w:r>
        <w:r w:rsidR="007E0228">
          <w:rPr>
            <w:noProof/>
            <w:webHidden/>
          </w:rPr>
          <w:instrText xml:space="preserve"> PAGEREF _Toc437875422 \h </w:instrText>
        </w:r>
        <w:r w:rsidR="007E0228">
          <w:rPr>
            <w:noProof/>
            <w:webHidden/>
          </w:rPr>
        </w:r>
        <w:r w:rsidR="007E0228">
          <w:rPr>
            <w:noProof/>
            <w:webHidden/>
          </w:rPr>
          <w:fldChar w:fldCharType="separate"/>
        </w:r>
        <w:r w:rsidR="007E0228">
          <w:rPr>
            <w:noProof/>
            <w:webHidden/>
          </w:rPr>
          <w:t>6</w:t>
        </w:r>
        <w:r w:rsidR="007E0228">
          <w:rPr>
            <w:noProof/>
            <w:webHidden/>
          </w:rPr>
          <w:fldChar w:fldCharType="end"/>
        </w:r>
      </w:hyperlink>
    </w:p>
    <w:p w:rsidR="007E0228" w:rsidRDefault="00E472F5">
      <w:pPr>
        <w:pStyle w:val="TOC1"/>
        <w:tabs>
          <w:tab w:val="right" w:leader="dot" w:pos="9350"/>
        </w:tabs>
        <w:rPr>
          <w:rFonts w:asciiTheme="minorHAnsi" w:eastAsiaTheme="minorEastAsia" w:hAnsiTheme="minorHAnsi" w:cstheme="minorBidi"/>
          <w:noProof/>
          <w:sz w:val="22"/>
          <w:szCs w:val="22"/>
        </w:rPr>
      </w:pPr>
      <w:hyperlink w:anchor="_Toc437875423" w:history="1">
        <w:r w:rsidR="007E0228" w:rsidRPr="00515945">
          <w:rPr>
            <w:rStyle w:val="Hyperlink"/>
            <w:noProof/>
          </w:rPr>
          <w:t>References</w:t>
        </w:r>
        <w:r w:rsidR="007E0228">
          <w:rPr>
            <w:noProof/>
            <w:webHidden/>
          </w:rPr>
          <w:tab/>
        </w:r>
        <w:r w:rsidR="007E0228">
          <w:rPr>
            <w:noProof/>
            <w:webHidden/>
          </w:rPr>
          <w:fldChar w:fldCharType="begin"/>
        </w:r>
        <w:r w:rsidR="007E0228">
          <w:rPr>
            <w:noProof/>
            <w:webHidden/>
          </w:rPr>
          <w:instrText xml:space="preserve"> PAGEREF _Toc437875423 \h </w:instrText>
        </w:r>
        <w:r w:rsidR="007E0228">
          <w:rPr>
            <w:noProof/>
            <w:webHidden/>
          </w:rPr>
        </w:r>
        <w:r w:rsidR="007E0228">
          <w:rPr>
            <w:noProof/>
            <w:webHidden/>
          </w:rPr>
          <w:fldChar w:fldCharType="separate"/>
        </w:r>
        <w:r w:rsidR="007E0228">
          <w:rPr>
            <w:noProof/>
            <w:webHidden/>
          </w:rPr>
          <w:t>7</w:t>
        </w:r>
        <w:r w:rsidR="007E0228">
          <w:rPr>
            <w:noProof/>
            <w:webHidden/>
          </w:rPr>
          <w:fldChar w:fldCharType="end"/>
        </w:r>
      </w:hyperlink>
    </w:p>
    <w:p w:rsidR="007E0228" w:rsidRDefault="00ED2590" w:rsidP="00ED2590">
      <w:pPr>
        <w:pStyle w:val="Heading1"/>
        <w:rPr>
          <w:noProof/>
        </w:rPr>
      </w:pPr>
      <w:r>
        <w:rPr>
          <w:rFonts w:ascii="Times New Roman" w:hAnsi="Times New Roman" w:cs="Times New Roman"/>
          <w:b w:val="0"/>
          <w:bCs w:val="0"/>
          <w:kern w:val="0"/>
          <w:sz w:val="24"/>
          <w:szCs w:val="24"/>
        </w:rPr>
        <w:fldChar w:fldCharType="end"/>
      </w:r>
      <w:r w:rsidR="00F16334" w:rsidRPr="00F16334">
        <w:t xml:space="preserve"> </w:t>
      </w:r>
      <w:bookmarkStart w:id="11" w:name="_Toc437875403"/>
      <w:r w:rsidR="00F16334">
        <w:t>List of Tables</w:t>
      </w:r>
      <w:bookmarkEnd w:id="11"/>
      <w:r w:rsidR="00F16334">
        <w:rPr>
          <w:rFonts w:ascii="Times New Roman" w:hAnsi="Times New Roman" w:cs="Times New Roman"/>
          <w:b w:val="0"/>
          <w:bCs w:val="0"/>
          <w:kern w:val="0"/>
          <w:sz w:val="24"/>
          <w:szCs w:val="24"/>
        </w:rPr>
        <w:t xml:space="preserve"> </w:t>
      </w:r>
      <w:r w:rsidR="00F16334">
        <w:rPr>
          <w:rFonts w:ascii="Times New Roman" w:hAnsi="Times New Roman" w:cs="Times New Roman"/>
          <w:b w:val="0"/>
          <w:bCs w:val="0"/>
          <w:kern w:val="0"/>
          <w:sz w:val="24"/>
          <w:szCs w:val="24"/>
        </w:rPr>
        <w:fldChar w:fldCharType="begin"/>
      </w:r>
      <w:r w:rsidR="00F16334">
        <w:rPr>
          <w:rFonts w:ascii="Times New Roman" w:hAnsi="Times New Roman" w:cs="Times New Roman"/>
          <w:b w:val="0"/>
          <w:bCs w:val="0"/>
          <w:kern w:val="0"/>
          <w:sz w:val="24"/>
          <w:szCs w:val="24"/>
        </w:rPr>
        <w:instrText xml:space="preserve"> TOC \h \z \c "Table" </w:instrText>
      </w:r>
      <w:r w:rsidR="00F16334">
        <w:rPr>
          <w:rFonts w:ascii="Times New Roman" w:hAnsi="Times New Roman" w:cs="Times New Roman"/>
          <w:b w:val="0"/>
          <w:bCs w:val="0"/>
          <w:kern w:val="0"/>
          <w:sz w:val="24"/>
          <w:szCs w:val="24"/>
        </w:rPr>
        <w:fldChar w:fldCharType="separate"/>
      </w:r>
    </w:p>
    <w:p w:rsidR="007E0228" w:rsidRDefault="00E472F5">
      <w:pPr>
        <w:pStyle w:val="TableofFigures"/>
        <w:tabs>
          <w:tab w:val="right" w:leader="dot" w:pos="9350"/>
        </w:tabs>
        <w:rPr>
          <w:rFonts w:asciiTheme="minorHAnsi" w:eastAsiaTheme="minorEastAsia" w:hAnsiTheme="minorHAnsi" w:cstheme="minorBidi"/>
          <w:noProof/>
          <w:sz w:val="22"/>
          <w:szCs w:val="22"/>
        </w:rPr>
      </w:pPr>
      <w:hyperlink w:anchor="_Toc437875424" w:history="1">
        <w:r w:rsidR="007E0228" w:rsidRPr="00E0659E">
          <w:rPr>
            <w:rStyle w:val="Hyperlink"/>
            <w:rFonts w:cs="Arial"/>
            <w:noProof/>
          </w:rPr>
          <w:t>Table 1 Measure Application Type</w:t>
        </w:r>
        <w:r w:rsidR="007E0228">
          <w:rPr>
            <w:noProof/>
            <w:webHidden/>
          </w:rPr>
          <w:tab/>
        </w:r>
        <w:r w:rsidR="007E0228">
          <w:rPr>
            <w:noProof/>
            <w:webHidden/>
          </w:rPr>
          <w:fldChar w:fldCharType="begin"/>
        </w:r>
        <w:r w:rsidR="007E0228">
          <w:rPr>
            <w:noProof/>
            <w:webHidden/>
          </w:rPr>
          <w:instrText xml:space="preserve"> PAGEREF _Toc437875424 \h </w:instrText>
        </w:r>
        <w:r w:rsidR="007E0228">
          <w:rPr>
            <w:noProof/>
            <w:webHidden/>
          </w:rPr>
        </w:r>
        <w:r w:rsidR="007E0228">
          <w:rPr>
            <w:noProof/>
            <w:webHidden/>
          </w:rPr>
          <w:fldChar w:fldCharType="separate"/>
        </w:r>
        <w:r w:rsidR="007E0228">
          <w:rPr>
            <w:noProof/>
            <w:webHidden/>
          </w:rPr>
          <w:t>1</w:t>
        </w:r>
        <w:r w:rsidR="007E0228">
          <w:rPr>
            <w:noProof/>
            <w:webHidden/>
          </w:rPr>
          <w:fldChar w:fldCharType="end"/>
        </w:r>
      </w:hyperlink>
    </w:p>
    <w:p w:rsidR="007E0228" w:rsidRDefault="00E472F5">
      <w:pPr>
        <w:pStyle w:val="TableofFigures"/>
        <w:tabs>
          <w:tab w:val="right" w:leader="dot" w:pos="9350"/>
        </w:tabs>
        <w:rPr>
          <w:rFonts w:asciiTheme="minorHAnsi" w:eastAsiaTheme="minorEastAsia" w:hAnsiTheme="minorHAnsi" w:cstheme="minorBidi"/>
          <w:noProof/>
          <w:sz w:val="22"/>
          <w:szCs w:val="22"/>
        </w:rPr>
      </w:pPr>
      <w:hyperlink w:anchor="_Toc437875425" w:history="1">
        <w:r w:rsidR="007E0228" w:rsidRPr="00E0659E">
          <w:rPr>
            <w:rStyle w:val="Hyperlink"/>
            <w:noProof/>
          </w:rPr>
          <w:t>Table 2 Installation Rates</w:t>
        </w:r>
        <w:r w:rsidR="007E0228">
          <w:rPr>
            <w:noProof/>
            <w:webHidden/>
          </w:rPr>
          <w:tab/>
        </w:r>
        <w:r w:rsidR="007E0228">
          <w:rPr>
            <w:noProof/>
            <w:webHidden/>
          </w:rPr>
          <w:fldChar w:fldCharType="begin"/>
        </w:r>
        <w:r w:rsidR="007E0228">
          <w:rPr>
            <w:noProof/>
            <w:webHidden/>
          </w:rPr>
          <w:instrText xml:space="preserve"> PAGEREF _Toc437875425 \h </w:instrText>
        </w:r>
        <w:r w:rsidR="007E0228">
          <w:rPr>
            <w:noProof/>
            <w:webHidden/>
          </w:rPr>
        </w:r>
        <w:r w:rsidR="007E0228">
          <w:rPr>
            <w:noProof/>
            <w:webHidden/>
          </w:rPr>
          <w:fldChar w:fldCharType="separate"/>
        </w:r>
        <w:r w:rsidR="007E0228">
          <w:rPr>
            <w:noProof/>
            <w:webHidden/>
          </w:rPr>
          <w:t>2</w:t>
        </w:r>
        <w:r w:rsidR="007E0228">
          <w:rPr>
            <w:noProof/>
            <w:webHidden/>
          </w:rPr>
          <w:fldChar w:fldCharType="end"/>
        </w:r>
      </w:hyperlink>
    </w:p>
    <w:p w:rsidR="007E0228" w:rsidRDefault="00E472F5">
      <w:pPr>
        <w:pStyle w:val="TableofFigures"/>
        <w:tabs>
          <w:tab w:val="right" w:leader="dot" w:pos="9350"/>
        </w:tabs>
        <w:rPr>
          <w:rFonts w:asciiTheme="minorHAnsi" w:eastAsiaTheme="minorEastAsia" w:hAnsiTheme="minorHAnsi" w:cstheme="minorBidi"/>
          <w:noProof/>
          <w:sz w:val="22"/>
          <w:szCs w:val="22"/>
        </w:rPr>
      </w:pPr>
      <w:hyperlink w:anchor="_Toc437875426" w:history="1">
        <w:r w:rsidR="007E0228" w:rsidRPr="00E0659E">
          <w:rPr>
            <w:rStyle w:val="Hyperlink"/>
            <w:noProof/>
          </w:rPr>
          <w:t>Table 3 Effective Useful Life</w:t>
        </w:r>
        <w:r w:rsidR="007E0228">
          <w:rPr>
            <w:noProof/>
            <w:webHidden/>
          </w:rPr>
          <w:tab/>
        </w:r>
        <w:r w:rsidR="007E0228">
          <w:rPr>
            <w:noProof/>
            <w:webHidden/>
          </w:rPr>
          <w:fldChar w:fldCharType="begin"/>
        </w:r>
        <w:r w:rsidR="007E0228">
          <w:rPr>
            <w:noProof/>
            <w:webHidden/>
          </w:rPr>
          <w:instrText xml:space="preserve"> PAGEREF _Toc437875426 \h </w:instrText>
        </w:r>
        <w:r w:rsidR="007E0228">
          <w:rPr>
            <w:noProof/>
            <w:webHidden/>
          </w:rPr>
        </w:r>
        <w:r w:rsidR="007E0228">
          <w:rPr>
            <w:noProof/>
            <w:webHidden/>
          </w:rPr>
          <w:fldChar w:fldCharType="separate"/>
        </w:r>
        <w:r w:rsidR="007E0228">
          <w:rPr>
            <w:noProof/>
            <w:webHidden/>
          </w:rPr>
          <w:t>2</w:t>
        </w:r>
        <w:r w:rsidR="007E0228">
          <w:rPr>
            <w:noProof/>
            <w:webHidden/>
          </w:rPr>
          <w:fldChar w:fldCharType="end"/>
        </w:r>
      </w:hyperlink>
    </w:p>
    <w:p w:rsidR="007E0228" w:rsidRDefault="00E472F5">
      <w:pPr>
        <w:pStyle w:val="TableofFigures"/>
        <w:tabs>
          <w:tab w:val="right" w:leader="dot" w:pos="9350"/>
        </w:tabs>
        <w:rPr>
          <w:rFonts w:asciiTheme="minorHAnsi" w:eastAsiaTheme="minorEastAsia" w:hAnsiTheme="minorHAnsi" w:cstheme="minorBidi"/>
          <w:noProof/>
          <w:sz w:val="22"/>
          <w:szCs w:val="22"/>
        </w:rPr>
      </w:pPr>
      <w:hyperlink w:anchor="_Toc437875427" w:history="1">
        <w:r w:rsidR="007E0228" w:rsidRPr="00E0659E">
          <w:rPr>
            <w:rStyle w:val="Hyperlink"/>
            <w:noProof/>
          </w:rPr>
          <w:t>Table 4 Building Types and Load Shapes</w:t>
        </w:r>
        <w:r w:rsidR="007E0228">
          <w:rPr>
            <w:noProof/>
            <w:webHidden/>
          </w:rPr>
          <w:tab/>
        </w:r>
        <w:r w:rsidR="007E0228">
          <w:rPr>
            <w:noProof/>
            <w:webHidden/>
          </w:rPr>
          <w:fldChar w:fldCharType="begin"/>
        </w:r>
        <w:r w:rsidR="007E0228">
          <w:rPr>
            <w:noProof/>
            <w:webHidden/>
          </w:rPr>
          <w:instrText xml:space="preserve"> PAGEREF _Toc437875427 \h </w:instrText>
        </w:r>
        <w:r w:rsidR="007E0228">
          <w:rPr>
            <w:noProof/>
            <w:webHidden/>
          </w:rPr>
        </w:r>
        <w:r w:rsidR="007E0228">
          <w:rPr>
            <w:noProof/>
            <w:webHidden/>
          </w:rPr>
          <w:fldChar w:fldCharType="separate"/>
        </w:r>
        <w:r w:rsidR="007E0228">
          <w:rPr>
            <w:noProof/>
            <w:webHidden/>
          </w:rPr>
          <w:t>5</w:t>
        </w:r>
        <w:r w:rsidR="007E0228">
          <w:rPr>
            <w:noProof/>
            <w:webHidden/>
          </w:rPr>
          <w:fldChar w:fldCharType="end"/>
        </w:r>
      </w:hyperlink>
    </w:p>
    <w:p w:rsidR="00ED2590" w:rsidRDefault="00F16334" w:rsidP="00ED2590">
      <w:pPr>
        <w:pStyle w:val="Heading1"/>
      </w:pPr>
      <w:r>
        <w:rPr>
          <w:rFonts w:ascii="Times New Roman" w:hAnsi="Times New Roman" w:cs="Times New Roman"/>
          <w:b w:val="0"/>
          <w:bCs w:val="0"/>
          <w:kern w:val="0"/>
          <w:sz w:val="24"/>
          <w:szCs w:val="24"/>
        </w:rPr>
        <w:fldChar w:fldCharType="end"/>
      </w:r>
    </w:p>
    <w:p w:rsidR="00DE356B" w:rsidRDefault="00DE356B" w:rsidP="004A010B">
      <w:pPr>
        <w:pStyle w:val="Heading1"/>
        <w:sectPr w:rsidR="00DE356B" w:rsidSect="00EB2E62">
          <w:footerReference w:type="default" r:id="rId17"/>
          <w:endnotePr>
            <w:numFmt w:val="decimal"/>
          </w:endnotePr>
          <w:pgSz w:w="12240" w:h="15840"/>
          <w:pgMar w:top="1440" w:right="1440" w:bottom="1440" w:left="1440" w:header="720" w:footer="720" w:gutter="0"/>
          <w:pgNumType w:fmt="lowerRoman"/>
          <w:cols w:space="720"/>
          <w:docGrid w:linePitch="360"/>
        </w:sectPr>
      </w:pPr>
    </w:p>
    <w:p w:rsidR="004A010B" w:rsidRPr="00574AAD" w:rsidRDefault="004A010B" w:rsidP="00574AAD">
      <w:pPr>
        <w:pStyle w:val="Heading1"/>
      </w:pPr>
      <w:bookmarkStart w:id="12" w:name="_Toc326835525"/>
      <w:bookmarkStart w:id="13" w:name="_Toc437875404"/>
      <w:proofErr w:type="gramStart"/>
      <w:r w:rsidRPr="00574AAD">
        <w:lastRenderedPageBreak/>
        <w:t>Section 1.</w:t>
      </w:r>
      <w:proofErr w:type="gramEnd"/>
      <w:r w:rsidRPr="00574AAD">
        <w:t xml:space="preserve"> General Measure &amp; Baseline Data</w:t>
      </w:r>
      <w:bookmarkEnd w:id="12"/>
      <w:bookmarkEnd w:id="13"/>
    </w:p>
    <w:p w:rsidR="004A010B" w:rsidRDefault="004A010B" w:rsidP="004A010B">
      <w:pPr>
        <w:pStyle w:val="Heading2"/>
      </w:pPr>
      <w:bookmarkStart w:id="14" w:name="_Toc326835526"/>
      <w:bookmarkStart w:id="15" w:name="_Toc437875405"/>
      <w:r>
        <w:t>1.1 Work Paper Relationship to Core Work Paper</w:t>
      </w:r>
      <w:bookmarkEnd w:id="14"/>
      <w:bookmarkEnd w:id="15"/>
    </w:p>
    <w:p w:rsidR="00BE6E60" w:rsidRDefault="004A010B" w:rsidP="005D5AE8">
      <w:r>
        <w:rPr>
          <w:rFonts w:cs="Arial"/>
          <w:b/>
          <w:i/>
        </w:rPr>
        <w:tab/>
      </w:r>
      <w:r w:rsidRPr="00104559">
        <w:t xml:space="preserve">The measures in this work paper use the same </w:t>
      </w:r>
      <w:r w:rsidR="005255DA">
        <w:t xml:space="preserve">DEER </w:t>
      </w:r>
      <w:r w:rsidR="00F16334">
        <w:t>2016</w:t>
      </w:r>
      <w:r w:rsidR="007A465F">
        <w:t xml:space="preserve"> </w:t>
      </w:r>
      <w:r w:rsidRPr="00104559">
        <w:t xml:space="preserve">calculation methodology as </w:t>
      </w:r>
      <w:r w:rsidR="005C1A53" w:rsidRPr="00104559">
        <w:t>PGECOLTG107</w:t>
      </w:r>
      <w:r w:rsidR="00E776E9">
        <w:t xml:space="preserve">, </w:t>
      </w:r>
      <w:r w:rsidR="00E776E9" w:rsidRPr="00104559">
        <w:t>PGECOLTG</w:t>
      </w:r>
      <w:r w:rsidR="00E776E9">
        <w:t>110&amp;</w:t>
      </w:r>
      <w:r w:rsidR="005C1A53" w:rsidRPr="00104559">
        <w:t xml:space="preserve"> </w:t>
      </w:r>
      <w:r w:rsidRPr="00104559">
        <w:t>PGECOLTG</w:t>
      </w:r>
      <w:r w:rsidR="005C1A53" w:rsidRPr="00104559">
        <w:t>111</w:t>
      </w:r>
      <w:r w:rsidR="00F16334">
        <w:rPr>
          <w:rStyle w:val="EndnoteReference"/>
        </w:rPr>
        <w:endnoteReference w:id="1"/>
      </w:r>
      <w:r w:rsidRPr="00104559">
        <w:t>. The purpose of this short form work paper is to document the differences between these measures and their partner measures in the aforementioned work paper</w:t>
      </w:r>
      <w:r w:rsidR="00CC2FC6" w:rsidRPr="00104559">
        <w:t>s</w:t>
      </w:r>
      <w:r w:rsidRPr="00104559">
        <w:t xml:space="preserve">. </w:t>
      </w:r>
      <w:r w:rsidR="00597552" w:rsidRPr="00104559">
        <w:t>The</w:t>
      </w:r>
      <w:r w:rsidRPr="00104559">
        <w:t xml:space="preserve"> measures in this work paper </w:t>
      </w:r>
      <w:r w:rsidR="009252EF">
        <w:t xml:space="preserve">are the </w:t>
      </w:r>
      <w:r w:rsidR="00597552" w:rsidRPr="00104559">
        <w:t>direct install versions of</w:t>
      </w:r>
      <w:r w:rsidRPr="00104559">
        <w:t xml:space="preserve"> measures in </w:t>
      </w:r>
      <w:r w:rsidR="005C1A53" w:rsidRPr="00104559">
        <w:t>PGECOLTG107</w:t>
      </w:r>
      <w:r w:rsidR="00E776E9">
        <w:t xml:space="preserve">, </w:t>
      </w:r>
      <w:r w:rsidR="00E776E9" w:rsidRPr="00104559">
        <w:t>PGECOLTG</w:t>
      </w:r>
      <w:r w:rsidR="00E776E9">
        <w:t>110&amp;</w:t>
      </w:r>
      <w:r w:rsidR="005C1A53" w:rsidRPr="00104559">
        <w:t xml:space="preserve"> PGECOLTG111</w:t>
      </w:r>
      <w:r w:rsidR="009252EF">
        <w:t>, which are upstream only</w:t>
      </w:r>
      <w:r w:rsidR="00597552" w:rsidRPr="00104559">
        <w:t xml:space="preserve">. </w:t>
      </w:r>
      <w:proofErr w:type="gramStart"/>
      <w:r w:rsidR="00597552" w:rsidRPr="00104559">
        <w:t>While the calculation methodology is the same</w:t>
      </w:r>
      <w:r w:rsidR="007E0228">
        <w:t xml:space="preserve"> as the upstream measures.</w:t>
      </w:r>
      <w:proofErr w:type="gramEnd"/>
      <w:r w:rsidR="007E0228">
        <w:t xml:space="preserve">  The </w:t>
      </w:r>
      <w:r w:rsidR="009252EF">
        <w:t>direct install</w:t>
      </w:r>
      <w:r w:rsidR="00597552" w:rsidRPr="00104559">
        <w:t xml:space="preserve"> measures differ </w:t>
      </w:r>
      <w:r w:rsidRPr="00104559">
        <w:t xml:space="preserve">in </w:t>
      </w:r>
      <w:r w:rsidR="00D74E1A">
        <w:t>Net to Gross</w:t>
      </w:r>
      <w:r w:rsidR="002A68BE">
        <w:t xml:space="preserve"> &amp; I</w:t>
      </w:r>
      <w:r w:rsidR="00FE7C62">
        <w:t xml:space="preserve">nstallation </w:t>
      </w:r>
      <w:r w:rsidR="002A68BE">
        <w:t>S</w:t>
      </w:r>
      <w:r w:rsidR="00FE7C62">
        <w:t xml:space="preserve">ervice </w:t>
      </w:r>
      <w:r w:rsidR="002A68BE">
        <w:t>R</w:t>
      </w:r>
      <w:r w:rsidR="00FE7C62">
        <w:t>ate</w:t>
      </w:r>
      <w:r w:rsidR="002A68BE">
        <w:t xml:space="preserve"> values</w:t>
      </w:r>
      <w:r w:rsidR="009252EF" w:rsidRPr="00104559">
        <w:t xml:space="preserve"> </w:t>
      </w:r>
      <w:r w:rsidRPr="00104559">
        <w:t>and</w:t>
      </w:r>
      <w:r w:rsidR="009252EF">
        <w:t xml:space="preserve"> the direct install measures differ in</w:t>
      </w:r>
      <w:r w:rsidR="00754873">
        <w:t xml:space="preserve"> the</w:t>
      </w:r>
      <w:r w:rsidRPr="00104559">
        <w:t xml:space="preserve"> </w:t>
      </w:r>
      <w:r w:rsidR="00754873">
        <w:t xml:space="preserve">Incremental </w:t>
      </w:r>
      <w:r w:rsidR="009252EF">
        <w:t>M</w:t>
      </w:r>
      <w:r w:rsidR="00754873">
        <w:t xml:space="preserve">easure </w:t>
      </w:r>
      <w:r w:rsidR="009252EF">
        <w:t>C</w:t>
      </w:r>
      <w:r w:rsidR="00754873">
        <w:t>ost calculation</w:t>
      </w:r>
      <w:r w:rsidR="009252EF">
        <w:t>.</w:t>
      </w:r>
    </w:p>
    <w:p w:rsidR="00316BF4" w:rsidRPr="00316BF4" w:rsidRDefault="00316BF4" w:rsidP="00316BF4">
      <w:pPr>
        <w:pStyle w:val="Heading2"/>
      </w:pPr>
      <w:bookmarkStart w:id="16" w:name="_Toc437875406"/>
      <w:r w:rsidRPr="00D705EF">
        <w:t>1.2 Product Technical Description</w:t>
      </w:r>
      <w:bookmarkEnd w:id="16"/>
    </w:p>
    <w:p w:rsidR="00316BF4" w:rsidRDefault="00316BF4" w:rsidP="004A010B">
      <w:r>
        <w:t xml:space="preserve">Refer to </w:t>
      </w:r>
      <w:r w:rsidRPr="00104559">
        <w:t>PGECOLTG107</w:t>
      </w:r>
      <w:r>
        <w:t xml:space="preserve">, </w:t>
      </w:r>
      <w:r w:rsidRPr="00104559">
        <w:t>PGECOLTG</w:t>
      </w:r>
      <w:r>
        <w:t>110</w:t>
      </w:r>
      <w:r w:rsidR="00F16334">
        <w:t xml:space="preserve"> </w:t>
      </w:r>
      <w:r>
        <w:t>&amp;</w:t>
      </w:r>
      <w:r w:rsidRPr="00104559">
        <w:t xml:space="preserve"> PGECOLTG111</w:t>
      </w:r>
      <w:r>
        <w:t xml:space="preserve"> for technical description.</w:t>
      </w:r>
    </w:p>
    <w:p w:rsidR="00316BF4" w:rsidRDefault="00316BF4" w:rsidP="004A010B">
      <w:pPr>
        <w:rPr>
          <w:rFonts w:cs="Arial"/>
          <w:b/>
          <w:i/>
        </w:rPr>
      </w:pPr>
      <w:r>
        <w:t>Several Middle Income Direct Install (MIDI) measures use hours for multi-family interior common areas</w:t>
      </w:r>
      <w:r w:rsidR="00860C29">
        <w:t xml:space="preserve">, which are </w:t>
      </w:r>
      <w:r>
        <w:t>not included in above mentioned core work papers.  These measures are consistent with DEER methodology.</w:t>
      </w:r>
    </w:p>
    <w:p w:rsidR="004A010B" w:rsidRPr="00EE040C" w:rsidRDefault="004A010B" w:rsidP="004A010B">
      <w:pPr>
        <w:pStyle w:val="Heading2"/>
        <w:keepNext w:val="0"/>
      </w:pPr>
      <w:bookmarkStart w:id="17" w:name="_Toc326835527"/>
      <w:bookmarkStart w:id="18" w:name="_Toc437875407"/>
      <w:r w:rsidRPr="007C0721">
        <w:t>1.</w:t>
      </w:r>
      <w:r w:rsidR="00316BF4">
        <w:t>3</w:t>
      </w:r>
      <w:r w:rsidRPr="007C0721">
        <w:t xml:space="preserve"> </w:t>
      </w:r>
      <w:bookmarkEnd w:id="17"/>
      <w:r w:rsidR="00316BF4">
        <w:t>Measure Application Type</w:t>
      </w:r>
      <w:bookmarkEnd w:id="18"/>
    </w:p>
    <w:p w:rsidR="00316BF4" w:rsidRDefault="00316BF4" w:rsidP="00316BF4">
      <w:pPr>
        <w:rPr>
          <w:rFonts w:cs="Arial"/>
          <w:szCs w:val="20"/>
        </w:rPr>
      </w:pPr>
      <w:r>
        <w:rPr>
          <w:rFonts w:cs="Arial"/>
          <w:szCs w:val="20"/>
        </w:rPr>
        <w:t xml:space="preserve">The DEER Measure Cost Data Users Guide found on </w:t>
      </w:r>
      <w:hyperlink r:id="rId18" w:history="1">
        <w:r>
          <w:rPr>
            <w:rStyle w:val="Hyperlink"/>
            <w:rFonts w:cs="Arial"/>
            <w:szCs w:val="20"/>
          </w:rPr>
          <w:t>www.deeresources.com</w:t>
        </w:r>
      </w:hyperlink>
      <w:r>
        <w:rPr>
          <w:rFonts w:cs="Arial"/>
          <w:szCs w:val="20"/>
        </w:rPr>
        <w:t xml:space="preserve"> under </w:t>
      </w:r>
      <w:r>
        <w:rPr>
          <w:rFonts w:cs="Arial"/>
          <w:i/>
          <w:szCs w:val="20"/>
        </w:rPr>
        <w:t>DEER2011 Database Format</w:t>
      </w:r>
      <w:r>
        <w:rPr>
          <w:rFonts w:cs="Arial"/>
          <w:szCs w:val="20"/>
        </w:rPr>
        <w:t xml:space="preserve"> hyperlink, </w:t>
      </w:r>
      <w:r>
        <w:rPr>
          <w:rStyle w:val="breadcrumbs"/>
          <w:color w:val="333333"/>
          <w:szCs w:val="20"/>
          <w:lang w:val="en-GB"/>
        </w:rPr>
        <w:t>DEER2011 for 13-14</w:t>
      </w:r>
      <w:r>
        <w:rPr>
          <w:rFonts w:cs="Arial"/>
          <w:color w:val="333333"/>
          <w:szCs w:val="20"/>
          <w:lang w:val="en-GB"/>
        </w:rPr>
        <w:t>,</w:t>
      </w:r>
      <w:r>
        <w:rPr>
          <w:rFonts w:cs="Arial"/>
          <w:szCs w:val="20"/>
        </w:rPr>
        <w:t xml:space="preserve"> spreadsheet </w:t>
      </w:r>
      <w:r>
        <w:rPr>
          <w:rFonts w:cs="Arial"/>
          <w:i/>
          <w:szCs w:val="20"/>
        </w:rPr>
        <w:t>SPTdata_format-V0.97.xls</w:t>
      </w:r>
      <w:r>
        <w:rPr>
          <w:rFonts w:cs="Arial"/>
          <w:szCs w:val="20"/>
        </w:rPr>
        <w:t>, defines the terms as follows:</w:t>
      </w:r>
    </w:p>
    <w:p w:rsidR="00316BF4" w:rsidRDefault="00316BF4" w:rsidP="00316BF4">
      <w:pPr>
        <w:rPr>
          <w:rFonts w:cs="Arial"/>
          <w:i/>
        </w:rPr>
      </w:pPr>
    </w:p>
    <w:p w:rsidR="00F16334" w:rsidRDefault="00316BF4" w:rsidP="00F16334">
      <w:pPr>
        <w:pStyle w:val="Caption"/>
        <w:keepNext/>
        <w:rPr>
          <w:rFonts w:cs="Arial"/>
        </w:rPr>
      </w:pPr>
      <w:bookmarkStart w:id="19" w:name="_Toc324427642"/>
      <w:bookmarkStart w:id="20" w:name="_Toc383090723"/>
      <w:bookmarkStart w:id="21" w:name="_Toc384115368"/>
      <w:bookmarkStart w:id="22" w:name="_Toc388599820"/>
      <w:bookmarkStart w:id="23" w:name="_Toc437875424"/>
      <w:r>
        <w:rPr>
          <w:rFonts w:cs="Arial"/>
        </w:rPr>
        <w:t xml:space="preserve">Table </w:t>
      </w:r>
      <w:r>
        <w:fldChar w:fldCharType="begin"/>
      </w:r>
      <w:r>
        <w:rPr>
          <w:rFonts w:cs="Arial"/>
        </w:rPr>
        <w:instrText xml:space="preserve"> SEQ Table \* ARABIC </w:instrText>
      </w:r>
      <w:r>
        <w:fldChar w:fldCharType="separate"/>
      </w:r>
      <w:r w:rsidR="00381993">
        <w:rPr>
          <w:rFonts w:cs="Arial"/>
          <w:noProof/>
        </w:rPr>
        <w:t>1</w:t>
      </w:r>
      <w:r>
        <w:fldChar w:fldCharType="end"/>
      </w:r>
      <w:r>
        <w:rPr>
          <w:rFonts w:cs="Arial"/>
          <w:sz w:val="26"/>
          <w:szCs w:val="26"/>
        </w:rPr>
        <w:t xml:space="preserve"> </w:t>
      </w:r>
      <w:bookmarkStart w:id="24" w:name="RANGE!B222"/>
      <w:r>
        <w:rPr>
          <w:rFonts w:cs="Arial"/>
        </w:rPr>
        <w:t>Measure Application Type</w:t>
      </w:r>
      <w:bookmarkEnd w:id="19"/>
      <w:bookmarkEnd w:id="20"/>
      <w:bookmarkEnd w:id="21"/>
      <w:bookmarkEnd w:id="22"/>
      <w:bookmarkEnd w:id="24"/>
      <w:r w:rsidR="00F16334">
        <w:rPr>
          <w:rStyle w:val="EndnoteReference"/>
          <w:rFonts w:cs="Arial"/>
        </w:rPr>
        <w:endnoteReference w:id="2"/>
      </w:r>
      <w:bookmarkEnd w:id="23"/>
    </w:p>
    <w:p w:rsidR="00316BF4" w:rsidRPr="00F16334" w:rsidRDefault="00316BF4" w:rsidP="00F16334">
      <w:pPr>
        <w:pStyle w:val="Caption"/>
        <w:keepNext/>
        <w:rPr>
          <w:rFonts w:cs="Arial"/>
          <w:b w:val="0"/>
        </w:rPr>
      </w:pPr>
      <w:proofErr w:type="gramStart"/>
      <w:r w:rsidRPr="00F16334">
        <w:rPr>
          <w:rFonts w:cs="Arial"/>
          <w:b w:val="0"/>
        </w:rPr>
        <w:t xml:space="preserve">Identifies the measure application type in the Measure </w:t>
      </w:r>
      <w:proofErr w:type="spellStart"/>
      <w:r w:rsidRPr="00F16334">
        <w:rPr>
          <w:rFonts w:cs="Arial"/>
          <w:b w:val="0"/>
        </w:rPr>
        <w:t>Implemenation</w:t>
      </w:r>
      <w:proofErr w:type="spellEnd"/>
      <w:r w:rsidRPr="00F16334">
        <w:rPr>
          <w:rFonts w:cs="Arial"/>
          <w:b w:val="0"/>
        </w:rPr>
        <w:t xml:space="preserve"> table in DEER2011.</w:t>
      </w:r>
      <w:proofErr w:type="gramEnd"/>
    </w:p>
    <w:p w:rsidR="00316BF4" w:rsidRDefault="00316BF4" w:rsidP="00316BF4">
      <w:pPr>
        <w:keepNext/>
        <w:rPr>
          <w:rFonts w:cs="Arial"/>
        </w:rPr>
      </w:pPr>
    </w:p>
    <w:tbl>
      <w:tblPr>
        <w:tblW w:w="9090" w:type="dxa"/>
        <w:tblInd w:w="108" w:type="dxa"/>
        <w:tblLook w:val="04A0" w:firstRow="1" w:lastRow="0" w:firstColumn="1" w:lastColumn="0" w:noHBand="0" w:noVBand="1"/>
      </w:tblPr>
      <w:tblGrid>
        <w:gridCol w:w="900"/>
        <w:gridCol w:w="2610"/>
        <w:gridCol w:w="5580"/>
      </w:tblGrid>
      <w:tr w:rsidR="00316BF4" w:rsidTr="00000F54">
        <w:trPr>
          <w:trHeight w:val="315"/>
        </w:trPr>
        <w:tc>
          <w:tcPr>
            <w:tcW w:w="900" w:type="dxa"/>
            <w:tcBorders>
              <w:top w:val="single" w:sz="4" w:space="0" w:color="auto"/>
              <w:left w:val="single" w:sz="4" w:space="0" w:color="auto"/>
              <w:bottom w:val="single" w:sz="8" w:space="0" w:color="auto"/>
              <w:right w:val="nil"/>
            </w:tcBorders>
            <w:shd w:val="clear" w:color="auto" w:fill="D9D9D9"/>
            <w:noWrap/>
            <w:vAlign w:val="bottom"/>
            <w:hideMark/>
          </w:tcPr>
          <w:p w:rsidR="00316BF4" w:rsidRDefault="00316BF4" w:rsidP="00000F54">
            <w:pPr>
              <w:keepNext/>
              <w:rPr>
                <w:rFonts w:cs="Arial"/>
                <w:b/>
                <w:color w:val="000000"/>
                <w:szCs w:val="22"/>
              </w:rPr>
            </w:pPr>
            <w:r>
              <w:rPr>
                <w:rFonts w:cs="Arial"/>
                <w:b/>
                <w:color w:val="000000"/>
                <w:szCs w:val="22"/>
              </w:rPr>
              <w:t>Code</w:t>
            </w:r>
          </w:p>
        </w:tc>
        <w:tc>
          <w:tcPr>
            <w:tcW w:w="2610" w:type="dxa"/>
            <w:tcBorders>
              <w:top w:val="single" w:sz="4" w:space="0" w:color="auto"/>
              <w:left w:val="nil"/>
              <w:bottom w:val="single" w:sz="8" w:space="0" w:color="auto"/>
              <w:right w:val="nil"/>
            </w:tcBorders>
            <w:shd w:val="clear" w:color="auto" w:fill="D9D9D9"/>
            <w:noWrap/>
            <w:vAlign w:val="bottom"/>
            <w:hideMark/>
          </w:tcPr>
          <w:p w:rsidR="00316BF4" w:rsidRDefault="00316BF4" w:rsidP="00000F54">
            <w:pPr>
              <w:keepNext/>
              <w:rPr>
                <w:rFonts w:cs="Arial"/>
                <w:b/>
                <w:color w:val="000000"/>
                <w:szCs w:val="22"/>
              </w:rPr>
            </w:pPr>
            <w:r>
              <w:rPr>
                <w:rFonts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auto" w:fill="D9D9D9"/>
            <w:noWrap/>
            <w:vAlign w:val="bottom"/>
            <w:hideMark/>
          </w:tcPr>
          <w:p w:rsidR="00316BF4" w:rsidRDefault="00316BF4" w:rsidP="00000F54">
            <w:pPr>
              <w:keepNext/>
              <w:rPr>
                <w:rFonts w:cs="Arial"/>
                <w:b/>
                <w:color w:val="000000"/>
                <w:szCs w:val="22"/>
              </w:rPr>
            </w:pPr>
            <w:r>
              <w:rPr>
                <w:rFonts w:cs="Arial"/>
                <w:b/>
                <w:color w:val="000000"/>
                <w:szCs w:val="22"/>
              </w:rPr>
              <w:t>Comment</w:t>
            </w:r>
          </w:p>
        </w:tc>
      </w:tr>
      <w:tr w:rsidR="00316BF4" w:rsidTr="00000F54">
        <w:trPr>
          <w:trHeight w:val="600"/>
        </w:trPr>
        <w:tc>
          <w:tcPr>
            <w:tcW w:w="900" w:type="dxa"/>
            <w:tcBorders>
              <w:top w:val="nil"/>
              <w:left w:val="single" w:sz="4" w:space="0" w:color="auto"/>
              <w:bottom w:val="nil"/>
              <w:right w:val="nil"/>
            </w:tcBorders>
            <w:noWrap/>
            <w:vAlign w:val="center"/>
            <w:hideMark/>
          </w:tcPr>
          <w:p w:rsidR="00316BF4" w:rsidRDefault="00316BF4" w:rsidP="00000F54">
            <w:pPr>
              <w:keepNext/>
              <w:rPr>
                <w:rFonts w:cs="Arial"/>
                <w:i/>
                <w:szCs w:val="20"/>
              </w:rPr>
            </w:pPr>
            <w:r>
              <w:rPr>
                <w:rFonts w:cs="Arial"/>
                <w:i/>
                <w:szCs w:val="20"/>
              </w:rPr>
              <w:t>ER</w:t>
            </w:r>
          </w:p>
        </w:tc>
        <w:tc>
          <w:tcPr>
            <w:tcW w:w="2610" w:type="dxa"/>
            <w:noWrap/>
            <w:vAlign w:val="center"/>
            <w:hideMark/>
          </w:tcPr>
          <w:p w:rsidR="00316BF4" w:rsidRDefault="00316BF4" w:rsidP="00000F54">
            <w:pPr>
              <w:keepNext/>
              <w:rPr>
                <w:rFonts w:cs="Arial"/>
                <w:i/>
                <w:szCs w:val="20"/>
              </w:rPr>
            </w:pPr>
            <w:r>
              <w:rPr>
                <w:rFonts w:cs="Arial"/>
                <w:i/>
                <w:szCs w:val="20"/>
              </w:rPr>
              <w:t>Early retirement</w:t>
            </w:r>
          </w:p>
        </w:tc>
        <w:tc>
          <w:tcPr>
            <w:tcW w:w="5580" w:type="dxa"/>
            <w:tcBorders>
              <w:top w:val="nil"/>
              <w:left w:val="nil"/>
              <w:bottom w:val="nil"/>
              <w:right w:val="single" w:sz="4" w:space="0" w:color="auto"/>
            </w:tcBorders>
            <w:vAlign w:val="center"/>
            <w:hideMark/>
          </w:tcPr>
          <w:p w:rsidR="00316BF4" w:rsidRDefault="00316BF4" w:rsidP="00000F54">
            <w:pPr>
              <w:keepNext/>
              <w:rPr>
                <w:rFonts w:cs="Arial"/>
                <w:i/>
                <w:szCs w:val="20"/>
              </w:rPr>
            </w:pPr>
            <w:r>
              <w:rPr>
                <w:rFonts w:cs="Arial"/>
                <w:i/>
                <w:szCs w:val="20"/>
              </w:rPr>
              <w:t>measure applied while existing equipment still viable, or retrofit of existing equipment</w:t>
            </w:r>
          </w:p>
        </w:tc>
      </w:tr>
      <w:tr w:rsidR="00316BF4" w:rsidTr="00000F54">
        <w:trPr>
          <w:trHeight w:val="600"/>
        </w:trPr>
        <w:tc>
          <w:tcPr>
            <w:tcW w:w="900" w:type="dxa"/>
            <w:tcBorders>
              <w:top w:val="nil"/>
              <w:left w:val="single" w:sz="4" w:space="0" w:color="auto"/>
              <w:bottom w:val="nil"/>
              <w:right w:val="nil"/>
            </w:tcBorders>
            <w:noWrap/>
            <w:vAlign w:val="center"/>
            <w:hideMark/>
          </w:tcPr>
          <w:p w:rsidR="00316BF4" w:rsidRDefault="00316BF4" w:rsidP="00000F54">
            <w:pPr>
              <w:keepNext/>
              <w:rPr>
                <w:rFonts w:cs="Arial"/>
                <w:i/>
                <w:szCs w:val="20"/>
              </w:rPr>
            </w:pPr>
            <w:r>
              <w:rPr>
                <w:rFonts w:cs="Arial"/>
                <w:i/>
                <w:szCs w:val="20"/>
              </w:rPr>
              <w:t>ROB</w:t>
            </w:r>
          </w:p>
        </w:tc>
        <w:tc>
          <w:tcPr>
            <w:tcW w:w="2610" w:type="dxa"/>
            <w:noWrap/>
            <w:vAlign w:val="center"/>
            <w:hideMark/>
          </w:tcPr>
          <w:p w:rsidR="00316BF4" w:rsidRDefault="00316BF4" w:rsidP="00000F54">
            <w:pPr>
              <w:keepNext/>
              <w:rPr>
                <w:rFonts w:cs="Arial"/>
                <w:i/>
                <w:szCs w:val="20"/>
              </w:rPr>
            </w:pPr>
            <w:r>
              <w:rPr>
                <w:rFonts w:cs="Arial"/>
                <w:i/>
                <w:szCs w:val="20"/>
              </w:rPr>
              <w:t>Replace on Burnout</w:t>
            </w:r>
          </w:p>
        </w:tc>
        <w:tc>
          <w:tcPr>
            <w:tcW w:w="5580" w:type="dxa"/>
            <w:tcBorders>
              <w:top w:val="nil"/>
              <w:left w:val="nil"/>
              <w:bottom w:val="nil"/>
              <w:right w:val="single" w:sz="4" w:space="0" w:color="auto"/>
            </w:tcBorders>
            <w:vAlign w:val="center"/>
            <w:hideMark/>
          </w:tcPr>
          <w:p w:rsidR="00316BF4" w:rsidRDefault="00316BF4" w:rsidP="00000F54">
            <w:pPr>
              <w:keepNext/>
              <w:rPr>
                <w:rFonts w:cs="Arial"/>
                <w:i/>
                <w:szCs w:val="20"/>
              </w:rPr>
            </w:pPr>
            <w:r>
              <w:rPr>
                <w:rFonts w:cs="Arial"/>
                <w:i/>
                <w:szCs w:val="20"/>
              </w:rPr>
              <w:t>measure applied when existing equipment fails or maintenance requires replacement</w:t>
            </w:r>
          </w:p>
        </w:tc>
      </w:tr>
      <w:tr w:rsidR="00316BF4" w:rsidTr="00000F54">
        <w:trPr>
          <w:trHeight w:val="600"/>
        </w:trPr>
        <w:tc>
          <w:tcPr>
            <w:tcW w:w="900" w:type="dxa"/>
            <w:tcBorders>
              <w:top w:val="nil"/>
              <w:left w:val="single" w:sz="4" w:space="0" w:color="auto"/>
              <w:bottom w:val="single" w:sz="4" w:space="0" w:color="auto"/>
              <w:right w:val="nil"/>
            </w:tcBorders>
            <w:noWrap/>
            <w:vAlign w:val="center"/>
            <w:hideMark/>
          </w:tcPr>
          <w:p w:rsidR="00316BF4" w:rsidRDefault="00316BF4" w:rsidP="00000F54">
            <w:pPr>
              <w:rPr>
                <w:rFonts w:cs="Arial"/>
                <w:i/>
                <w:szCs w:val="20"/>
              </w:rPr>
            </w:pPr>
            <w:r>
              <w:rPr>
                <w:rFonts w:cs="Arial"/>
                <w:i/>
                <w:szCs w:val="20"/>
              </w:rPr>
              <w:t>NC</w:t>
            </w:r>
          </w:p>
        </w:tc>
        <w:tc>
          <w:tcPr>
            <w:tcW w:w="2610" w:type="dxa"/>
            <w:tcBorders>
              <w:top w:val="nil"/>
              <w:left w:val="nil"/>
              <w:bottom w:val="single" w:sz="4" w:space="0" w:color="auto"/>
              <w:right w:val="nil"/>
            </w:tcBorders>
            <w:noWrap/>
            <w:vAlign w:val="center"/>
            <w:hideMark/>
          </w:tcPr>
          <w:p w:rsidR="00316BF4" w:rsidRDefault="00316BF4" w:rsidP="00000F54">
            <w:pPr>
              <w:rPr>
                <w:rFonts w:cs="Arial"/>
                <w:i/>
                <w:szCs w:val="20"/>
              </w:rPr>
            </w:pPr>
            <w:r>
              <w:rPr>
                <w:rFonts w:cs="Arial"/>
                <w:i/>
                <w:szCs w:val="20"/>
              </w:rPr>
              <w:t>New Construction</w:t>
            </w:r>
          </w:p>
        </w:tc>
        <w:tc>
          <w:tcPr>
            <w:tcW w:w="5580" w:type="dxa"/>
            <w:tcBorders>
              <w:top w:val="nil"/>
              <w:left w:val="nil"/>
              <w:bottom w:val="single" w:sz="4" w:space="0" w:color="auto"/>
              <w:right w:val="single" w:sz="4" w:space="0" w:color="auto"/>
            </w:tcBorders>
            <w:vAlign w:val="center"/>
            <w:hideMark/>
          </w:tcPr>
          <w:p w:rsidR="00316BF4" w:rsidRDefault="00316BF4" w:rsidP="00000F54">
            <w:pPr>
              <w:rPr>
                <w:rFonts w:cs="Arial"/>
                <w:i/>
                <w:szCs w:val="20"/>
              </w:rPr>
            </w:pPr>
            <w:r>
              <w:rPr>
                <w:rFonts w:cs="Arial"/>
                <w:i/>
                <w:szCs w:val="20"/>
              </w:rPr>
              <w:t>measure applied during construction design phase as an alternative to a code-compliant standard design</w:t>
            </w:r>
          </w:p>
        </w:tc>
      </w:tr>
    </w:tbl>
    <w:p w:rsidR="004A010B" w:rsidRPr="008B03BF" w:rsidRDefault="00316BF4" w:rsidP="004A010B">
      <w:r>
        <w:rPr>
          <w:rFonts w:cs="Arial"/>
          <w:szCs w:val="20"/>
        </w:rPr>
        <w:t xml:space="preserve">All the measures within this </w:t>
      </w:r>
      <w:proofErr w:type="spellStart"/>
      <w:r>
        <w:rPr>
          <w:rFonts w:cs="Arial"/>
          <w:szCs w:val="20"/>
        </w:rPr>
        <w:t>workpaper</w:t>
      </w:r>
      <w:proofErr w:type="spellEnd"/>
      <w:r>
        <w:rPr>
          <w:rFonts w:cs="Arial"/>
          <w:szCs w:val="20"/>
        </w:rPr>
        <w:t xml:space="preserve"> are ROB.</w:t>
      </w:r>
    </w:p>
    <w:p w:rsidR="00316BF4" w:rsidRPr="00D705EF" w:rsidRDefault="00316BF4" w:rsidP="00316BF4">
      <w:pPr>
        <w:pStyle w:val="Heading2"/>
      </w:pPr>
      <w:bookmarkStart w:id="25" w:name="_Toc388599800"/>
      <w:bookmarkStart w:id="26" w:name="_Toc437875408"/>
      <w:bookmarkStart w:id="27" w:name="_Toc326835528"/>
      <w:r w:rsidRPr="00D705EF">
        <w:t>1.4 Product Base Case and Measure Case Data</w:t>
      </w:r>
      <w:bookmarkEnd w:id="25"/>
      <w:bookmarkEnd w:id="26"/>
    </w:p>
    <w:p w:rsidR="004A010B" w:rsidRDefault="00316BF4" w:rsidP="004A010B">
      <w:pPr>
        <w:pStyle w:val="Heading2"/>
      </w:pPr>
      <w:bookmarkStart w:id="28" w:name="_Toc388599801"/>
      <w:bookmarkStart w:id="29" w:name="_Toc437875409"/>
      <w:r w:rsidRPr="00AE5408">
        <w:t>1.4.1</w:t>
      </w:r>
      <w:r w:rsidRPr="0001315F">
        <w:t xml:space="preserve"> DEER </w:t>
      </w:r>
      <w:r w:rsidRPr="009C3DA2">
        <w:t>Base Case and Measure Case Information</w:t>
      </w:r>
      <w:bookmarkEnd w:id="27"/>
      <w:bookmarkEnd w:id="28"/>
      <w:bookmarkEnd w:id="29"/>
    </w:p>
    <w:p w:rsidR="00BE6E60" w:rsidRPr="00BE6E60" w:rsidRDefault="00BE6E60" w:rsidP="00BE6E60">
      <w:r>
        <w:t xml:space="preserve">This </w:t>
      </w:r>
      <w:proofErr w:type="spellStart"/>
      <w:r>
        <w:t>workpaper</w:t>
      </w:r>
      <w:proofErr w:type="spellEnd"/>
      <w:r>
        <w:t xml:space="preserve"> follows the same DEER methodology as </w:t>
      </w:r>
      <w:r w:rsidRPr="00104559">
        <w:t>PGECOLTG107</w:t>
      </w:r>
      <w:r>
        <w:t xml:space="preserve">, </w:t>
      </w:r>
      <w:r w:rsidRPr="00104559">
        <w:t>PGECOLTG</w:t>
      </w:r>
      <w:r>
        <w:t>110&amp;</w:t>
      </w:r>
      <w:r w:rsidRPr="00104559">
        <w:t xml:space="preserve"> PGECOLTG111</w:t>
      </w:r>
      <w:r>
        <w:t>.</w:t>
      </w:r>
    </w:p>
    <w:p w:rsidR="004A010B" w:rsidRDefault="004A010B" w:rsidP="004A010B">
      <w:pPr>
        <w:rPr>
          <w:rFonts w:cs="Arial"/>
          <w:b/>
          <w:i/>
          <w:color w:val="FF0000"/>
          <w:highlight w:val="cyan"/>
        </w:rPr>
      </w:pPr>
    </w:p>
    <w:p w:rsidR="004A010B" w:rsidRPr="008F48E1" w:rsidRDefault="004A010B" w:rsidP="004A010B">
      <w:pPr>
        <w:rPr>
          <w:rFonts w:cs="Arial"/>
          <w:szCs w:val="20"/>
        </w:rPr>
      </w:pPr>
      <w:r w:rsidRPr="008F48E1">
        <w:rPr>
          <w:rFonts w:cs="Arial"/>
          <w:b/>
          <w:szCs w:val="20"/>
        </w:rPr>
        <w:t>Net-to-Gross Assumption:</w:t>
      </w:r>
      <w:r w:rsidRPr="008F48E1">
        <w:rPr>
          <w:rFonts w:cs="Arial"/>
          <w:szCs w:val="20"/>
        </w:rPr>
        <w:t xml:space="preserve"> </w:t>
      </w:r>
    </w:p>
    <w:p w:rsidR="004A010B" w:rsidRDefault="004A010B" w:rsidP="004A010B">
      <w:r w:rsidRPr="00104559">
        <w:t xml:space="preserve">Table 1 below summarizes all applicable DEER based Net-to-Gross ratios for programs that </w:t>
      </w:r>
      <w:r w:rsidR="0067319C">
        <w:t>use</w:t>
      </w:r>
      <w:r w:rsidRPr="00104559">
        <w:t xml:space="preserve"> these measure</w:t>
      </w:r>
      <w:r w:rsidR="0067319C">
        <w:t>s</w:t>
      </w:r>
      <w:r w:rsidRPr="00104559">
        <w:t>.</w:t>
      </w:r>
    </w:p>
    <w:p w:rsidR="006B66C7" w:rsidRDefault="006B66C7" w:rsidP="004A010B"/>
    <w:p w:rsidR="006B66C7" w:rsidRPr="008F48E1" w:rsidRDefault="006B66C7" w:rsidP="004A010B">
      <w:pPr>
        <w:rPr>
          <w:rFonts w:cs="Arial"/>
          <w:szCs w:val="20"/>
        </w:rPr>
      </w:pPr>
    </w:p>
    <w:p w:rsidR="004A010B" w:rsidRDefault="004A010B" w:rsidP="004A010B">
      <w:pPr>
        <w:pStyle w:val="Caption"/>
        <w:keepNext/>
        <w:jc w:val="center"/>
        <w:rPr>
          <w:rFonts w:cs="Arial"/>
        </w:rPr>
      </w:pPr>
    </w:p>
    <w:p w:rsidR="004A010B" w:rsidRPr="008F48E1" w:rsidRDefault="004A010B" w:rsidP="004A010B">
      <w:pPr>
        <w:pStyle w:val="Caption"/>
        <w:keepNext/>
        <w:jc w:val="center"/>
        <w:rPr>
          <w:rFonts w:cs="Arial"/>
        </w:rPr>
      </w:pPr>
      <w:proofErr w:type="gramStart"/>
      <w:r w:rsidRPr="008F48E1">
        <w:rPr>
          <w:rFonts w:cs="Arial"/>
        </w:rPr>
        <w:t xml:space="preserve">Table </w:t>
      </w:r>
      <w:r>
        <w:rPr>
          <w:rFonts w:cs="Arial"/>
        </w:rPr>
        <w:t>1.</w:t>
      </w:r>
      <w:proofErr w:type="gramEnd"/>
      <w:r>
        <w:rPr>
          <w:rFonts w:cs="Arial"/>
        </w:rPr>
        <w:t xml:space="preserve"> </w:t>
      </w:r>
      <w:r w:rsidRPr="008F48E1">
        <w:rPr>
          <w:rFonts w:cs="Arial"/>
        </w:rPr>
        <w:t>Net-to-Gross Ratios</w:t>
      </w:r>
    </w:p>
    <w:tbl>
      <w:tblPr>
        <w:tblStyle w:val="TableGrid1"/>
        <w:tblW w:w="5000" w:type="pct"/>
        <w:tblLayout w:type="fixed"/>
        <w:tblLook w:val="01E0" w:firstRow="1" w:lastRow="1" w:firstColumn="1" w:lastColumn="1" w:noHBand="0" w:noVBand="0"/>
      </w:tblPr>
      <w:tblGrid>
        <w:gridCol w:w="1457"/>
        <w:gridCol w:w="3421"/>
        <w:gridCol w:w="990"/>
        <w:gridCol w:w="1132"/>
        <w:gridCol w:w="1752"/>
        <w:gridCol w:w="824"/>
      </w:tblGrid>
      <w:tr w:rsidR="00000F54" w:rsidRPr="00106B4A" w:rsidTr="00EC768E">
        <w:tc>
          <w:tcPr>
            <w:tcW w:w="761" w:type="pct"/>
            <w:shd w:val="clear" w:color="auto" w:fill="D9D9D9" w:themeFill="background1" w:themeFillShade="D9"/>
            <w:vAlign w:val="center"/>
          </w:tcPr>
          <w:p w:rsidR="00106B4A" w:rsidRPr="00106B4A" w:rsidRDefault="00106B4A" w:rsidP="00000F54">
            <w:pPr>
              <w:jc w:val="center"/>
              <w:rPr>
                <w:rFonts w:cs="Arial"/>
                <w:b/>
                <w:szCs w:val="20"/>
              </w:rPr>
            </w:pPr>
            <w:r w:rsidRPr="00106B4A">
              <w:rPr>
                <w:rFonts w:cs="Arial"/>
                <w:b/>
                <w:szCs w:val="20"/>
              </w:rPr>
              <w:t>NTGR ID</w:t>
            </w:r>
          </w:p>
        </w:tc>
        <w:tc>
          <w:tcPr>
            <w:tcW w:w="1786" w:type="pct"/>
            <w:shd w:val="clear" w:color="auto" w:fill="D9D9D9" w:themeFill="background1" w:themeFillShade="D9"/>
            <w:vAlign w:val="center"/>
          </w:tcPr>
          <w:p w:rsidR="00106B4A" w:rsidRPr="00106B4A" w:rsidRDefault="00106B4A" w:rsidP="00000F54">
            <w:pPr>
              <w:jc w:val="center"/>
              <w:rPr>
                <w:rFonts w:cs="Arial"/>
                <w:b/>
                <w:szCs w:val="20"/>
              </w:rPr>
            </w:pPr>
            <w:r w:rsidRPr="00106B4A">
              <w:rPr>
                <w:rFonts w:cs="Arial"/>
                <w:b/>
                <w:szCs w:val="20"/>
              </w:rPr>
              <w:t>Description</w:t>
            </w:r>
          </w:p>
        </w:tc>
        <w:tc>
          <w:tcPr>
            <w:tcW w:w="517" w:type="pct"/>
            <w:shd w:val="clear" w:color="auto" w:fill="D9D9D9" w:themeFill="background1" w:themeFillShade="D9"/>
            <w:vAlign w:val="center"/>
          </w:tcPr>
          <w:p w:rsidR="00106B4A" w:rsidRPr="00106B4A" w:rsidRDefault="00106B4A" w:rsidP="00000F54">
            <w:pPr>
              <w:jc w:val="center"/>
              <w:rPr>
                <w:rFonts w:cs="Arial"/>
                <w:b/>
                <w:szCs w:val="20"/>
              </w:rPr>
            </w:pPr>
            <w:r w:rsidRPr="00106B4A">
              <w:rPr>
                <w:rFonts w:cs="Arial"/>
                <w:b/>
                <w:szCs w:val="20"/>
              </w:rPr>
              <w:t>Sector</w:t>
            </w:r>
          </w:p>
        </w:tc>
        <w:tc>
          <w:tcPr>
            <w:tcW w:w="591" w:type="pct"/>
            <w:shd w:val="clear" w:color="auto" w:fill="D9D9D9" w:themeFill="background1" w:themeFillShade="D9"/>
            <w:vAlign w:val="center"/>
          </w:tcPr>
          <w:p w:rsidR="00106B4A" w:rsidRPr="00106B4A" w:rsidRDefault="00106B4A" w:rsidP="00000F54">
            <w:pPr>
              <w:jc w:val="center"/>
              <w:rPr>
                <w:rFonts w:cs="Arial"/>
                <w:b/>
                <w:szCs w:val="20"/>
              </w:rPr>
            </w:pPr>
            <w:proofErr w:type="spellStart"/>
            <w:r w:rsidRPr="00106B4A">
              <w:rPr>
                <w:rFonts w:cs="Arial"/>
                <w:b/>
                <w:szCs w:val="20"/>
              </w:rPr>
              <w:t>BldgType</w:t>
            </w:r>
            <w:proofErr w:type="spellEnd"/>
          </w:p>
        </w:tc>
        <w:tc>
          <w:tcPr>
            <w:tcW w:w="915" w:type="pct"/>
            <w:shd w:val="clear" w:color="auto" w:fill="D9D9D9" w:themeFill="background1" w:themeFillShade="D9"/>
            <w:vAlign w:val="center"/>
          </w:tcPr>
          <w:p w:rsidR="00106B4A" w:rsidRPr="00106B4A" w:rsidRDefault="00106B4A" w:rsidP="00000F54">
            <w:pPr>
              <w:jc w:val="center"/>
              <w:rPr>
                <w:rFonts w:cs="Arial"/>
                <w:b/>
                <w:szCs w:val="20"/>
              </w:rPr>
            </w:pPr>
            <w:r w:rsidRPr="00106B4A">
              <w:rPr>
                <w:rFonts w:cs="Arial"/>
                <w:b/>
                <w:szCs w:val="20"/>
              </w:rPr>
              <w:t>Measure Delivery</w:t>
            </w:r>
          </w:p>
        </w:tc>
        <w:tc>
          <w:tcPr>
            <w:tcW w:w="430" w:type="pct"/>
            <w:shd w:val="clear" w:color="auto" w:fill="D9D9D9" w:themeFill="background1" w:themeFillShade="D9"/>
            <w:vAlign w:val="center"/>
          </w:tcPr>
          <w:p w:rsidR="00106B4A" w:rsidRPr="00106B4A" w:rsidRDefault="00106B4A" w:rsidP="00000F54">
            <w:pPr>
              <w:jc w:val="center"/>
              <w:rPr>
                <w:rFonts w:cs="Arial"/>
                <w:b/>
                <w:szCs w:val="20"/>
              </w:rPr>
            </w:pPr>
            <w:r w:rsidRPr="00106B4A">
              <w:rPr>
                <w:rFonts w:cs="Arial"/>
                <w:b/>
                <w:szCs w:val="20"/>
              </w:rPr>
              <w:t>NTGR</w:t>
            </w:r>
          </w:p>
        </w:tc>
      </w:tr>
      <w:tr w:rsidR="00106B4A" w:rsidRPr="00106B4A" w:rsidTr="00EC768E">
        <w:tc>
          <w:tcPr>
            <w:tcW w:w="761" w:type="pct"/>
            <w:vAlign w:val="center"/>
          </w:tcPr>
          <w:p w:rsidR="00106B4A" w:rsidRPr="00000F54" w:rsidRDefault="00106B4A" w:rsidP="00000F54">
            <w:pPr>
              <w:jc w:val="center"/>
              <w:rPr>
                <w:rFonts w:cs="Arial"/>
                <w:szCs w:val="20"/>
              </w:rPr>
            </w:pPr>
            <w:r w:rsidRPr="00000F54">
              <w:rPr>
                <w:rFonts w:cs="Arial"/>
                <w:szCs w:val="20"/>
              </w:rPr>
              <w:t>Res-Default&gt;2</w:t>
            </w:r>
          </w:p>
        </w:tc>
        <w:tc>
          <w:tcPr>
            <w:tcW w:w="1786" w:type="pct"/>
            <w:vAlign w:val="center"/>
          </w:tcPr>
          <w:p w:rsidR="00106B4A" w:rsidRPr="00000F54" w:rsidRDefault="00106B4A" w:rsidP="00000F54">
            <w:pPr>
              <w:jc w:val="center"/>
              <w:rPr>
                <w:rFonts w:cs="Arial"/>
                <w:szCs w:val="20"/>
              </w:rPr>
            </w:pPr>
            <w:r w:rsidRPr="00000F54">
              <w:rPr>
                <w:rFonts w:cs="Arial"/>
                <w:szCs w:val="20"/>
              </w:rPr>
              <w:t>All other EEM with no evaluated NTGR; existing EEM with same delivery mechanism for more than 2 years</w:t>
            </w:r>
          </w:p>
        </w:tc>
        <w:tc>
          <w:tcPr>
            <w:tcW w:w="517" w:type="pct"/>
            <w:vAlign w:val="center"/>
          </w:tcPr>
          <w:p w:rsidR="00106B4A" w:rsidRPr="00000F54" w:rsidRDefault="00106B4A" w:rsidP="00000F54">
            <w:pPr>
              <w:jc w:val="center"/>
              <w:rPr>
                <w:rFonts w:cs="Arial"/>
                <w:szCs w:val="20"/>
              </w:rPr>
            </w:pPr>
            <w:r w:rsidRPr="00000F54">
              <w:rPr>
                <w:rFonts w:cs="Arial"/>
                <w:szCs w:val="20"/>
              </w:rPr>
              <w:t>Res</w:t>
            </w:r>
          </w:p>
        </w:tc>
        <w:tc>
          <w:tcPr>
            <w:tcW w:w="591" w:type="pct"/>
            <w:vAlign w:val="center"/>
          </w:tcPr>
          <w:p w:rsidR="00106B4A" w:rsidRPr="00000F54" w:rsidRDefault="00106B4A" w:rsidP="00000F54">
            <w:pPr>
              <w:jc w:val="center"/>
              <w:rPr>
                <w:rFonts w:cs="Arial"/>
                <w:szCs w:val="20"/>
              </w:rPr>
            </w:pPr>
            <w:r w:rsidRPr="00000F54">
              <w:rPr>
                <w:rFonts w:cs="Arial"/>
                <w:szCs w:val="20"/>
              </w:rPr>
              <w:t>Any</w:t>
            </w:r>
          </w:p>
        </w:tc>
        <w:tc>
          <w:tcPr>
            <w:tcW w:w="915" w:type="pct"/>
            <w:vAlign w:val="center"/>
          </w:tcPr>
          <w:p w:rsidR="00106B4A" w:rsidRPr="00000F54" w:rsidRDefault="00000F54" w:rsidP="00000F54">
            <w:pPr>
              <w:jc w:val="center"/>
              <w:rPr>
                <w:rFonts w:cs="Arial"/>
                <w:szCs w:val="20"/>
              </w:rPr>
            </w:pPr>
            <w:r w:rsidRPr="00000F54">
              <w:rPr>
                <w:rFonts w:cs="Arial"/>
                <w:szCs w:val="20"/>
              </w:rPr>
              <w:t>Any</w:t>
            </w:r>
          </w:p>
        </w:tc>
        <w:tc>
          <w:tcPr>
            <w:tcW w:w="430" w:type="pct"/>
            <w:vAlign w:val="center"/>
          </w:tcPr>
          <w:p w:rsidR="00106B4A" w:rsidRPr="00000F54" w:rsidRDefault="00000F54" w:rsidP="00000F54">
            <w:pPr>
              <w:jc w:val="center"/>
              <w:rPr>
                <w:rFonts w:cs="Arial"/>
                <w:szCs w:val="20"/>
              </w:rPr>
            </w:pPr>
            <w:r w:rsidRPr="00000F54">
              <w:rPr>
                <w:rFonts w:cs="Arial"/>
                <w:szCs w:val="20"/>
              </w:rPr>
              <w:t>0.55</w:t>
            </w:r>
          </w:p>
        </w:tc>
      </w:tr>
      <w:tr w:rsidR="00EC768E" w:rsidRPr="00106B4A" w:rsidTr="00EC768E">
        <w:tc>
          <w:tcPr>
            <w:tcW w:w="761" w:type="pct"/>
            <w:vAlign w:val="center"/>
          </w:tcPr>
          <w:p w:rsidR="00EC768E" w:rsidRPr="00000F54" w:rsidRDefault="00EC768E" w:rsidP="00000F54">
            <w:pPr>
              <w:jc w:val="center"/>
              <w:rPr>
                <w:rFonts w:cs="Arial"/>
                <w:szCs w:val="20"/>
              </w:rPr>
            </w:pPr>
            <w:proofErr w:type="spellStart"/>
            <w:r w:rsidRPr="00EC768E">
              <w:rPr>
                <w:rFonts w:cs="Arial"/>
                <w:szCs w:val="20"/>
              </w:rPr>
              <w:t>NonRes</w:t>
            </w:r>
            <w:proofErr w:type="spellEnd"/>
            <w:r w:rsidRPr="00EC768E">
              <w:rPr>
                <w:rFonts w:cs="Arial"/>
                <w:szCs w:val="20"/>
              </w:rPr>
              <w:t>-</w:t>
            </w:r>
            <w:proofErr w:type="spellStart"/>
            <w:r w:rsidRPr="00EC768E">
              <w:rPr>
                <w:rFonts w:cs="Arial"/>
                <w:szCs w:val="20"/>
              </w:rPr>
              <w:t>sAll</w:t>
            </w:r>
            <w:proofErr w:type="spellEnd"/>
            <w:r w:rsidRPr="00EC768E">
              <w:rPr>
                <w:rFonts w:cs="Arial"/>
                <w:szCs w:val="20"/>
              </w:rPr>
              <w:t>-</w:t>
            </w:r>
            <w:proofErr w:type="spellStart"/>
            <w:r w:rsidRPr="00EC768E">
              <w:rPr>
                <w:rFonts w:cs="Arial"/>
                <w:szCs w:val="20"/>
              </w:rPr>
              <w:t>mCFL</w:t>
            </w:r>
            <w:proofErr w:type="spellEnd"/>
            <w:r w:rsidRPr="00EC768E">
              <w:rPr>
                <w:rFonts w:cs="Arial"/>
                <w:szCs w:val="20"/>
              </w:rPr>
              <w:t>-All</w:t>
            </w:r>
          </w:p>
        </w:tc>
        <w:tc>
          <w:tcPr>
            <w:tcW w:w="1786" w:type="pct"/>
            <w:vAlign w:val="center"/>
          </w:tcPr>
          <w:p w:rsidR="00EC768E" w:rsidRPr="00000F54" w:rsidRDefault="00EC768E" w:rsidP="00000F54">
            <w:pPr>
              <w:jc w:val="center"/>
              <w:rPr>
                <w:rFonts w:cs="Arial"/>
                <w:szCs w:val="20"/>
              </w:rPr>
            </w:pPr>
            <w:r w:rsidRPr="00EC768E">
              <w:rPr>
                <w:rFonts w:cs="Arial"/>
                <w:szCs w:val="20"/>
              </w:rPr>
              <w:t>Nonresidential CFLs: deemed; all delivery mechanisms</w:t>
            </w:r>
          </w:p>
        </w:tc>
        <w:tc>
          <w:tcPr>
            <w:tcW w:w="517" w:type="pct"/>
            <w:vAlign w:val="center"/>
          </w:tcPr>
          <w:p w:rsidR="00EC768E" w:rsidRPr="00000F54" w:rsidRDefault="00EC768E" w:rsidP="00000F54">
            <w:pPr>
              <w:jc w:val="center"/>
              <w:rPr>
                <w:rFonts w:cs="Arial"/>
                <w:szCs w:val="20"/>
              </w:rPr>
            </w:pPr>
            <w:proofErr w:type="spellStart"/>
            <w:r>
              <w:rPr>
                <w:rFonts w:cs="Arial"/>
                <w:szCs w:val="20"/>
              </w:rPr>
              <w:t>NonRes</w:t>
            </w:r>
            <w:proofErr w:type="spellEnd"/>
          </w:p>
        </w:tc>
        <w:tc>
          <w:tcPr>
            <w:tcW w:w="591" w:type="pct"/>
            <w:vAlign w:val="center"/>
          </w:tcPr>
          <w:p w:rsidR="00EC768E" w:rsidRPr="00000F54" w:rsidRDefault="00776920" w:rsidP="00000F54">
            <w:pPr>
              <w:jc w:val="center"/>
              <w:rPr>
                <w:rFonts w:cs="Arial"/>
                <w:szCs w:val="20"/>
              </w:rPr>
            </w:pPr>
            <w:r>
              <w:rPr>
                <w:rFonts w:cs="Arial"/>
                <w:szCs w:val="20"/>
              </w:rPr>
              <w:t>Any</w:t>
            </w:r>
          </w:p>
        </w:tc>
        <w:tc>
          <w:tcPr>
            <w:tcW w:w="915" w:type="pct"/>
            <w:vAlign w:val="center"/>
          </w:tcPr>
          <w:p w:rsidR="00EC768E" w:rsidRPr="00000F54" w:rsidRDefault="00776920" w:rsidP="00385776">
            <w:pPr>
              <w:jc w:val="center"/>
              <w:rPr>
                <w:rFonts w:cs="Arial"/>
                <w:szCs w:val="20"/>
              </w:rPr>
            </w:pPr>
            <w:proofErr w:type="spellStart"/>
            <w:r>
              <w:rPr>
                <w:rFonts w:cs="Arial"/>
                <w:szCs w:val="20"/>
              </w:rPr>
              <w:t>NonUp</w:t>
            </w:r>
            <w:r w:rsidR="00385776">
              <w:rPr>
                <w:rFonts w:cs="Arial"/>
                <w:szCs w:val="20"/>
              </w:rPr>
              <w:t>Strm</w:t>
            </w:r>
            <w:proofErr w:type="spellEnd"/>
          </w:p>
        </w:tc>
        <w:tc>
          <w:tcPr>
            <w:tcW w:w="430" w:type="pct"/>
            <w:vAlign w:val="center"/>
          </w:tcPr>
          <w:p w:rsidR="00EC768E" w:rsidRPr="00000F54" w:rsidRDefault="00776920" w:rsidP="00000F54">
            <w:pPr>
              <w:jc w:val="center"/>
              <w:rPr>
                <w:rFonts w:cs="Arial"/>
                <w:szCs w:val="20"/>
              </w:rPr>
            </w:pPr>
            <w:r>
              <w:rPr>
                <w:rFonts w:cs="Arial"/>
                <w:szCs w:val="20"/>
              </w:rPr>
              <w:t>0.6</w:t>
            </w:r>
          </w:p>
        </w:tc>
      </w:tr>
    </w:tbl>
    <w:p w:rsidR="00000F54" w:rsidRPr="00BC5277" w:rsidRDefault="00000F54" w:rsidP="0017474B">
      <w:pPr>
        <w:ind w:left="360"/>
        <w:rPr>
          <w:rFonts w:cs="Arial"/>
          <w:szCs w:val="20"/>
        </w:rPr>
      </w:pPr>
    </w:p>
    <w:p w:rsidR="00000F54" w:rsidRPr="00000F54" w:rsidRDefault="00000F54" w:rsidP="00000F54">
      <w:pPr>
        <w:spacing w:before="40" w:after="40"/>
        <w:rPr>
          <w:rFonts w:cs="Arial"/>
          <w:b/>
          <w:szCs w:val="20"/>
        </w:rPr>
      </w:pPr>
      <w:r w:rsidRPr="00000F54">
        <w:rPr>
          <w:rFonts w:cs="Arial"/>
          <w:b/>
          <w:szCs w:val="20"/>
        </w:rPr>
        <w:t>Hours of Operation</w:t>
      </w:r>
    </w:p>
    <w:p w:rsidR="00000F54" w:rsidRDefault="00000F54" w:rsidP="00986441">
      <w:pPr>
        <w:spacing w:before="40" w:after="40"/>
        <w:rPr>
          <w:rFonts w:cs="Arial"/>
        </w:rPr>
      </w:pPr>
      <w:r>
        <w:rPr>
          <w:rFonts w:cs="Arial"/>
          <w:szCs w:val="20"/>
        </w:rPr>
        <w:t>As described in the 2015 Uncertain Measures Update</w:t>
      </w:r>
      <w:r w:rsidR="00F16334">
        <w:rPr>
          <w:rStyle w:val="EndnoteReference"/>
          <w:rFonts w:cs="Arial"/>
          <w:szCs w:val="20"/>
        </w:rPr>
        <w:endnoteReference w:id="3"/>
      </w:r>
      <w:r>
        <w:rPr>
          <w:rFonts w:cs="Arial"/>
          <w:szCs w:val="20"/>
        </w:rPr>
        <w:t xml:space="preserve"> and the Lighting Disposition from December 2014</w:t>
      </w:r>
      <w:r w:rsidR="00F16334">
        <w:rPr>
          <w:rStyle w:val="EndnoteReference"/>
          <w:rFonts w:cs="Arial"/>
          <w:szCs w:val="20"/>
        </w:rPr>
        <w:endnoteReference w:id="4"/>
      </w:r>
      <w:r>
        <w:rPr>
          <w:rFonts w:cs="Arial"/>
          <w:szCs w:val="20"/>
        </w:rPr>
        <w:t xml:space="preserve">, the annual hours of operation for CFLs and CDF depend on the building type and area.  </w:t>
      </w:r>
      <w:r w:rsidR="00986441">
        <w:rPr>
          <w:rFonts w:cs="Arial"/>
          <w:szCs w:val="20"/>
        </w:rPr>
        <w:t>Please refer to the Excel calculation workbook for more information</w:t>
      </w:r>
      <w:bookmarkStart w:id="30" w:name="_Ref434850993"/>
      <w:r w:rsidR="00F16334">
        <w:rPr>
          <w:rStyle w:val="EndnoteReference"/>
          <w:rFonts w:cs="Arial"/>
          <w:szCs w:val="20"/>
        </w:rPr>
        <w:endnoteReference w:id="5"/>
      </w:r>
      <w:bookmarkEnd w:id="30"/>
      <w:r w:rsidR="00986441">
        <w:rPr>
          <w:rFonts w:cs="Arial"/>
          <w:szCs w:val="20"/>
        </w:rPr>
        <w:t>.</w:t>
      </w:r>
    </w:p>
    <w:p w:rsidR="00000F54" w:rsidRPr="00000F54" w:rsidRDefault="00000F54" w:rsidP="00000F54">
      <w:pPr>
        <w:spacing w:before="40" w:after="40"/>
        <w:rPr>
          <w:rFonts w:cs="Arial"/>
          <w:szCs w:val="20"/>
        </w:rPr>
      </w:pPr>
    </w:p>
    <w:p w:rsidR="00000F54" w:rsidRPr="00000F54" w:rsidRDefault="00000F54" w:rsidP="00000F54">
      <w:pPr>
        <w:spacing w:before="40" w:after="40"/>
        <w:rPr>
          <w:rFonts w:cs="Arial"/>
          <w:szCs w:val="20"/>
        </w:rPr>
      </w:pPr>
      <w:r w:rsidRPr="00000F54">
        <w:rPr>
          <w:rFonts w:cs="Arial"/>
          <w:b/>
          <w:szCs w:val="20"/>
        </w:rPr>
        <w:t>Spillage Rate</w:t>
      </w:r>
    </w:p>
    <w:p w:rsidR="00000F54" w:rsidRPr="00000F54" w:rsidRDefault="00000F54" w:rsidP="00000F54">
      <w:pPr>
        <w:spacing w:before="40" w:after="40"/>
        <w:rPr>
          <w:rFonts w:cs="Arial"/>
          <w:szCs w:val="20"/>
        </w:rPr>
      </w:pPr>
      <w:r w:rsidRPr="00000F54">
        <w:rPr>
          <w:rFonts w:cs="Arial"/>
          <w:szCs w:val="20"/>
        </w:rPr>
        <w:t>Spillage rates are not tracked in work papers; they are tracked in an external document</w:t>
      </w:r>
      <w:r w:rsidR="00986441">
        <w:rPr>
          <w:rFonts w:cs="Arial"/>
          <w:szCs w:val="20"/>
        </w:rPr>
        <w:t>,</w:t>
      </w:r>
      <w:r w:rsidRPr="00000F54">
        <w:rPr>
          <w:rFonts w:cs="Arial"/>
          <w:szCs w:val="20"/>
        </w:rPr>
        <w:t xml:space="preserve"> which will be supplied to the Commission Staff.</w:t>
      </w:r>
    </w:p>
    <w:p w:rsidR="00000F54" w:rsidRPr="00000F54" w:rsidRDefault="00000F54" w:rsidP="00000F54">
      <w:pPr>
        <w:spacing w:before="40" w:after="40"/>
        <w:rPr>
          <w:rFonts w:cs="Arial"/>
          <w:szCs w:val="20"/>
        </w:rPr>
      </w:pPr>
    </w:p>
    <w:p w:rsidR="00000F54" w:rsidRPr="00000F54" w:rsidRDefault="00000F54" w:rsidP="00000F54">
      <w:pPr>
        <w:spacing w:before="40" w:after="40"/>
        <w:rPr>
          <w:rFonts w:cs="Arial"/>
          <w:b/>
          <w:szCs w:val="20"/>
        </w:rPr>
      </w:pPr>
      <w:r w:rsidRPr="00000F54">
        <w:rPr>
          <w:rFonts w:cs="Arial"/>
          <w:b/>
          <w:szCs w:val="20"/>
        </w:rPr>
        <w:t>Installation Rate</w:t>
      </w:r>
    </w:p>
    <w:p w:rsidR="00000F54" w:rsidRDefault="00000F54" w:rsidP="00000F54">
      <w:pPr>
        <w:rPr>
          <w:rFonts w:eastAsiaTheme="minorHAnsi" w:cs="Arial"/>
          <w:szCs w:val="20"/>
        </w:rPr>
      </w:pPr>
      <w:r w:rsidRPr="00000F54">
        <w:rPr>
          <w:rFonts w:eastAsiaTheme="minorHAnsi" w:cs="Arial"/>
          <w:szCs w:val="20"/>
        </w:rPr>
        <w:t>The IR values were obtained using the DEER READI tool</w:t>
      </w:r>
      <w:r w:rsidR="00C12AE2">
        <w:rPr>
          <w:rFonts w:eastAsiaTheme="minorHAnsi" w:cs="Arial"/>
          <w:szCs w:val="20"/>
        </w:rPr>
        <w:t xml:space="preserve"> and the 2006-2008 Lighting Evaluation</w:t>
      </w:r>
      <w:r w:rsidRPr="00000F54">
        <w:rPr>
          <w:rFonts w:eastAsiaTheme="minorHAnsi" w:cs="Arial"/>
          <w:szCs w:val="20"/>
        </w:rPr>
        <w:t>. The relevant IR values for the measures in this wo</w:t>
      </w:r>
      <w:r w:rsidR="00C12AE2">
        <w:rPr>
          <w:rFonts w:eastAsiaTheme="minorHAnsi" w:cs="Arial"/>
          <w:szCs w:val="20"/>
        </w:rPr>
        <w:t>rk paper are in the table below:</w:t>
      </w:r>
    </w:p>
    <w:p w:rsidR="00986441" w:rsidRDefault="00986441" w:rsidP="00000F54">
      <w:pPr>
        <w:rPr>
          <w:rFonts w:eastAsiaTheme="minorHAnsi" w:cs="Arial"/>
          <w:szCs w:val="20"/>
        </w:rPr>
      </w:pPr>
    </w:p>
    <w:p w:rsidR="00986441" w:rsidRPr="00000F54" w:rsidRDefault="00986441" w:rsidP="00986441">
      <w:pPr>
        <w:pStyle w:val="Caption"/>
        <w:jc w:val="center"/>
        <w:rPr>
          <w:rFonts w:eastAsiaTheme="minorHAnsi" w:cs="Arial"/>
        </w:rPr>
      </w:pPr>
      <w:bookmarkStart w:id="31" w:name="_Toc437875425"/>
      <w:r>
        <w:t xml:space="preserve">Table </w:t>
      </w:r>
      <w:r w:rsidR="00E472F5">
        <w:fldChar w:fldCharType="begin"/>
      </w:r>
      <w:r w:rsidR="00E472F5">
        <w:instrText xml:space="preserve"> SEQ Table \* ARABIC </w:instrText>
      </w:r>
      <w:r w:rsidR="00E472F5">
        <w:fldChar w:fldCharType="separate"/>
      </w:r>
      <w:r w:rsidR="00381993">
        <w:rPr>
          <w:noProof/>
        </w:rPr>
        <w:t>2</w:t>
      </w:r>
      <w:r w:rsidR="00E472F5">
        <w:rPr>
          <w:noProof/>
        </w:rPr>
        <w:fldChar w:fldCharType="end"/>
      </w:r>
      <w:r>
        <w:t xml:space="preserve"> Installation Rates</w:t>
      </w:r>
      <w:bookmarkEnd w:id="31"/>
    </w:p>
    <w:tbl>
      <w:tblPr>
        <w:tblStyle w:val="TableGrid11"/>
        <w:tblW w:w="5000" w:type="pct"/>
        <w:tblLook w:val="01E0" w:firstRow="1" w:lastRow="1" w:firstColumn="1" w:lastColumn="1" w:noHBand="0" w:noVBand="0"/>
      </w:tblPr>
      <w:tblGrid>
        <w:gridCol w:w="2163"/>
        <w:gridCol w:w="2415"/>
        <w:gridCol w:w="1042"/>
        <w:gridCol w:w="1367"/>
        <w:gridCol w:w="1350"/>
        <w:gridCol w:w="1239"/>
      </w:tblGrid>
      <w:tr w:rsidR="00000F54" w:rsidRPr="00C12AE2" w:rsidTr="007E0228">
        <w:tc>
          <w:tcPr>
            <w:tcW w:w="1129" w:type="pct"/>
            <w:shd w:val="clear" w:color="auto" w:fill="D9D9D9" w:themeFill="background1" w:themeFillShade="D9"/>
            <w:vAlign w:val="center"/>
          </w:tcPr>
          <w:p w:rsidR="00000F54" w:rsidRPr="00C12AE2" w:rsidRDefault="00000F54" w:rsidP="00C12AE2">
            <w:pPr>
              <w:jc w:val="center"/>
              <w:rPr>
                <w:rFonts w:cs="Arial"/>
                <w:b/>
                <w:szCs w:val="20"/>
              </w:rPr>
            </w:pPr>
            <w:r w:rsidRPr="00C12AE2">
              <w:rPr>
                <w:rFonts w:cs="Arial"/>
                <w:b/>
                <w:szCs w:val="20"/>
              </w:rPr>
              <w:t>GSIA ID</w:t>
            </w:r>
          </w:p>
        </w:tc>
        <w:tc>
          <w:tcPr>
            <w:tcW w:w="1261" w:type="pct"/>
            <w:shd w:val="clear" w:color="auto" w:fill="D9D9D9" w:themeFill="background1" w:themeFillShade="D9"/>
            <w:vAlign w:val="center"/>
          </w:tcPr>
          <w:p w:rsidR="00000F54" w:rsidRPr="00C12AE2" w:rsidRDefault="00000F54" w:rsidP="00C12AE2">
            <w:pPr>
              <w:jc w:val="center"/>
              <w:rPr>
                <w:rFonts w:cs="Arial"/>
                <w:b/>
                <w:szCs w:val="20"/>
              </w:rPr>
            </w:pPr>
            <w:r w:rsidRPr="00C12AE2">
              <w:rPr>
                <w:rFonts w:cs="Arial"/>
                <w:b/>
                <w:szCs w:val="20"/>
              </w:rPr>
              <w:t>Description</w:t>
            </w:r>
          </w:p>
        </w:tc>
        <w:tc>
          <w:tcPr>
            <w:tcW w:w="544" w:type="pct"/>
            <w:shd w:val="clear" w:color="auto" w:fill="D9D9D9" w:themeFill="background1" w:themeFillShade="D9"/>
            <w:vAlign w:val="center"/>
          </w:tcPr>
          <w:p w:rsidR="00000F54" w:rsidRPr="00C12AE2" w:rsidRDefault="00000F54" w:rsidP="00C12AE2">
            <w:pPr>
              <w:jc w:val="center"/>
              <w:rPr>
                <w:rFonts w:cs="Arial"/>
                <w:b/>
                <w:szCs w:val="20"/>
              </w:rPr>
            </w:pPr>
            <w:r w:rsidRPr="00C12AE2">
              <w:rPr>
                <w:rFonts w:cs="Arial"/>
                <w:b/>
                <w:szCs w:val="20"/>
              </w:rPr>
              <w:t>Sector</w:t>
            </w:r>
          </w:p>
        </w:tc>
        <w:tc>
          <w:tcPr>
            <w:tcW w:w="714" w:type="pct"/>
            <w:shd w:val="clear" w:color="auto" w:fill="D9D9D9" w:themeFill="background1" w:themeFillShade="D9"/>
            <w:vAlign w:val="center"/>
          </w:tcPr>
          <w:p w:rsidR="00000F54" w:rsidRPr="00C12AE2" w:rsidRDefault="00000F54" w:rsidP="00C12AE2">
            <w:pPr>
              <w:jc w:val="center"/>
              <w:rPr>
                <w:rFonts w:cs="Arial"/>
                <w:b/>
                <w:szCs w:val="20"/>
              </w:rPr>
            </w:pPr>
            <w:proofErr w:type="spellStart"/>
            <w:r w:rsidRPr="00C12AE2">
              <w:rPr>
                <w:rFonts w:cs="Arial"/>
                <w:b/>
                <w:szCs w:val="20"/>
              </w:rPr>
              <w:t>BldgType</w:t>
            </w:r>
            <w:proofErr w:type="spellEnd"/>
          </w:p>
        </w:tc>
        <w:tc>
          <w:tcPr>
            <w:tcW w:w="705" w:type="pct"/>
            <w:shd w:val="clear" w:color="auto" w:fill="D9D9D9" w:themeFill="background1" w:themeFillShade="D9"/>
            <w:vAlign w:val="center"/>
          </w:tcPr>
          <w:p w:rsidR="00000F54" w:rsidRPr="00C12AE2" w:rsidRDefault="00000F54" w:rsidP="00C12AE2">
            <w:pPr>
              <w:jc w:val="center"/>
              <w:rPr>
                <w:rFonts w:cs="Arial"/>
                <w:b/>
                <w:szCs w:val="20"/>
              </w:rPr>
            </w:pPr>
            <w:proofErr w:type="spellStart"/>
            <w:r w:rsidRPr="00C12AE2">
              <w:rPr>
                <w:rFonts w:cs="Arial"/>
                <w:b/>
                <w:szCs w:val="20"/>
              </w:rPr>
              <w:t>ProgDelivID</w:t>
            </w:r>
            <w:proofErr w:type="spellEnd"/>
          </w:p>
        </w:tc>
        <w:tc>
          <w:tcPr>
            <w:tcW w:w="647" w:type="pct"/>
            <w:shd w:val="clear" w:color="auto" w:fill="D9D9D9" w:themeFill="background1" w:themeFillShade="D9"/>
            <w:vAlign w:val="center"/>
          </w:tcPr>
          <w:p w:rsidR="00000F54" w:rsidRPr="00C12AE2" w:rsidRDefault="00000F54" w:rsidP="00C12AE2">
            <w:pPr>
              <w:jc w:val="center"/>
              <w:rPr>
                <w:rFonts w:cs="Arial"/>
                <w:b/>
                <w:szCs w:val="20"/>
              </w:rPr>
            </w:pPr>
            <w:proofErr w:type="spellStart"/>
            <w:r w:rsidRPr="00C12AE2">
              <w:rPr>
                <w:rFonts w:cs="Arial"/>
                <w:b/>
                <w:szCs w:val="20"/>
              </w:rPr>
              <w:t>GSIAValue</w:t>
            </w:r>
            <w:proofErr w:type="spellEnd"/>
          </w:p>
        </w:tc>
      </w:tr>
      <w:tr w:rsidR="00000F54" w:rsidRPr="00000F54" w:rsidTr="007E0228">
        <w:tc>
          <w:tcPr>
            <w:tcW w:w="1129" w:type="pct"/>
            <w:vAlign w:val="center"/>
          </w:tcPr>
          <w:p w:rsidR="00000F54" w:rsidRPr="00C12AE2" w:rsidRDefault="00986441" w:rsidP="00C12AE2">
            <w:pPr>
              <w:jc w:val="center"/>
              <w:rPr>
                <w:rFonts w:cs="Arial"/>
                <w:szCs w:val="20"/>
              </w:rPr>
            </w:pPr>
            <w:proofErr w:type="spellStart"/>
            <w:r w:rsidRPr="00C12AE2">
              <w:rPr>
                <w:rFonts w:cs="Arial"/>
                <w:szCs w:val="20"/>
              </w:rPr>
              <w:t>MFm</w:t>
            </w:r>
            <w:proofErr w:type="spellEnd"/>
            <w:r w:rsidRPr="00C12AE2">
              <w:rPr>
                <w:rFonts w:cs="Arial"/>
                <w:szCs w:val="20"/>
              </w:rPr>
              <w:t>-</w:t>
            </w:r>
            <w:proofErr w:type="spellStart"/>
            <w:r w:rsidRPr="00C12AE2">
              <w:rPr>
                <w:rFonts w:cs="Arial"/>
                <w:szCs w:val="20"/>
              </w:rPr>
              <w:t>IntCFL</w:t>
            </w:r>
            <w:proofErr w:type="spellEnd"/>
            <w:r w:rsidRPr="00C12AE2">
              <w:rPr>
                <w:rFonts w:cs="Arial"/>
                <w:szCs w:val="20"/>
              </w:rPr>
              <w:t>-PGE</w:t>
            </w:r>
          </w:p>
        </w:tc>
        <w:tc>
          <w:tcPr>
            <w:tcW w:w="1261" w:type="pct"/>
            <w:vAlign w:val="center"/>
          </w:tcPr>
          <w:p w:rsidR="00000F54" w:rsidRPr="00C12AE2" w:rsidRDefault="00986441" w:rsidP="00C12AE2">
            <w:pPr>
              <w:jc w:val="center"/>
              <w:rPr>
                <w:rFonts w:cs="Arial"/>
                <w:szCs w:val="20"/>
              </w:rPr>
            </w:pPr>
            <w:r w:rsidRPr="00C12AE2">
              <w:rPr>
                <w:rFonts w:cs="Arial"/>
                <w:szCs w:val="20"/>
              </w:rPr>
              <w:t>Interior CFL; Annual Installation Rate;  Multi-family</w:t>
            </w:r>
          </w:p>
        </w:tc>
        <w:tc>
          <w:tcPr>
            <w:tcW w:w="544" w:type="pct"/>
            <w:vAlign w:val="center"/>
          </w:tcPr>
          <w:p w:rsidR="00000F54" w:rsidRPr="00C12AE2" w:rsidRDefault="00986441" w:rsidP="00C12AE2">
            <w:pPr>
              <w:jc w:val="center"/>
              <w:rPr>
                <w:rFonts w:cs="Arial"/>
                <w:szCs w:val="20"/>
              </w:rPr>
            </w:pPr>
            <w:r w:rsidRPr="00C12AE2">
              <w:rPr>
                <w:rFonts w:cs="Arial"/>
                <w:szCs w:val="20"/>
              </w:rPr>
              <w:t>Res</w:t>
            </w:r>
          </w:p>
        </w:tc>
        <w:tc>
          <w:tcPr>
            <w:tcW w:w="714" w:type="pct"/>
            <w:vAlign w:val="center"/>
          </w:tcPr>
          <w:p w:rsidR="00000F54" w:rsidRPr="00C12AE2" w:rsidRDefault="00986441" w:rsidP="00C12AE2">
            <w:pPr>
              <w:jc w:val="center"/>
              <w:rPr>
                <w:rFonts w:cs="Arial"/>
                <w:szCs w:val="20"/>
              </w:rPr>
            </w:pPr>
            <w:proofErr w:type="spellStart"/>
            <w:r w:rsidRPr="00C12AE2">
              <w:rPr>
                <w:rFonts w:cs="Arial"/>
                <w:szCs w:val="20"/>
              </w:rPr>
              <w:t>MFm</w:t>
            </w:r>
            <w:proofErr w:type="spellEnd"/>
          </w:p>
        </w:tc>
        <w:tc>
          <w:tcPr>
            <w:tcW w:w="705" w:type="pct"/>
            <w:vAlign w:val="center"/>
          </w:tcPr>
          <w:p w:rsidR="00000F54" w:rsidRPr="00C12AE2" w:rsidRDefault="00986441" w:rsidP="00C12AE2">
            <w:pPr>
              <w:jc w:val="center"/>
              <w:rPr>
                <w:rFonts w:cs="Arial"/>
                <w:szCs w:val="20"/>
              </w:rPr>
            </w:pPr>
            <w:proofErr w:type="spellStart"/>
            <w:r w:rsidRPr="00C12AE2">
              <w:rPr>
                <w:rFonts w:cs="Arial"/>
                <w:szCs w:val="20"/>
              </w:rPr>
              <w:t>NonUpStrm</w:t>
            </w:r>
            <w:proofErr w:type="spellEnd"/>
          </w:p>
        </w:tc>
        <w:tc>
          <w:tcPr>
            <w:tcW w:w="647" w:type="pct"/>
            <w:vAlign w:val="center"/>
          </w:tcPr>
          <w:p w:rsidR="00000F54" w:rsidRPr="00C12AE2" w:rsidRDefault="00986441" w:rsidP="00C12AE2">
            <w:pPr>
              <w:jc w:val="center"/>
              <w:rPr>
                <w:rFonts w:cs="Arial"/>
                <w:szCs w:val="20"/>
              </w:rPr>
            </w:pPr>
            <w:r w:rsidRPr="00C12AE2">
              <w:rPr>
                <w:rFonts w:cs="Arial"/>
                <w:szCs w:val="20"/>
              </w:rPr>
              <w:t>0.89</w:t>
            </w:r>
          </w:p>
        </w:tc>
      </w:tr>
      <w:tr w:rsidR="00986441" w:rsidRPr="00000F54" w:rsidTr="007E0228">
        <w:tc>
          <w:tcPr>
            <w:tcW w:w="1129" w:type="pct"/>
            <w:vAlign w:val="center"/>
          </w:tcPr>
          <w:p w:rsidR="00986441" w:rsidRPr="00C12AE2" w:rsidRDefault="00986441" w:rsidP="00C12AE2">
            <w:pPr>
              <w:jc w:val="center"/>
              <w:rPr>
                <w:rFonts w:cs="Arial"/>
                <w:szCs w:val="20"/>
              </w:rPr>
            </w:pPr>
            <w:proofErr w:type="spellStart"/>
            <w:r w:rsidRPr="00C12AE2">
              <w:rPr>
                <w:rFonts w:cs="Arial"/>
                <w:szCs w:val="20"/>
              </w:rPr>
              <w:t>MFm</w:t>
            </w:r>
            <w:proofErr w:type="spellEnd"/>
            <w:r w:rsidRPr="00C12AE2">
              <w:rPr>
                <w:rFonts w:cs="Arial"/>
                <w:szCs w:val="20"/>
              </w:rPr>
              <w:t>-</w:t>
            </w:r>
            <w:proofErr w:type="spellStart"/>
            <w:r w:rsidRPr="00C12AE2">
              <w:rPr>
                <w:rFonts w:cs="Arial"/>
                <w:szCs w:val="20"/>
              </w:rPr>
              <w:t>IntCF</w:t>
            </w:r>
            <w:proofErr w:type="spellEnd"/>
            <w:r w:rsidRPr="00C12AE2">
              <w:rPr>
                <w:rFonts w:cs="Arial"/>
                <w:szCs w:val="20"/>
              </w:rPr>
              <w:t>-PGE</w:t>
            </w:r>
          </w:p>
        </w:tc>
        <w:tc>
          <w:tcPr>
            <w:tcW w:w="1261" w:type="pct"/>
            <w:vAlign w:val="center"/>
          </w:tcPr>
          <w:p w:rsidR="00986441" w:rsidRPr="00C12AE2" w:rsidRDefault="00986441" w:rsidP="00C12AE2">
            <w:pPr>
              <w:jc w:val="center"/>
              <w:rPr>
                <w:rFonts w:cs="Arial"/>
                <w:szCs w:val="20"/>
              </w:rPr>
            </w:pPr>
            <w:r w:rsidRPr="00C12AE2">
              <w:rPr>
                <w:rFonts w:cs="Arial"/>
                <w:szCs w:val="20"/>
              </w:rPr>
              <w:t>Interior Compact Fluorescent fixture; Annual Installation Rate;  Multi-family</w:t>
            </w:r>
          </w:p>
        </w:tc>
        <w:tc>
          <w:tcPr>
            <w:tcW w:w="544" w:type="pct"/>
            <w:vAlign w:val="center"/>
          </w:tcPr>
          <w:p w:rsidR="00986441" w:rsidRPr="00C12AE2" w:rsidRDefault="00986441" w:rsidP="00C12AE2">
            <w:pPr>
              <w:jc w:val="center"/>
              <w:rPr>
                <w:rFonts w:cs="Arial"/>
                <w:szCs w:val="20"/>
              </w:rPr>
            </w:pPr>
            <w:r w:rsidRPr="00C12AE2">
              <w:rPr>
                <w:rFonts w:cs="Arial"/>
                <w:szCs w:val="20"/>
              </w:rPr>
              <w:t>Res</w:t>
            </w:r>
          </w:p>
        </w:tc>
        <w:tc>
          <w:tcPr>
            <w:tcW w:w="714" w:type="pct"/>
            <w:vAlign w:val="center"/>
          </w:tcPr>
          <w:p w:rsidR="00986441" w:rsidRPr="00C12AE2" w:rsidRDefault="00986441" w:rsidP="00C12AE2">
            <w:pPr>
              <w:jc w:val="center"/>
              <w:rPr>
                <w:rFonts w:cs="Arial"/>
                <w:szCs w:val="20"/>
              </w:rPr>
            </w:pPr>
            <w:proofErr w:type="spellStart"/>
            <w:r w:rsidRPr="00C12AE2">
              <w:rPr>
                <w:rFonts w:cs="Arial"/>
                <w:szCs w:val="20"/>
              </w:rPr>
              <w:t>MFm</w:t>
            </w:r>
            <w:proofErr w:type="spellEnd"/>
          </w:p>
        </w:tc>
        <w:tc>
          <w:tcPr>
            <w:tcW w:w="705" w:type="pct"/>
            <w:vAlign w:val="center"/>
          </w:tcPr>
          <w:p w:rsidR="00986441" w:rsidRPr="00C12AE2" w:rsidRDefault="00986441" w:rsidP="00C12AE2">
            <w:pPr>
              <w:jc w:val="center"/>
              <w:rPr>
                <w:rFonts w:cs="Arial"/>
                <w:szCs w:val="20"/>
              </w:rPr>
            </w:pPr>
            <w:proofErr w:type="spellStart"/>
            <w:r w:rsidRPr="00C12AE2">
              <w:rPr>
                <w:rFonts w:cs="Arial"/>
                <w:szCs w:val="20"/>
              </w:rPr>
              <w:t>NonUpStrm</w:t>
            </w:r>
            <w:proofErr w:type="spellEnd"/>
          </w:p>
        </w:tc>
        <w:tc>
          <w:tcPr>
            <w:tcW w:w="647" w:type="pct"/>
            <w:vAlign w:val="center"/>
          </w:tcPr>
          <w:p w:rsidR="00986441" w:rsidRPr="00C12AE2" w:rsidRDefault="00986441" w:rsidP="00C12AE2">
            <w:pPr>
              <w:jc w:val="center"/>
              <w:rPr>
                <w:rFonts w:cs="Arial"/>
                <w:szCs w:val="20"/>
              </w:rPr>
            </w:pPr>
            <w:r w:rsidRPr="00C12AE2">
              <w:rPr>
                <w:rFonts w:cs="Arial"/>
                <w:szCs w:val="20"/>
              </w:rPr>
              <w:t>0.87</w:t>
            </w:r>
          </w:p>
        </w:tc>
      </w:tr>
      <w:tr w:rsidR="00D0189F" w:rsidRPr="00000F54" w:rsidTr="007E0228">
        <w:tc>
          <w:tcPr>
            <w:tcW w:w="1129" w:type="pct"/>
            <w:vAlign w:val="center"/>
          </w:tcPr>
          <w:p w:rsidR="00D0189F" w:rsidRDefault="00D0189F" w:rsidP="00C12AE2">
            <w:pPr>
              <w:jc w:val="center"/>
              <w:rPr>
                <w:rFonts w:cs="Arial"/>
                <w:szCs w:val="20"/>
              </w:rPr>
            </w:pPr>
            <w:proofErr w:type="spellStart"/>
            <w:r>
              <w:rPr>
                <w:rFonts w:cs="Arial"/>
                <w:szCs w:val="20"/>
              </w:rPr>
              <w:t>Mfm</w:t>
            </w:r>
            <w:proofErr w:type="spellEnd"/>
            <w:r>
              <w:rPr>
                <w:rFonts w:cs="Arial"/>
                <w:szCs w:val="20"/>
              </w:rPr>
              <w:t>-</w:t>
            </w:r>
            <w:proofErr w:type="spellStart"/>
            <w:r>
              <w:rPr>
                <w:rFonts w:cs="Arial"/>
                <w:szCs w:val="20"/>
              </w:rPr>
              <w:t>ExtCF</w:t>
            </w:r>
            <w:proofErr w:type="spellEnd"/>
            <w:r>
              <w:rPr>
                <w:rFonts w:cs="Arial"/>
                <w:szCs w:val="20"/>
              </w:rPr>
              <w:t>-PGE</w:t>
            </w:r>
          </w:p>
        </w:tc>
        <w:tc>
          <w:tcPr>
            <w:tcW w:w="1261" w:type="pct"/>
            <w:vAlign w:val="center"/>
          </w:tcPr>
          <w:p w:rsidR="00D0189F" w:rsidRPr="00AF2028" w:rsidRDefault="00D0189F" w:rsidP="00C12AE2">
            <w:pPr>
              <w:jc w:val="center"/>
              <w:rPr>
                <w:rFonts w:cs="Arial"/>
                <w:szCs w:val="20"/>
              </w:rPr>
            </w:pPr>
            <w:r w:rsidRPr="00D0189F">
              <w:rPr>
                <w:rFonts w:cs="Arial"/>
                <w:szCs w:val="20"/>
              </w:rPr>
              <w:t>Exterior Compact Fluorescent fixture; Annual Installation Rate;  Multi-family</w:t>
            </w:r>
          </w:p>
        </w:tc>
        <w:tc>
          <w:tcPr>
            <w:tcW w:w="544" w:type="pct"/>
            <w:vAlign w:val="center"/>
          </w:tcPr>
          <w:p w:rsidR="00D0189F" w:rsidRPr="00AF2028" w:rsidRDefault="00D0189F" w:rsidP="00C12AE2">
            <w:pPr>
              <w:jc w:val="center"/>
              <w:rPr>
                <w:rFonts w:cs="Arial"/>
                <w:szCs w:val="20"/>
              </w:rPr>
            </w:pPr>
            <w:r>
              <w:rPr>
                <w:rFonts w:cs="Arial"/>
                <w:szCs w:val="20"/>
              </w:rPr>
              <w:t>Res</w:t>
            </w:r>
          </w:p>
        </w:tc>
        <w:tc>
          <w:tcPr>
            <w:tcW w:w="714" w:type="pct"/>
            <w:vAlign w:val="center"/>
          </w:tcPr>
          <w:p w:rsidR="00D0189F" w:rsidRPr="00AF2028" w:rsidRDefault="00D0189F" w:rsidP="00C12AE2">
            <w:pPr>
              <w:jc w:val="center"/>
              <w:rPr>
                <w:rFonts w:cs="Arial"/>
                <w:szCs w:val="20"/>
              </w:rPr>
            </w:pPr>
            <w:proofErr w:type="spellStart"/>
            <w:r>
              <w:rPr>
                <w:rFonts w:cs="Arial"/>
                <w:szCs w:val="20"/>
              </w:rPr>
              <w:t>MFm</w:t>
            </w:r>
            <w:proofErr w:type="spellEnd"/>
          </w:p>
        </w:tc>
        <w:tc>
          <w:tcPr>
            <w:tcW w:w="705" w:type="pct"/>
            <w:vAlign w:val="center"/>
          </w:tcPr>
          <w:p w:rsidR="00D0189F" w:rsidRPr="00AF2028" w:rsidRDefault="00D0189F" w:rsidP="00C12AE2">
            <w:pPr>
              <w:jc w:val="center"/>
              <w:rPr>
                <w:rFonts w:cs="Arial"/>
                <w:szCs w:val="20"/>
              </w:rPr>
            </w:pPr>
            <w:proofErr w:type="spellStart"/>
            <w:r>
              <w:rPr>
                <w:rFonts w:cs="Arial"/>
                <w:szCs w:val="20"/>
              </w:rPr>
              <w:t>NonUpStrm</w:t>
            </w:r>
            <w:proofErr w:type="spellEnd"/>
          </w:p>
        </w:tc>
        <w:tc>
          <w:tcPr>
            <w:tcW w:w="647" w:type="pct"/>
            <w:vAlign w:val="center"/>
          </w:tcPr>
          <w:p w:rsidR="00D0189F" w:rsidRPr="00AF2028" w:rsidRDefault="00D0189F" w:rsidP="00C12AE2">
            <w:pPr>
              <w:jc w:val="center"/>
              <w:rPr>
                <w:rFonts w:cs="Arial"/>
                <w:szCs w:val="20"/>
              </w:rPr>
            </w:pPr>
            <w:r>
              <w:rPr>
                <w:rFonts w:cs="Arial"/>
                <w:szCs w:val="20"/>
              </w:rPr>
              <w:t>0.89</w:t>
            </w:r>
          </w:p>
        </w:tc>
      </w:tr>
      <w:tr w:rsidR="00986441" w:rsidRPr="00000F54" w:rsidTr="007E0228">
        <w:tc>
          <w:tcPr>
            <w:tcW w:w="1129" w:type="pct"/>
            <w:vAlign w:val="center"/>
          </w:tcPr>
          <w:p w:rsidR="00986441" w:rsidRPr="00AF2028" w:rsidRDefault="00AF2028" w:rsidP="00C12AE2">
            <w:pPr>
              <w:jc w:val="center"/>
              <w:rPr>
                <w:rFonts w:cs="Arial"/>
                <w:szCs w:val="20"/>
              </w:rPr>
            </w:pPr>
            <w:r>
              <w:rPr>
                <w:rFonts w:cs="Arial"/>
                <w:szCs w:val="20"/>
              </w:rPr>
              <w:t>PGE_Prop_CFL_0.89</w:t>
            </w:r>
          </w:p>
        </w:tc>
        <w:tc>
          <w:tcPr>
            <w:tcW w:w="1261" w:type="pct"/>
            <w:vAlign w:val="center"/>
          </w:tcPr>
          <w:p w:rsidR="00986441" w:rsidRPr="00AF2028" w:rsidRDefault="00C12AE2" w:rsidP="00C12AE2">
            <w:pPr>
              <w:jc w:val="center"/>
              <w:rPr>
                <w:rFonts w:cs="Arial"/>
                <w:b/>
                <w:szCs w:val="20"/>
              </w:rPr>
            </w:pPr>
            <w:r w:rsidRPr="00AF2028">
              <w:rPr>
                <w:rFonts w:cs="Arial"/>
                <w:szCs w:val="20"/>
              </w:rPr>
              <w:t>2006-2008 lighting evaluation - DI RES</w:t>
            </w:r>
          </w:p>
        </w:tc>
        <w:tc>
          <w:tcPr>
            <w:tcW w:w="544" w:type="pct"/>
            <w:vAlign w:val="center"/>
          </w:tcPr>
          <w:p w:rsidR="00986441" w:rsidRPr="00AF2028" w:rsidRDefault="00C12AE2" w:rsidP="00C12AE2">
            <w:pPr>
              <w:jc w:val="center"/>
              <w:rPr>
                <w:rFonts w:cs="Arial"/>
                <w:szCs w:val="20"/>
              </w:rPr>
            </w:pPr>
            <w:r w:rsidRPr="00AF2028">
              <w:rPr>
                <w:rFonts w:cs="Arial"/>
                <w:szCs w:val="20"/>
              </w:rPr>
              <w:t>Res</w:t>
            </w:r>
          </w:p>
        </w:tc>
        <w:tc>
          <w:tcPr>
            <w:tcW w:w="714" w:type="pct"/>
            <w:vAlign w:val="center"/>
          </w:tcPr>
          <w:p w:rsidR="00986441" w:rsidRPr="00AF2028" w:rsidRDefault="00C12AE2" w:rsidP="00C12AE2">
            <w:pPr>
              <w:jc w:val="center"/>
              <w:rPr>
                <w:rFonts w:cs="Arial"/>
                <w:szCs w:val="20"/>
              </w:rPr>
            </w:pPr>
            <w:r w:rsidRPr="00AF2028">
              <w:rPr>
                <w:rFonts w:cs="Arial"/>
                <w:szCs w:val="20"/>
              </w:rPr>
              <w:t>Any</w:t>
            </w:r>
          </w:p>
        </w:tc>
        <w:tc>
          <w:tcPr>
            <w:tcW w:w="705" w:type="pct"/>
            <w:vAlign w:val="center"/>
          </w:tcPr>
          <w:p w:rsidR="00986441" w:rsidRPr="00AF2028" w:rsidRDefault="00C12AE2" w:rsidP="00C12AE2">
            <w:pPr>
              <w:jc w:val="center"/>
              <w:rPr>
                <w:rFonts w:cs="Arial"/>
                <w:szCs w:val="20"/>
              </w:rPr>
            </w:pPr>
            <w:r w:rsidRPr="00AF2028">
              <w:rPr>
                <w:rFonts w:cs="Arial"/>
                <w:szCs w:val="20"/>
              </w:rPr>
              <w:t>Direct Install</w:t>
            </w:r>
          </w:p>
        </w:tc>
        <w:tc>
          <w:tcPr>
            <w:tcW w:w="647" w:type="pct"/>
            <w:vAlign w:val="center"/>
          </w:tcPr>
          <w:p w:rsidR="00986441" w:rsidRPr="00AF2028" w:rsidRDefault="00986441" w:rsidP="00C12AE2">
            <w:pPr>
              <w:jc w:val="center"/>
              <w:rPr>
                <w:rFonts w:cs="Arial"/>
                <w:szCs w:val="20"/>
              </w:rPr>
            </w:pPr>
            <w:r w:rsidRPr="00AF2028">
              <w:rPr>
                <w:rFonts w:cs="Arial"/>
                <w:szCs w:val="20"/>
              </w:rPr>
              <w:t>0.89</w:t>
            </w:r>
          </w:p>
        </w:tc>
      </w:tr>
      <w:tr w:rsidR="00986441" w:rsidRPr="00000F54" w:rsidTr="007E0228">
        <w:tc>
          <w:tcPr>
            <w:tcW w:w="1129" w:type="pct"/>
            <w:vAlign w:val="center"/>
          </w:tcPr>
          <w:p w:rsidR="00986441" w:rsidRPr="00C12AE2" w:rsidRDefault="00C12AE2" w:rsidP="00C12AE2">
            <w:pPr>
              <w:jc w:val="center"/>
              <w:rPr>
                <w:rFonts w:cs="Arial"/>
                <w:szCs w:val="20"/>
              </w:rPr>
            </w:pPr>
            <w:r w:rsidRPr="00C12AE2">
              <w:rPr>
                <w:rFonts w:cs="Arial"/>
                <w:szCs w:val="20"/>
              </w:rPr>
              <w:t>Com-CFL-PGE</w:t>
            </w:r>
          </w:p>
        </w:tc>
        <w:tc>
          <w:tcPr>
            <w:tcW w:w="1261" w:type="pct"/>
            <w:vAlign w:val="center"/>
          </w:tcPr>
          <w:p w:rsidR="00986441" w:rsidRPr="00C12AE2" w:rsidRDefault="00C12AE2" w:rsidP="00C12AE2">
            <w:pPr>
              <w:jc w:val="center"/>
              <w:rPr>
                <w:rFonts w:cs="Arial"/>
                <w:szCs w:val="20"/>
              </w:rPr>
            </w:pPr>
            <w:r w:rsidRPr="00C12AE2">
              <w:rPr>
                <w:rFonts w:cs="Arial"/>
                <w:szCs w:val="20"/>
              </w:rPr>
              <w:t>Non-Res CFL; Non-Upstream Program; Annual Installation Rate</w:t>
            </w:r>
          </w:p>
        </w:tc>
        <w:tc>
          <w:tcPr>
            <w:tcW w:w="544" w:type="pct"/>
            <w:vAlign w:val="center"/>
          </w:tcPr>
          <w:p w:rsidR="00986441" w:rsidRPr="00C12AE2" w:rsidRDefault="00C12AE2" w:rsidP="00C12AE2">
            <w:pPr>
              <w:jc w:val="center"/>
              <w:rPr>
                <w:rFonts w:cs="Arial"/>
                <w:szCs w:val="20"/>
              </w:rPr>
            </w:pPr>
            <w:r w:rsidRPr="00C12AE2">
              <w:rPr>
                <w:rFonts w:cs="Arial"/>
                <w:szCs w:val="20"/>
              </w:rPr>
              <w:t>Com</w:t>
            </w:r>
          </w:p>
        </w:tc>
        <w:tc>
          <w:tcPr>
            <w:tcW w:w="714" w:type="pct"/>
            <w:vAlign w:val="center"/>
          </w:tcPr>
          <w:p w:rsidR="00986441" w:rsidRPr="00C12AE2" w:rsidRDefault="00C12AE2" w:rsidP="00C12AE2">
            <w:pPr>
              <w:jc w:val="center"/>
              <w:rPr>
                <w:rFonts w:cs="Arial"/>
                <w:szCs w:val="20"/>
              </w:rPr>
            </w:pPr>
            <w:r w:rsidRPr="00C12AE2">
              <w:rPr>
                <w:rFonts w:cs="Arial"/>
                <w:szCs w:val="20"/>
              </w:rPr>
              <w:t>Any</w:t>
            </w:r>
          </w:p>
        </w:tc>
        <w:tc>
          <w:tcPr>
            <w:tcW w:w="705" w:type="pct"/>
            <w:vAlign w:val="center"/>
          </w:tcPr>
          <w:p w:rsidR="00986441" w:rsidRPr="00C12AE2" w:rsidRDefault="00C12AE2" w:rsidP="00C12AE2">
            <w:pPr>
              <w:jc w:val="center"/>
              <w:rPr>
                <w:rFonts w:cs="Arial"/>
                <w:szCs w:val="20"/>
              </w:rPr>
            </w:pPr>
            <w:proofErr w:type="spellStart"/>
            <w:r w:rsidRPr="00C12AE2">
              <w:rPr>
                <w:rFonts w:cs="Arial"/>
                <w:szCs w:val="20"/>
              </w:rPr>
              <w:t>NonUpStrm</w:t>
            </w:r>
            <w:proofErr w:type="spellEnd"/>
          </w:p>
        </w:tc>
        <w:tc>
          <w:tcPr>
            <w:tcW w:w="647" w:type="pct"/>
            <w:vAlign w:val="center"/>
          </w:tcPr>
          <w:p w:rsidR="00986441" w:rsidRPr="00C12AE2" w:rsidRDefault="00C12AE2" w:rsidP="00C12AE2">
            <w:pPr>
              <w:jc w:val="center"/>
              <w:rPr>
                <w:rFonts w:cs="Arial"/>
                <w:szCs w:val="20"/>
              </w:rPr>
            </w:pPr>
            <w:r w:rsidRPr="00C12AE2">
              <w:rPr>
                <w:rFonts w:cs="Arial"/>
                <w:szCs w:val="20"/>
              </w:rPr>
              <w:t>0.77</w:t>
            </w:r>
          </w:p>
        </w:tc>
      </w:tr>
    </w:tbl>
    <w:p w:rsidR="00000F54" w:rsidRPr="00000F54" w:rsidRDefault="00000F54" w:rsidP="00000F54">
      <w:pPr>
        <w:spacing w:before="40" w:after="40"/>
        <w:rPr>
          <w:rFonts w:cs="Arial"/>
          <w:b/>
          <w:szCs w:val="20"/>
        </w:rPr>
      </w:pPr>
    </w:p>
    <w:p w:rsidR="00000F54" w:rsidRDefault="00BE6E60" w:rsidP="002405BA">
      <w:pPr>
        <w:rPr>
          <w:b/>
        </w:rPr>
      </w:pPr>
      <w:r w:rsidRPr="008F12D4">
        <w:rPr>
          <w:b/>
        </w:rPr>
        <w:t>Effective Useful Life</w:t>
      </w:r>
    </w:p>
    <w:p w:rsidR="002405BA" w:rsidRDefault="00BE6E60" w:rsidP="00D0189F">
      <w:pPr>
        <w:rPr>
          <w:rFonts w:cs="Arial"/>
          <w:i/>
          <w:szCs w:val="20"/>
          <w:highlight w:val="cyan"/>
        </w:rPr>
      </w:pPr>
      <w:r w:rsidRPr="00045A33">
        <w:t xml:space="preserve">The effective useful life values were taken from </w:t>
      </w:r>
      <w:r>
        <w:t>201</w:t>
      </w:r>
      <w:r w:rsidR="00C12AE2">
        <w:t>6</w:t>
      </w:r>
      <w:r>
        <w:t xml:space="preserve"> DEER</w:t>
      </w:r>
      <w:r w:rsidRPr="00045A33">
        <w:t xml:space="preserve">.  </w:t>
      </w:r>
      <w:r w:rsidR="00D0189F">
        <w:t xml:space="preserve">The </w:t>
      </w:r>
      <w:r w:rsidRPr="00045A33">
        <w:t>EUL varies according to lamp</w:t>
      </w:r>
      <w:r>
        <w:t xml:space="preserve"> annual </w:t>
      </w:r>
      <w:r w:rsidRPr="00045A33">
        <w:t>hours for CFL lamps.</w:t>
      </w:r>
      <w:r w:rsidR="00D0189F">
        <w:t xml:space="preserve"> </w:t>
      </w:r>
    </w:p>
    <w:p w:rsidR="00D0189F" w:rsidRDefault="00D0189F" w:rsidP="004A010B">
      <w:pPr>
        <w:rPr>
          <w:rFonts w:cs="Arial"/>
          <w:i/>
          <w:szCs w:val="20"/>
          <w:highlight w:val="cyan"/>
        </w:rPr>
      </w:pPr>
    </w:p>
    <w:p w:rsidR="00D0189F" w:rsidRDefault="00D0189F" w:rsidP="00D0189F">
      <w:pPr>
        <w:pStyle w:val="Caption"/>
        <w:keepNext/>
        <w:jc w:val="center"/>
      </w:pPr>
      <w:bookmarkStart w:id="32" w:name="_Toc437875426"/>
      <w:r>
        <w:t xml:space="preserve">Table </w:t>
      </w:r>
      <w:r w:rsidR="00E472F5">
        <w:fldChar w:fldCharType="begin"/>
      </w:r>
      <w:r w:rsidR="00E472F5">
        <w:instrText xml:space="preserve"> SEQ Table \* ARABIC </w:instrText>
      </w:r>
      <w:r w:rsidR="00E472F5">
        <w:fldChar w:fldCharType="separate"/>
      </w:r>
      <w:r w:rsidR="00381993">
        <w:rPr>
          <w:noProof/>
        </w:rPr>
        <w:t>3</w:t>
      </w:r>
      <w:r w:rsidR="00E472F5">
        <w:rPr>
          <w:noProof/>
        </w:rPr>
        <w:fldChar w:fldCharType="end"/>
      </w:r>
      <w:r>
        <w:t xml:space="preserve"> Effective Useful Life</w:t>
      </w:r>
      <w:bookmarkEnd w:id="32"/>
    </w:p>
    <w:tbl>
      <w:tblPr>
        <w:tblStyle w:val="TableGrid1"/>
        <w:tblW w:w="5000" w:type="pct"/>
        <w:tblLook w:val="04A0" w:firstRow="1" w:lastRow="0" w:firstColumn="1" w:lastColumn="0" w:noHBand="0" w:noVBand="1"/>
      </w:tblPr>
      <w:tblGrid>
        <w:gridCol w:w="1822"/>
        <w:gridCol w:w="3202"/>
        <w:gridCol w:w="1034"/>
        <w:gridCol w:w="1306"/>
        <w:gridCol w:w="2212"/>
      </w:tblGrid>
      <w:tr w:rsidR="00480BF4" w:rsidRPr="00800509" w:rsidTr="00480BF4">
        <w:tc>
          <w:tcPr>
            <w:tcW w:w="951" w:type="pct"/>
            <w:shd w:val="clear" w:color="auto" w:fill="D9D9D9" w:themeFill="background1" w:themeFillShade="D9"/>
            <w:vAlign w:val="center"/>
          </w:tcPr>
          <w:p w:rsidR="00480BF4" w:rsidRPr="00800509" w:rsidRDefault="00480BF4" w:rsidP="005C4E44">
            <w:pPr>
              <w:jc w:val="center"/>
              <w:rPr>
                <w:rFonts w:cs="Arial"/>
                <w:b/>
                <w:szCs w:val="20"/>
              </w:rPr>
            </w:pPr>
            <w:r w:rsidRPr="00800509">
              <w:rPr>
                <w:rFonts w:cs="Arial"/>
                <w:b/>
                <w:szCs w:val="20"/>
              </w:rPr>
              <w:t>EUL ID</w:t>
            </w:r>
          </w:p>
        </w:tc>
        <w:tc>
          <w:tcPr>
            <w:tcW w:w="1672" w:type="pct"/>
            <w:shd w:val="clear" w:color="auto" w:fill="D9D9D9" w:themeFill="background1" w:themeFillShade="D9"/>
            <w:vAlign w:val="center"/>
          </w:tcPr>
          <w:p w:rsidR="00480BF4" w:rsidRPr="00800509" w:rsidRDefault="00480BF4" w:rsidP="005C4E44">
            <w:pPr>
              <w:jc w:val="center"/>
              <w:rPr>
                <w:rFonts w:cs="Arial"/>
                <w:b/>
                <w:szCs w:val="20"/>
              </w:rPr>
            </w:pPr>
            <w:r w:rsidRPr="00800509">
              <w:rPr>
                <w:rFonts w:cs="Arial"/>
                <w:b/>
                <w:szCs w:val="20"/>
              </w:rPr>
              <w:t>Description</w:t>
            </w:r>
          </w:p>
        </w:tc>
        <w:tc>
          <w:tcPr>
            <w:tcW w:w="540" w:type="pct"/>
            <w:shd w:val="clear" w:color="auto" w:fill="D9D9D9" w:themeFill="background1" w:themeFillShade="D9"/>
            <w:vAlign w:val="center"/>
          </w:tcPr>
          <w:p w:rsidR="00480BF4" w:rsidRPr="00800509" w:rsidRDefault="00480BF4" w:rsidP="005C4E44">
            <w:pPr>
              <w:jc w:val="center"/>
              <w:rPr>
                <w:rFonts w:cs="Arial"/>
                <w:b/>
                <w:szCs w:val="20"/>
              </w:rPr>
            </w:pPr>
            <w:r w:rsidRPr="00800509">
              <w:rPr>
                <w:rFonts w:cs="Arial"/>
                <w:b/>
                <w:szCs w:val="20"/>
              </w:rPr>
              <w:t>Sector</w:t>
            </w:r>
          </w:p>
        </w:tc>
        <w:tc>
          <w:tcPr>
            <w:tcW w:w="682" w:type="pct"/>
            <w:shd w:val="clear" w:color="auto" w:fill="D9D9D9" w:themeFill="background1" w:themeFillShade="D9"/>
            <w:vAlign w:val="center"/>
          </w:tcPr>
          <w:p w:rsidR="00480BF4" w:rsidRPr="00800509" w:rsidRDefault="00480BF4" w:rsidP="005C4E44">
            <w:pPr>
              <w:jc w:val="center"/>
              <w:rPr>
                <w:rFonts w:cs="Arial"/>
                <w:b/>
                <w:szCs w:val="20"/>
              </w:rPr>
            </w:pPr>
            <w:r w:rsidRPr="00800509">
              <w:rPr>
                <w:rFonts w:cs="Arial"/>
                <w:b/>
                <w:szCs w:val="20"/>
              </w:rPr>
              <w:t>EUL (Years)</w:t>
            </w:r>
          </w:p>
        </w:tc>
        <w:tc>
          <w:tcPr>
            <w:tcW w:w="1155" w:type="pct"/>
            <w:shd w:val="clear" w:color="auto" w:fill="D9D9D9" w:themeFill="background1" w:themeFillShade="D9"/>
            <w:vAlign w:val="center"/>
          </w:tcPr>
          <w:p w:rsidR="00480BF4" w:rsidRPr="00800509" w:rsidRDefault="00480BF4" w:rsidP="005C4E44">
            <w:pPr>
              <w:jc w:val="center"/>
              <w:rPr>
                <w:rFonts w:cs="Arial"/>
                <w:b/>
                <w:szCs w:val="20"/>
              </w:rPr>
            </w:pPr>
            <w:r w:rsidRPr="00800509">
              <w:rPr>
                <w:rFonts w:cs="Arial"/>
                <w:b/>
                <w:szCs w:val="20"/>
              </w:rPr>
              <w:t>Version</w:t>
            </w:r>
          </w:p>
          <w:p w:rsidR="00480BF4" w:rsidRPr="00800509" w:rsidRDefault="00480BF4" w:rsidP="005C4E44">
            <w:pPr>
              <w:jc w:val="center"/>
              <w:rPr>
                <w:rFonts w:cs="Arial"/>
                <w:b/>
                <w:szCs w:val="20"/>
              </w:rPr>
            </w:pPr>
            <w:proofErr w:type="spellStart"/>
            <w:r w:rsidRPr="00800509">
              <w:rPr>
                <w:rFonts w:cs="Arial"/>
                <w:b/>
                <w:szCs w:val="20"/>
              </w:rPr>
              <w:t>VersionSource</w:t>
            </w:r>
            <w:proofErr w:type="spellEnd"/>
          </w:p>
        </w:tc>
      </w:tr>
      <w:tr w:rsidR="00480BF4" w:rsidRPr="00800509" w:rsidTr="00480BF4">
        <w:trPr>
          <w:trHeight w:val="243"/>
        </w:trPr>
        <w:tc>
          <w:tcPr>
            <w:tcW w:w="951" w:type="pct"/>
            <w:vAlign w:val="center"/>
          </w:tcPr>
          <w:p w:rsidR="00480BF4" w:rsidRPr="00E47C4C" w:rsidRDefault="00480BF4" w:rsidP="00BB4D77">
            <w:pPr>
              <w:jc w:val="center"/>
              <w:rPr>
                <w:szCs w:val="20"/>
              </w:rPr>
            </w:pPr>
            <w:proofErr w:type="spellStart"/>
            <w:r w:rsidRPr="00BB3563">
              <w:rPr>
                <w:szCs w:val="20"/>
              </w:rPr>
              <w:t>ILtg</w:t>
            </w:r>
            <w:proofErr w:type="spellEnd"/>
            <w:r w:rsidRPr="00BB3563">
              <w:rPr>
                <w:szCs w:val="20"/>
              </w:rPr>
              <w:t>-CFL-Com</w:t>
            </w:r>
          </w:p>
        </w:tc>
        <w:tc>
          <w:tcPr>
            <w:tcW w:w="1672" w:type="pct"/>
            <w:vAlign w:val="center"/>
          </w:tcPr>
          <w:p w:rsidR="00480BF4" w:rsidRPr="00800509" w:rsidRDefault="00480BF4" w:rsidP="005C4E44">
            <w:pPr>
              <w:jc w:val="center"/>
              <w:rPr>
                <w:rFonts w:cs="Arial"/>
                <w:szCs w:val="20"/>
              </w:rPr>
            </w:pPr>
            <w:r w:rsidRPr="00480BF4">
              <w:rPr>
                <w:rFonts w:cs="Arial"/>
                <w:szCs w:val="20"/>
              </w:rPr>
              <w:t>CFL Lamps - Indoor- Commercial - 10,000 Rated Hours</w:t>
            </w:r>
          </w:p>
        </w:tc>
        <w:tc>
          <w:tcPr>
            <w:tcW w:w="540" w:type="pct"/>
            <w:vAlign w:val="center"/>
          </w:tcPr>
          <w:p w:rsidR="00480BF4" w:rsidRPr="00800509" w:rsidRDefault="00480BF4" w:rsidP="005C4E44">
            <w:pPr>
              <w:jc w:val="center"/>
              <w:rPr>
                <w:rFonts w:cs="Arial"/>
                <w:szCs w:val="20"/>
              </w:rPr>
            </w:pPr>
            <w:r>
              <w:rPr>
                <w:rFonts w:cs="Arial"/>
                <w:szCs w:val="20"/>
              </w:rPr>
              <w:t>Com</w:t>
            </w:r>
          </w:p>
        </w:tc>
        <w:tc>
          <w:tcPr>
            <w:tcW w:w="682" w:type="pct"/>
            <w:vAlign w:val="center"/>
          </w:tcPr>
          <w:p w:rsidR="00480BF4" w:rsidRPr="00800509" w:rsidRDefault="00480BF4" w:rsidP="005C4E44">
            <w:pPr>
              <w:jc w:val="center"/>
              <w:rPr>
                <w:rFonts w:cs="Arial"/>
                <w:szCs w:val="20"/>
              </w:rPr>
            </w:pPr>
            <w:r>
              <w:rPr>
                <w:rFonts w:cs="Arial"/>
                <w:szCs w:val="20"/>
              </w:rPr>
              <w:t>Varies</w:t>
            </w:r>
          </w:p>
        </w:tc>
        <w:tc>
          <w:tcPr>
            <w:tcW w:w="1155" w:type="pct"/>
            <w:vAlign w:val="center"/>
          </w:tcPr>
          <w:p w:rsidR="00480BF4" w:rsidRDefault="00480BF4" w:rsidP="00480BF4">
            <w:pPr>
              <w:jc w:val="center"/>
              <w:rPr>
                <w:szCs w:val="20"/>
              </w:rPr>
            </w:pPr>
            <w:r>
              <w:rPr>
                <w:szCs w:val="20"/>
              </w:rPr>
              <w:t>DEER2016</w:t>
            </w:r>
          </w:p>
          <w:p w:rsidR="00480BF4" w:rsidRPr="00800509" w:rsidRDefault="00480BF4" w:rsidP="00480BF4">
            <w:pPr>
              <w:jc w:val="center"/>
              <w:rPr>
                <w:rFonts w:cs="Arial"/>
                <w:szCs w:val="20"/>
              </w:rPr>
            </w:pPr>
            <w:r>
              <w:rPr>
                <w:szCs w:val="20"/>
              </w:rPr>
              <w:t>2015 Uncertain Measures Update</w:t>
            </w:r>
          </w:p>
        </w:tc>
      </w:tr>
      <w:tr w:rsidR="00480BF4" w:rsidRPr="00800509" w:rsidTr="00480BF4">
        <w:trPr>
          <w:trHeight w:val="243"/>
        </w:trPr>
        <w:tc>
          <w:tcPr>
            <w:tcW w:w="951" w:type="pct"/>
            <w:vAlign w:val="center"/>
          </w:tcPr>
          <w:p w:rsidR="00480BF4" w:rsidRPr="00683802" w:rsidRDefault="00480BF4" w:rsidP="00BB4D77">
            <w:pPr>
              <w:jc w:val="center"/>
              <w:rPr>
                <w:szCs w:val="20"/>
              </w:rPr>
            </w:pPr>
            <w:proofErr w:type="spellStart"/>
            <w:r w:rsidRPr="00683802">
              <w:rPr>
                <w:szCs w:val="20"/>
              </w:rPr>
              <w:lastRenderedPageBreak/>
              <w:t>ILtg</w:t>
            </w:r>
            <w:proofErr w:type="spellEnd"/>
            <w:r w:rsidRPr="00683802">
              <w:rPr>
                <w:szCs w:val="20"/>
              </w:rPr>
              <w:t>-CFL-Res</w:t>
            </w:r>
          </w:p>
        </w:tc>
        <w:tc>
          <w:tcPr>
            <w:tcW w:w="1672" w:type="pct"/>
            <w:vAlign w:val="center"/>
          </w:tcPr>
          <w:p w:rsidR="00480BF4" w:rsidRPr="00227B97" w:rsidRDefault="00480BF4" w:rsidP="005C4E44">
            <w:pPr>
              <w:jc w:val="center"/>
              <w:rPr>
                <w:rFonts w:cs="Arial"/>
                <w:szCs w:val="20"/>
              </w:rPr>
            </w:pPr>
            <w:r w:rsidRPr="00480BF4">
              <w:rPr>
                <w:rFonts w:cs="Arial"/>
                <w:szCs w:val="20"/>
              </w:rPr>
              <w:t>CFL Lamps - Indoor- Residential - 10,000 Rated Hours</w:t>
            </w:r>
          </w:p>
        </w:tc>
        <w:tc>
          <w:tcPr>
            <w:tcW w:w="540" w:type="pct"/>
            <w:vAlign w:val="center"/>
          </w:tcPr>
          <w:p w:rsidR="00480BF4" w:rsidRDefault="00480BF4" w:rsidP="005C4E44">
            <w:pPr>
              <w:jc w:val="center"/>
              <w:rPr>
                <w:rFonts w:cs="Arial"/>
                <w:szCs w:val="20"/>
              </w:rPr>
            </w:pPr>
            <w:r>
              <w:rPr>
                <w:rFonts w:cs="Arial"/>
                <w:szCs w:val="20"/>
              </w:rPr>
              <w:t>Res</w:t>
            </w:r>
          </w:p>
        </w:tc>
        <w:tc>
          <w:tcPr>
            <w:tcW w:w="682" w:type="pct"/>
            <w:vAlign w:val="center"/>
          </w:tcPr>
          <w:p w:rsidR="00480BF4" w:rsidRDefault="00480BF4" w:rsidP="005C4E44">
            <w:pPr>
              <w:jc w:val="center"/>
              <w:rPr>
                <w:rFonts w:cs="Arial"/>
                <w:szCs w:val="20"/>
              </w:rPr>
            </w:pPr>
            <w:r>
              <w:rPr>
                <w:rFonts w:cs="Arial"/>
                <w:szCs w:val="20"/>
              </w:rPr>
              <w:t>3.5</w:t>
            </w:r>
          </w:p>
        </w:tc>
        <w:tc>
          <w:tcPr>
            <w:tcW w:w="1155" w:type="pct"/>
            <w:vAlign w:val="center"/>
          </w:tcPr>
          <w:p w:rsidR="00480BF4" w:rsidRDefault="00480BF4" w:rsidP="00480BF4">
            <w:pPr>
              <w:jc w:val="center"/>
              <w:rPr>
                <w:szCs w:val="20"/>
              </w:rPr>
            </w:pPr>
            <w:r>
              <w:rPr>
                <w:szCs w:val="20"/>
              </w:rPr>
              <w:t>DEER2016</w:t>
            </w:r>
          </w:p>
          <w:p w:rsidR="00480BF4" w:rsidRDefault="00480BF4" w:rsidP="00480BF4">
            <w:pPr>
              <w:jc w:val="center"/>
              <w:rPr>
                <w:rFonts w:cs="Arial"/>
                <w:szCs w:val="20"/>
              </w:rPr>
            </w:pPr>
            <w:r>
              <w:rPr>
                <w:szCs w:val="20"/>
              </w:rPr>
              <w:t>2015 Uncertain Measures Update</w:t>
            </w:r>
          </w:p>
        </w:tc>
      </w:tr>
      <w:tr w:rsidR="00480BF4" w:rsidRPr="00800509" w:rsidTr="00480BF4">
        <w:trPr>
          <w:trHeight w:val="243"/>
        </w:trPr>
        <w:tc>
          <w:tcPr>
            <w:tcW w:w="951" w:type="pct"/>
            <w:vAlign w:val="center"/>
          </w:tcPr>
          <w:p w:rsidR="00480BF4" w:rsidRPr="00E47C4C" w:rsidRDefault="00480BF4" w:rsidP="00BB4D77">
            <w:pPr>
              <w:jc w:val="center"/>
              <w:rPr>
                <w:szCs w:val="20"/>
              </w:rPr>
            </w:pPr>
            <w:proofErr w:type="spellStart"/>
            <w:r w:rsidRPr="00683802">
              <w:rPr>
                <w:szCs w:val="20"/>
              </w:rPr>
              <w:t>ILtg</w:t>
            </w:r>
            <w:proofErr w:type="spellEnd"/>
            <w:r w:rsidRPr="00683802">
              <w:rPr>
                <w:szCs w:val="20"/>
              </w:rPr>
              <w:t>-</w:t>
            </w:r>
            <w:proofErr w:type="spellStart"/>
            <w:r w:rsidRPr="00683802">
              <w:rPr>
                <w:szCs w:val="20"/>
              </w:rPr>
              <w:t>CFLfix</w:t>
            </w:r>
            <w:proofErr w:type="spellEnd"/>
            <w:r>
              <w:rPr>
                <w:szCs w:val="20"/>
              </w:rPr>
              <w:t>-Res</w:t>
            </w:r>
          </w:p>
        </w:tc>
        <w:tc>
          <w:tcPr>
            <w:tcW w:w="1672" w:type="pct"/>
            <w:vAlign w:val="center"/>
          </w:tcPr>
          <w:p w:rsidR="00480BF4" w:rsidRDefault="00480BF4" w:rsidP="005C4E44">
            <w:pPr>
              <w:jc w:val="center"/>
              <w:rPr>
                <w:rFonts w:cs="Arial"/>
                <w:szCs w:val="20"/>
              </w:rPr>
            </w:pPr>
            <w:r w:rsidRPr="00480BF4">
              <w:rPr>
                <w:rFonts w:cs="Arial"/>
                <w:szCs w:val="20"/>
              </w:rPr>
              <w:t>CFL Fixtures - Indoor - Residential</w:t>
            </w:r>
          </w:p>
        </w:tc>
        <w:tc>
          <w:tcPr>
            <w:tcW w:w="540" w:type="pct"/>
            <w:vAlign w:val="center"/>
          </w:tcPr>
          <w:p w:rsidR="00480BF4" w:rsidRPr="00800509" w:rsidRDefault="00480BF4" w:rsidP="005C4E44">
            <w:pPr>
              <w:jc w:val="center"/>
              <w:rPr>
                <w:rFonts w:cs="Arial"/>
                <w:szCs w:val="20"/>
              </w:rPr>
            </w:pPr>
            <w:r>
              <w:rPr>
                <w:rFonts w:cs="Arial"/>
                <w:szCs w:val="20"/>
              </w:rPr>
              <w:t>Res</w:t>
            </w:r>
          </w:p>
        </w:tc>
        <w:tc>
          <w:tcPr>
            <w:tcW w:w="682" w:type="pct"/>
            <w:vAlign w:val="center"/>
          </w:tcPr>
          <w:p w:rsidR="00480BF4" w:rsidRPr="00800509" w:rsidRDefault="00480BF4" w:rsidP="005C4E44">
            <w:pPr>
              <w:jc w:val="center"/>
              <w:rPr>
                <w:rFonts w:cs="Arial"/>
                <w:szCs w:val="20"/>
              </w:rPr>
            </w:pPr>
            <w:r>
              <w:rPr>
                <w:rFonts w:cs="Arial"/>
                <w:szCs w:val="20"/>
              </w:rPr>
              <w:t>16</w:t>
            </w:r>
          </w:p>
        </w:tc>
        <w:tc>
          <w:tcPr>
            <w:tcW w:w="1155" w:type="pct"/>
            <w:vAlign w:val="center"/>
          </w:tcPr>
          <w:p w:rsidR="00480BF4" w:rsidRDefault="00480BF4" w:rsidP="00480BF4">
            <w:pPr>
              <w:jc w:val="center"/>
              <w:rPr>
                <w:szCs w:val="20"/>
              </w:rPr>
            </w:pPr>
            <w:r>
              <w:rPr>
                <w:szCs w:val="20"/>
              </w:rPr>
              <w:t>DEER2014</w:t>
            </w:r>
          </w:p>
          <w:p w:rsidR="00480BF4" w:rsidRPr="00800509" w:rsidRDefault="00480BF4" w:rsidP="00480BF4">
            <w:pPr>
              <w:jc w:val="center"/>
              <w:rPr>
                <w:rFonts w:cs="Arial"/>
                <w:szCs w:val="20"/>
              </w:rPr>
            </w:pPr>
            <w:r>
              <w:rPr>
                <w:szCs w:val="20"/>
              </w:rPr>
              <w:t>D08 v2.05</w:t>
            </w:r>
          </w:p>
        </w:tc>
      </w:tr>
      <w:tr w:rsidR="00F37572" w:rsidRPr="00800509" w:rsidTr="00480BF4">
        <w:trPr>
          <w:trHeight w:val="243"/>
        </w:trPr>
        <w:tc>
          <w:tcPr>
            <w:tcW w:w="951" w:type="pct"/>
            <w:vAlign w:val="center"/>
          </w:tcPr>
          <w:p w:rsidR="00F37572" w:rsidRPr="005B41E0" w:rsidRDefault="00F37572" w:rsidP="005C4E44">
            <w:pPr>
              <w:jc w:val="center"/>
              <w:rPr>
                <w:rFonts w:cs="Arial"/>
                <w:szCs w:val="20"/>
              </w:rPr>
            </w:pPr>
            <w:proofErr w:type="spellStart"/>
            <w:r>
              <w:rPr>
                <w:rFonts w:cs="Arial"/>
                <w:szCs w:val="20"/>
              </w:rPr>
              <w:t>ILtg</w:t>
            </w:r>
            <w:proofErr w:type="spellEnd"/>
            <w:r>
              <w:rPr>
                <w:rFonts w:cs="Arial"/>
                <w:szCs w:val="20"/>
              </w:rPr>
              <w:t>-CFL-</w:t>
            </w:r>
            <w:proofErr w:type="spellStart"/>
            <w:r>
              <w:rPr>
                <w:rFonts w:cs="Arial"/>
                <w:szCs w:val="20"/>
              </w:rPr>
              <w:t>ResCmn</w:t>
            </w:r>
            <w:proofErr w:type="spellEnd"/>
          </w:p>
        </w:tc>
        <w:tc>
          <w:tcPr>
            <w:tcW w:w="1672" w:type="pct"/>
            <w:vAlign w:val="center"/>
          </w:tcPr>
          <w:p w:rsidR="00F37572" w:rsidRPr="00480BF4" w:rsidRDefault="00F37572" w:rsidP="005C4E44">
            <w:pPr>
              <w:jc w:val="center"/>
              <w:rPr>
                <w:rFonts w:cs="Arial"/>
                <w:szCs w:val="20"/>
              </w:rPr>
            </w:pPr>
            <w:r w:rsidRPr="00F37572">
              <w:rPr>
                <w:rFonts w:cs="Arial"/>
                <w:szCs w:val="20"/>
              </w:rPr>
              <w:t>CFL Lamps - Indoor- Residential Common Area- 10,000 Rated Hours</w:t>
            </w:r>
          </w:p>
        </w:tc>
        <w:tc>
          <w:tcPr>
            <w:tcW w:w="540" w:type="pct"/>
            <w:vAlign w:val="center"/>
          </w:tcPr>
          <w:p w:rsidR="00F37572" w:rsidRDefault="00F37572" w:rsidP="005C4E44">
            <w:pPr>
              <w:jc w:val="center"/>
              <w:rPr>
                <w:rFonts w:cs="Arial"/>
                <w:szCs w:val="20"/>
              </w:rPr>
            </w:pPr>
            <w:r>
              <w:rPr>
                <w:rFonts w:cs="Arial"/>
                <w:szCs w:val="20"/>
              </w:rPr>
              <w:t>Res</w:t>
            </w:r>
          </w:p>
        </w:tc>
        <w:tc>
          <w:tcPr>
            <w:tcW w:w="682" w:type="pct"/>
            <w:vAlign w:val="center"/>
          </w:tcPr>
          <w:p w:rsidR="00F37572" w:rsidRDefault="00F37572" w:rsidP="005C4E44">
            <w:pPr>
              <w:jc w:val="center"/>
              <w:rPr>
                <w:rFonts w:cs="Arial"/>
                <w:szCs w:val="20"/>
              </w:rPr>
            </w:pPr>
            <w:r>
              <w:rPr>
                <w:rFonts w:cs="Arial"/>
                <w:szCs w:val="20"/>
              </w:rPr>
              <w:t>Varies</w:t>
            </w:r>
          </w:p>
        </w:tc>
        <w:tc>
          <w:tcPr>
            <w:tcW w:w="1155" w:type="pct"/>
            <w:vAlign w:val="center"/>
          </w:tcPr>
          <w:p w:rsidR="00F37572" w:rsidRDefault="00F37572" w:rsidP="005C4E44">
            <w:pPr>
              <w:jc w:val="center"/>
              <w:rPr>
                <w:rFonts w:cs="Arial"/>
                <w:szCs w:val="20"/>
              </w:rPr>
            </w:pPr>
            <w:r>
              <w:rPr>
                <w:rFonts w:cs="Arial"/>
                <w:szCs w:val="20"/>
              </w:rPr>
              <w:t>DEER2014</w:t>
            </w:r>
          </w:p>
          <w:p w:rsidR="00F37572" w:rsidRDefault="00F37572" w:rsidP="005C4E44">
            <w:pPr>
              <w:jc w:val="center"/>
              <w:rPr>
                <w:rFonts w:cs="Arial"/>
                <w:szCs w:val="20"/>
              </w:rPr>
            </w:pPr>
            <w:r>
              <w:rPr>
                <w:rFonts w:cs="Arial"/>
                <w:szCs w:val="20"/>
              </w:rPr>
              <w:t>Lighting Disposition</w:t>
            </w:r>
          </w:p>
        </w:tc>
      </w:tr>
      <w:tr w:rsidR="00480BF4" w:rsidRPr="00800509" w:rsidTr="00480BF4">
        <w:trPr>
          <w:trHeight w:val="243"/>
        </w:trPr>
        <w:tc>
          <w:tcPr>
            <w:tcW w:w="951" w:type="pct"/>
            <w:vAlign w:val="center"/>
          </w:tcPr>
          <w:p w:rsidR="00480BF4" w:rsidRPr="005B41E0" w:rsidRDefault="00480BF4" w:rsidP="005C4E44">
            <w:pPr>
              <w:jc w:val="center"/>
              <w:rPr>
                <w:rFonts w:cs="Arial"/>
                <w:szCs w:val="20"/>
              </w:rPr>
            </w:pPr>
            <w:proofErr w:type="spellStart"/>
            <w:r w:rsidRPr="005B41E0">
              <w:rPr>
                <w:rFonts w:cs="Arial"/>
                <w:szCs w:val="20"/>
              </w:rPr>
              <w:t>ILtg-CFLfix-ResCmnArea</w:t>
            </w:r>
            <w:proofErr w:type="spellEnd"/>
          </w:p>
        </w:tc>
        <w:tc>
          <w:tcPr>
            <w:tcW w:w="1672" w:type="pct"/>
            <w:vAlign w:val="center"/>
          </w:tcPr>
          <w:p w:rsidR="00480BF4" w:rsidRDefault="00480BF4" w:rsidP="005C4E44">
            <w:pPr>
              <w:jc w:val="center"/>
              <w:rPr>
                <w:rFonts w:cs="Arial"/>
                <w:szCs w:val="20"/>
              </w:rPr>
            </w:pPr>
            <w:r w:rsidRPr="00480BF4">
              <w:rPr>
                <w:rFonts w:cs="Arial"/>
                <w:szCs w:val="20"/>
              </w:rPr>
              <w:t>CFL Fixtures - Indoor - Residential Common Area</w:t>
            </w:r>
          </w:p>
        </w:tc>
        <w:tc>
          <w:tcPr>
            <w:tcW w:w="540" w:type="pct"/>
            <w:vAlign w:val="center"/>
          </w:tcPr>
          <w:p w:rsidR="00480BF4" w:rsidRPr="00800509" w:rsidRDefault="00480BF4" w:rsidP="005C4E44">
            <w:pPr>
              <w:jc w:val="center"/>
              <w:rPr>
                <w:rFonts w:cs="Arial"/>
                <w:szCs w:val="20"/>
              </w:rPr>
            </w:pPr>
            <w:r>
              <w:rPr>
                <w:rFonts w:cs="Arial"/>
                <w:szCs w:val="20"/>
              </w:rPr>
              <w:t>Res</w:t>
            </w:r>
          </w:p>
        </w:tc>
        <w:tc>
          <w:tcPr>
            <w:tcW w:w="682" w:type="pct"/>
            <w:vAlign w:val="center"/>
          </w:tcPr>
          <w:p w:rsidR="00480BF4" w:rsidRPr="00800509" w:rsidRDefault="00480BF4" w:rsidP="005C4E44">
            <w:pPr>
              <w:jc w:val="center"/>
              <w:rPr>
                <w:rFonts w:cs="Arial"/>
                <w:szCs w:val="20"/>
              </w:rPr>
            </w:pPr>
            <w:r>
              <w:rPr>
                <w:rFonts w:cs="Arial"/>
                <w:szCs w:val="20"/>
              </w:rPr>
              <w:t>15</w:t>
            </w:r>
          </w:p>
        </w:tc>
        <w:tc>
          <w:tcPr>
            <w:tcW w:w="1155" w:type="pct"/>
            <w:vAlign w:val="center"/>
          </w:tcPr>
          <w:p w:rsidR="00480BF4" w:rsidRDefault="00480BF4" w:rsidP="005C4E44">
            <w:pPr>
              <w:jc w:val="center"/>
              <w:rPr>
                <w:rFonts w:cs="Arial"/>
                <w:szCs w:val="20"/>
              </w:rPr>
            </w:pPr>
            <w:r>
              <w:rPr>
                <w:rFonts w:cs="Arial"/>
                <w:szCs w:val="20"/>
              </w:rPr>
              <w:t>DEER2014</w:t>
            </w:r>
          </w:p>
          <w:p w:rsidR="00480BF4" w:rsidRPr="00800509" w:rsidRDefault="00480BF4" w:rsidP="005C4E44">
            <w:pPr>
              <w:jc w:val="center"/>
              <w:rPr>
                <w:rFonts w:cs="Arial"/>
                <w:szCs w:val="20"/>
              </w:rPr>
            </w:pPr>
            <w:r>
              <w:rPr>
                <w:rFonts w:cs="Arial"/>
                <w:szCs w:val="20"/>
              </w:rPr>
              <w:t>Lighting Disposition</w:t>
            </w:r>
          </w:p>
        </w:tc>
      </w:tr>
      <w:tr w:rsidR="00480BF4" w:rsidRPr="00800509" w:rsidTr="00480BF4">
        <w:trPr>
          <w:trHeight w:val="243"/>
        </w:trPr>
        <w:tc>
          <w:tcPr>
            <w:tcW w:w="951" w:type="pct"/>
            <w:vAlign w:val="center"/>
          </w:tcPr>
          <w:p w:rsidR="00480BF4" w:rsidRDefault="00480BF4" w:rsidP="005C4E44">
            <w:pPr>
              <w:jc w:val="center"/>
              <w:rPr>
                <w:szCs w:val="20"/>
              </w:rPr>
            </w:pPr>
            <w:proofErr w:type="spellStart"/>
            <w:r w:rsidRPr="00480BF4">
              <w:rPr>
                <w:szCs w:val="20"/>
              </w:rPr>
              <w:t>OLtg</w:t>
            </w:r>
            <w:proofErr w:type="spellEnd"/>
            <w:r w:rsidRPr="00480BF4">
              <w:rPr>
                <w:szCs w:val="20"/>
              </w:rPr>
              <w:t>-CFL</w:t>
            </w:r>
          </w:p>
        </w:tc>
        <w:tc>
          <w:tcPr>
            <w:tcW w:w="1672" w:type="pct"/>
            <w:vAlign w:val="center"/>
          </w:tcPr>
          <w:p w:rsidR="00480BF4" w:rsidRPr="00480BF4" w:rsidRDefault="00480BF4" w:rsidP="005C4E44">
            <w:pPr>
              <w:jc w:val="center"/>
              <w:rPr>
                <w:rFonts w:cs="Arial"/>
                <w:szCs w:val="20"/>
              </w:rPr>
            </w:pPr>
            <w:r w:rsidRPr="00480BF4">
              <w:rPr>
                <w:rFonts w:cs="Arial"/>
                <w:szCs w:val="20"/>
              </w:rPr>
              <w:t>CFL Lamps - Outdoor- Residential - 10,000 Rated Hours</w:t>
            </w:r>
          </w:p>
        </w:tc>
        <w:tc>
          <w:tcPr>
            <w:tcW w:w="540" w:type="pct"/>
            <w:vAlign w:val="center"/>
          </w:tcPr>
          <w:p w:rsidR="00480BF4" w:rsidRPr="00800509" w:rsidRDefault="00480BF4" w:rsidP="005C4E44">
            <w:pPr>
              <w:jc w:val="center"/>
              <w:rPr>
                <w:rFonts w:cs="Arial"/>
                <w:szCs w:val="20"/>
              </w:rPr>
            </w:pPr>
            <w:r>
              <w:rPr>
                <w:rFonts w:cs="Arial"/>
                <w:szCs w:val="20"/>
              </w:rPr>
              <w:t>Res</w:t>
            </w:r>
          </w:p>
        </w:tc>
        <w:tc>
          <w:tcPr>
            <w:tcW w:w="682" w:type="pct"/>
            <w:vAlign w:val="center"/>
          </w:tcPr>
          <w:p w:rsidR="00480BF4" w:rsidRPr="00800509" w:rsidRDefault="00480BF4" w:rsidP="005C4E44">
            <w:pPr>
              <w:jc w:val="center"/>
              <w:rPr>
                <w:rFonts w:cs="Arial"/>
                <w:szCs w:val="20"/>
              </w:rPr>
            </w:pPr>
            <w:r>
              <w:rPr>
                <w:rFonts w:cs="Arial"/>
                <w:szCs w:val="20"/>
              </w:rPr>
              <w:t>3.5</w:t>
            </w:r>
          </w:p>
        </w:tc>
        <w:tc>
          <w:tcPr>
            <w:tcW w:w="1155" w:type="pct"/>
            <w:vAlign w:val="center"/>
          </w:tcPr>
          <w:p w:rsidR="00480BF4" w:rsidRDefault="00480BF4" w:rsidP="00480BF4">
            <w:pPr>
              <w:jc w:val="center"/>
              <w:rPr>
                <w:szCs w:val="20"/>
              </w:rPr>
            </w:pPr>
            <w:r>
              <w:rPr>
                <w:szCs w:val="20"/>
              </w:rPr>
              <w:t>DEER2016</w:t>
            </w:r>
          </w:p>
          <w:p w:rsidR="00480BF4" w:rsidRPr="00800509" w:rsidRDefault="00480BF4" w:rsidP="00480BF4">
            <w:pPr>
              <w:jc w:val="center"/>
              <w:rPr>
                <w:rFonts w:cs="Arial"/>
                <w:szCs w:val="20"/>
              </w:rPr>
            </w:pPr>
            <w:r>
              <w:rPr>
                <w:szCs w:val="20"/>
              </w:rPr>
              <w:t>2015 Uncertain Measures Update</w:t>
            </w:r>
          </w:p>
        </w:tc>
      </w:tr>
      <w:tr w:rsidR="00480BF4" w:rsidRPr="00800509" w:rsidTr="00480BF4">
        <w:trPr>
          <w:trHeight w:val="243"/>
        </w:trPr>
        <w:tc>
          <w:tcPr>
            <w:tcW w:w="951" w:type="pct"/>
            <w:vAlign w:val="center"/>
          </w:tcPr>
          <w:p w:rsidR="00480BF4" w:rsidRPr="005B41E0" w:rsidRDefault="00480BF4" w:rsidP="005C4E44">
            <w:pPr>
              <w:jc w:val="center"/>
              <w:rPr>
                <w:rFonts w:cs="Arial"/>
                <w:szCs w:val="20"/>
              </w:rPr>
            </w:pPr>
            <w:proofErr w:type="spellStart"/>
            <w:r>
              <w:rPr>
                <w:szCs w:val="20"/>
              </w:rPr>
              <w:t>OLtg</w:t>
            </w:r>
            <w:proofErr w:type="spellEnd"/>
            <w:r>
              <w:rPr>
                <w:szCs w:val="20"/>
              </w:rPr>
              <w:t>-CFL</w:t>
            </w:r>
          </w:p>
        </w:tc>
        <w:tc>
          <w:tcPr>
            <w:tcW w:w="1672" w:type="pct"/>
            <w:vAlign w:val="center"/>
          </w:tcPr>
          <w:p w:rsidR="00480BF4" w:rsidRDefault="00480BF4" w:rsidP="005C4E44">
            <w:pPr>
              <w:jc w:val="center"/>
              <w:rPr>
                <w:rFonts w:cs="Arial"/>
                <w:szCs w:val="20"/>
              </w:rPr>
            </w:pPr>
            <w:r w:rsidRPr="00480BF4">
              <w:rPr>
                <w:rFonts w:cs="Arial"/>
                <w:szCs w:val="20"/>
              </w:rPr>
              <w:t>Outdoor CFL Lamps - 10,000 Hour</w:t>
            </w:r>
          </w:p>
        </w:tc>
        <w:tc>
          <w:tcPr>
            <w:tcW w:w="540" w:type="pct"/>
            <w:vAlign w:val="center"/>
          </w:tcPr>
          <w:p w:rsidR="00480BF4" w:rsidRPr="00800509" w:rsidRDefault="00480BF4" w:rsidP="005C4E44">
            <w:pPr>
              <w:jc w:val="center"/>
              <w:rPr>
                <w:rFonts w:cs="Arial"/>
                <w:szCs w:val="20"/>
              </w:rPr>
            </w:pPr>
            <w:r>
              <w:rPr>
                <w:rFonts w:cs="Arial"/>
                <w:szCs w:val="20"/>
              </w:rPr>
              <w:t>Com</w:t>
            </w:r>
          </w:p>
        </w:tc>
        <w:tc>
          <w:tcPr>
            <w:tcW w:w="682" w:type="pct"/>
            <w:vAlign w:val="center"/>
          </w:tcPr>
          <w:p w:rsidR="00480BF4" w:rsidRPr="00800509" w:rsidRDefault="0048696C" w:rsidP="005C4E44">
            <w:pPr>
              <w:jc w:val="center"/>
              <w:rPr>
                <w:rFonts w:cs="Arial"/>
                <w:szCs w:val="20"/>
              </w:rPr>
            </w:pPr>
            <w:r>
              <w:rPr>
                <w:rFonts w:cs="Arial"/>
                <w:szCs w:val="20"/>
              </w:rPr>
              <w:t>2.44</w:t>
            </w:r>
          </w:p>
        </w:tc>
        <w:tc>
          <w:tcPr>
            <w:tcW w:w="1155" w:type="pct"/>
            <w:vAlign w:val="center"/>
          </w:tcPr>
          <w:p w:rsidR="00480BF4" w:rsidRDefault="00480BF4" w:rsidP="00480BF4">
            <w:pPr>
              <w:jc w:val="center"/>
              <w:rPr>
                <w:szCs w:val="20"/>
              </w:rPr>
            </w:pPr>
            <w:r>
              <w:rPr>
                <w:szCs w:val="20"/>
              </w:rPr>
              <w:t>DEER2014</w:t>
            </w:r>
          </w:p>
          <w:p w:rsidR="00480BF4" w:rsidRPr="00800509" w:rsidRDefault="00480BF4" w:rsidP="00480BF4">
            <w:pPr>
              <w:jc w:val="center"/>
              <w:rPr>
                <w:rFonts w:cs="Arial"/>
                <w:szCs w:val="20"/>
              </w:rPr>
            </w:pPr>
            <w:r>
              <w:rPr>
                <w:szCs w:val="20"/>
              </w:rPr>
              <w:t>D08 v2.05</w:t>
            </w:r>
          </w:p>
        </w:tc>
      </w:tr>
      <w:tr w:rsidR="00480BF4" w:rsidRPr="00800509" w:rsidTr="00480BF4">
        <w:trPr>
          <w:trHeight w:val="243"/>
        </w:trPr>
        <w:tc>
          <w:tcPr>
            <w:tcW w:w="951" w:type="pct"/>
            <w:vAlign w:val="center"/>
          </w:tcPr>
          <w:p w:rsidR="00480BF4" w:rsidRPr="005B41E0" w:rsidRDefault="00480BF4" w:rsidP="005C4E44">
            <w:pPr>
              <w:jc w:val="center"/>
              <w:rPr>
                <w:rFonts w:cs="Arial"/>
                <w:szCs w:val="20"/>
              </w:rPr>
            </w:pPr>
            <w:proofErr w:type="spellStart"/>
            <w:r w:rsidRPr="00683802">
              <w:rPr>
                <w:szCs w:val="20"/>
              </w:rPr>
              <w:t>OLtg-CFLfix</w:t>
            </w:r>
            <w:proofErr w:type="spellEnd"/>
          </w:p>
        </w:tc>
        <w:tc>
          <w:tcPr>
            <w:tcW w:w="1672" w:type="pct"/>
            <w:vAlign w:val="center"/>
          </w:tcPr>
          <w:p w:rsidR="00480BF4" w:rsidRPr="005B41E0" w:rsidRDefault="00480BF4" w:rsidP="00BB4D77">
            <w:pPr>
              <w:jc w:val="center"/>
              <w:rPr>
                <w:rFonts w:cs="Arial"/>
                <w:szCs w:val="20"/>
              </w:rPr>
            </w:pPr>
            <w:r w:rsidRPr="00480BF4">
              <w:rPr>
                <w:rFonts w:cs="Arial"/>
                <w:szCs w:val="20"/>
              </w:rPr>
              <w:t>CFL Fixtures - Outdoor - Residential</w:t>
            </w:r>
          </w:p>
        </w:tc>
        <w:tc>
          <w:tcPr>
            <w:tcW w:w="540" w:type="pct"/>
            <w:vAlign w:val="center"/>
          </w:tcPr>
          <w:p w:rsidR="00480BF4" w:rsidRPr="00800509" w:rsidRDefault="00480BF4" w:rsidP="005C4E44">
            <w:pPr>
              <w:jc w:val="center"/>
              <w:rPr>
                <w:rFonts w:cs="Arial"/>
                <w:szCs w:val="20"/>
              </w:rPr>
            </w:pPr>
            <w:r>
              <w:rPr>
                <w:rFonts w:cs="Arial"/>
                <w:szCs w:val="20"/>
              </w:rPr>
              <w:t>Res</w:t>
            </w:r>
          </w:p>
        </w:tc>
        <w:tc>
          <w:tcPr>
            <w:tcW w:w="682" w:type="pct"/>
            <w:vAlign w:val="center"/>
          </w:tcPr>
          <w:p w:rsidR="00480BF4" w:rsidRPr="00800509" w:rsidRDefault="00480BF4" w:rsidP="005C4E44">
            <w:pPr>
              <w:jc w:val="center"/>
              <w:rPr>
                <w:rFonts w:cs="Arial"/>
                <w:szCs w:val="20"/>
              </w:rPr>
            </w:pPr>
            <w:r>
              <w:rPr>
                <w:rFonts w:cs="Arial"/>
                <w:szCs w:val="20"/>
              </w:rPr>
              <w:t>16</w:t>
            </w:r>
          </w:p>
        </w:tc>
        <w:tc>
          <w:tcPr>
            <w:tcW w:w="1155" w:type="pct"/>
            <w:vAlign w:val="center"/>
          </w:tcPr>
          <w:p w:rsidR="00480BF4" w:rsidRDefault="00480BF4" w:rsidP="00480BF4">
            <w:pPr>
              <w:jc w:val="center"/>
              <w:rPr>
                <w:szCs w:val="20"/>
              </w:rPr>
            </w:pPr>
            <w:r>
              <w:rPr>
                <w:szCs w:val="20"/>
              </w:rPr>
              <w:t>DEER2014</w:t>
            </w:r>
          </w:p>
          <w:p w:rsidR="00480BF4" w:rsidRPr="00800509" w:rsidRDefault="00480BF4" w:rsidP="00480BF4">
            <w:pPr>
              <w:jc w:val="center"/>
              <w:rPr>
                <w:rFonts w:cs="Arial"/>
                <w:szCs w:val="20"/>
              </w:rPr>
            </w:pPr>
            <w:r>
              <w:rPr>
                <w:szCs w:val="20"/>
              </w:rPr>
              <w:t>D08 v2.05</w:t>
            </w:r>
          </w:p>
        </w:tc>
      </w:tr>
    </w:tbl>
    <w:p w:rsidR="00D0189F" w:rsidRDefault="00D0189F" w:rsidP="004A010B">
      <w:pPr>
        <w:rPr>
          <w:rFonts w:cs="Arial"/>
          <w:i/>
          <w:szCs w:val="20"/>
          <w:highlight w:val="cyan"/>
        </w:rPr>
      </w:pPr>
    </w:p>
    <w:p w:rsidR="00700FE0" w:rsidRDefault="00700FE0" w:rsidP="00700FE0">
      <w:pPr>
        <w:pStyle w:val="Heading2"/>
      </w:pPr>
      <w:bookmarkStart w:id="33" w:name="_Toc383697808"/>
      <w:bookmarkStart w:id="34" w:name="_Toc387418974"/>
      <w:bookmarkStart w:id="35" w:name="_Toc437875410"/>
      <w:r w:rsidRPr="00746B00">
        <w:t>1.4.2 Codes &amp; Standards Requirements Base Case and Measure Information</w:t>
      </w:r>
      <w:bookmarkEnd w:id="33"/>
      <w:bookmarkEnd w:id="34"/>
      <w:bookmarkEnd w:id="35"/>
    </w:p>
    <w:p w:rsidR="00700FE0" w:rsidRPr="00FD6423" w:rsidRDefault="00700FE0" w:rsidP="00700FE0">
      <w:r w:rsidRPr="00502494">
        <w:rPr>
          <w:rFonts w:cs="Arial"/>
          <w:b/>
          <w:szCs w:val="20"/>
        </w:rPr>
        <w:t>Title 24:</w:t>
      </w:r>
      <w:r>
        <w:rPr>
          <w:rFonts w:cs="Arial"/>
          <w:b/>
          <w:szCs w:val="20"/>
        </w:rPr>
        <w:t xml:space="preserve"> </w:t>
      </w:r>
      <w:r w:rsidRPr="00502494">
        <w:rPr>
          <w:rFonts w:cs="Arial"/>
          <w:szCs w:val="20"/>
        </w:rPr>
        <w:t>These measures</w:t>
      </w:r>
      <w:r w:rsidR="00C12AE2">
        <w:rPr>
          <w:rFonts w:cs="Arial"/>
          <w:szCs w:val="20"/>
        </w:rPr>
        <w:t xml:space="preserve"> do not fall under Title 24 [2013</w:t>
      </w:r>
      <w:r w:rsidRPr="00502494">
        <w:rPr>
          <w:rFonts w:cs="Arial"/>
          <w:szCs w:val="20"/>
        </w:rPr>
        <w:t>] Non-Residential Building Energy Efficiency Standards.</w:t>
      </w:r>
    </w:p>
    <w:p w:rsidR="00700FE0" w:rsidRDefault="00700FE0" w:rsidP="00700FE0">
      <w:pPr>
        <w:rPr>
          <w:rFonts w:cs="Arial"/>
          <w:b/>
          <w:szCs w:val="20"/>
        </w:rPr>
      </w:pPr>
    </w:p>
    <w:p w:rsidR="00700FE0" w:rsidRDefault="00700FE0" w:rsidP="00700FE0">
      <w:r w:rsidRPr="00502494">
        <w:rPr>
          <w:rFonts w:cs="Arial"/>
          <w:b/>
          <w:szCs w:val="20"/>
        </w:rPr>
        <w:t xml:space="preserve">Title 20: </w:t>
      </w:r>
      <w:r>
        <w:t>California Title 20</w:t>
      </w:r>
      <w:r w:rsidR="00480BF4">
        <w:t xml:space="preserve"> [2015]</w:t>
      </w:r>
      <w:r>
        <w:t xml:space="preserve"> lists the federal standards for incandescent reflector lamps. </w:t>
      </w:r>
    </w:p>
    <w:p w:rsidR="00700FE0" w:rsidRDefault="00700FE0" w:rsidP="00700FE0">
      <w:pPr>
        <w:rPr>
          <w:rFonts w:cs="Arial"/>
          <w:b/>
          <w:szCs w:val="20"/>
        </w:rPr>
      </w:pPr>
    </w:p>
    <w:p w:rsidR="00700FE0" w:rsidRDefault="00700FE0" w:rsidP="00700FE0">
      <w:r w:rsidRPr="00502494">
        <w:rPr>
          <w:rFonts w:cs="Arial"/>
          <w:b/>
          <w:szCs w:val="20"/>
        </w:rPr>
        <w:t xml:space="preserve">Federal Standards: </w:t>
      </w:r>
      <w:r>
        <w:t xml:space="preserve">Federally-regulated incandescent reflector lamps must meet a minimum average lamp efficacy level as shown in the table below.  Because the measures in this </w:t>
      </w:r>
      <w:proofErr w:type="spellStart"/>
      <w:r>
        <w:t>workpaper</w:t>
      </w:r>
      <w:proofErr w:type="spellEnd"/>
      <w:r>
        <w:t xml:space="preserve"> and the corresponding base case incandescent reflector wattages are governed by DEER methodology, the Title 20 efficacy requirements were not used to dictate the base and measure cases for this </w:t>
      </w:r>
      <w:proofErr w:type="spellStart"/>
      <w:r>
        <w:t>workpaper</w:t>
      </w:r>
      <w:proofErr w:type="spellEnd"/>
      <w:r>
        <w:t>.</w:t>
      </w:r>
    </w:p>
    <w:p w:rsidR="004A010B" w:rsidRDefault="004A010B" w:rsidP="004A010B">
      <w:pPr>
        <w:rPr>
          <w:rFonts w:cs="Arial"/>
          <w:i/>
          <w:szCs w:val="20"/>
          <w:highlight w:val="cyan"/>
        </w:rPr>
      </w:pPr>
    </w:p>
    <w:p w:rsidR="00700FE0" w:rsidRDefault="00700FE0" w:rsidP="00700FE0">
      <w:pPr>
        <w:pStyle w:val="Heading2"/>
      </w:pPr>
      <w:bookmarkStart w:id="36" w:name="_Toc304800207"/>
      <w:bookmarkStart w:id="37" w:name="_Toc324318343"/>
      <w:bookmarkStart w:id="38" w:name="_Toc324340487"/>
      <w:bookmarkStart w:id="39" w:name="_Toc381279671"/>
      <w:bookmarkStart w:id="40" w:name="_Toc383697809"/>
      <w:bookmarkStart w:id="41" w:name="_Toc387418975"/>
      <w:bookmarkStart w:id="42" w:name="_Toc437875411"/>
      <w:r w:rsidRPr="00746B00">
        <w:t>1.4.3 EM&amp;V, Market Potential, and Other Studies – Base Case and Measure Case Information</w:t>
      </w:r>
      <w:bookmarkEnd w:id="36"/>
      <w:bookmarkEnd w:id="37"/>
      <w:bookmarkEnd w:id="38"/>
      <w:bookmarkEnd w:id="39"/>
      <w:bookmarkEnd w:id="40"/>
      <w:bookmarkEnd w:id="41"/>
      <w:bookmarkEnd w:id="42"/>
    </w:p>
    <w:p w:rsidR="00700FE0" w:rsidRDefault="00700FE0" w:rsidP="00700FE0">
      <w:pPr>
        <w:rPr>
          <w:highlight w:val="cyan"/>
        </w:rPr>
      </w:pPr>
    </w:p>
    <w:p w:rsidR="00700FE0" w:rsidRPr="00BE6E60" w:rsidRDefault="00700FE0" w:rsidP="00700FE0">
      <w:r>
        <w:t xml:space="preserve">Refer to </w:t>
      </w:r>
      <w:r w:rsidRPr="00104559">
        <w:t>PGECOLTG107</w:t>
      </w:r>
      <w:r>
        <w:t xml:space="preserve">, </w:t>
      </w:r>
      <w:r w:rsidRPr="00104559">
        <w:t>PGECOLTG</w:t>
      </w:r>
      <w:r>
        <w:t>110</w:t>
      </w:r>
      <w:r w:rsidR="00F16334">
        <w:t xml:space="preserve"> </w:t>
      </w:r>
      <w:r>
        <w:t>&amp;</w:t>
      </w:r>
      <w:r w:rsidRPr="00104559">
        <w:t xml:space="preserve"> PGECOLTG111</w:t>
      </w:r>
      <w:r>
        <w:t xml:space="preserve"> for applicable study information.</w:t>
      </w:r>
    </w:p>
    <w:p w:rsidR="00700FE0" w:rsidRPr="00700FE0" w:rsidRDefault="00700FE0" w:rsidP="00700FE0">
      <w:pPr>
        <w:rPr>
          <w:highlight w:val="cyan"/>
        </w:rPr>
      </w:pPr>
    </w:p>
    <w:p w:rsidR="00106B4A" w:rsidRDefault="00106B4A">
      <w:pPr>
        <w:rPr>
          <w:rFonts w:cs="Arial"/>
          <w:b/>
          <w:bCs/>
          <w:kern w:val="32"/>
          <w:sz w:val="32"/>
          <w:szCs w:val="32"/>
        </w:rPr>
      </w:pPr>
      <w:bookmarkStart w:id="43" w:name="_Toc304800217"/>
      <w:bookmarkStart w:id="44" w:name="_Toc326835529"/>
      <w:r>
        <w:br w:type="page"/>
      </w:r>
    </w:p>
    <w:p w:rsidR="00D0189F" w:rsidRPr="00D0189F" w:rsidRDefault="00D0189F" w:rsidP="00574AAD">
      <w:pPr>
        <w:pStyle w:val="Heading1"/>
      </w:pPr>
      <w:bookmarkStart w:id="45" w:name="_Toc437875412"/>
      <w:proofErr w:type="gramStart"/>
      <w:r w:rsidRPr="00D0189F">
        <w:lastRenderedPageBreak/>
        <w:t>Section 2.</w:t>
      </w:r>
      <w:proofErr w:type="gramEnd"/>
      <w:r w:rsidRPr="00D0189F">
        <w:t xml:space="preserve"> Calculation Methodology</w:t>
      </w:r>
      <w:bookmarkEnd w:id="45"/>
    </w:p>
    <w:p w:rsidR="00381993" w:rsidRDefault="00381993" w:rsidP="00381993">
      <w:pPr>
        <w:pStyle w:val="Heading2"/>
      </w:pPr>
      <w:bookmarkStart w:id="46" w:name="_Toc432424292"/>
      <w:bookmarkStart w:id="47" w:name="_Toc437875413"/>
      <w:bookmarkStart w:id="48" w:name="_Toc214003093"/>
      <w:r w:rsidRPr="00E62792">
        <w:t>2.1 Electric Energy Savings Estimation Methodologies</w:t>
      </w:r>
      <w:bookmarkEnd w:id="46"/>
      <w:bookmarkEnd w:id="47"/>
    </w:p>
    <w:p w:rsidR="00381993" w:rsidRPr="00381993" w:rsidRDefault="00381993" w:rsidP="00381993">
      <w:r w:rsidRPr="00381993">
        <w:t xml:space="preserve">Energy and demand savings vary by market sector (building type) because of differences in operating hours and interactive effect multipliers. The operating hours and interactive effects for each segment were taken from DEER 2016 </w:t>
      </w:r>
      <w:r>
        <w:t xml:space="preserve">or DEER 2014 </w:t>
      </w:r>
      <w:r w:rsidRPr="00381993">
        <w:t>data.</w:t>
      </w:r>
    </w:p>
    <w:p w:rsidR="00381993" w:rsidRPr="00381993" w:rsidRDefault="00381993" w:rsidP="00381993"/>
    <w:p w:rsidR="00381993" w:rsidRPr="00381993" w:rsidRDefault="00381993" w:rsidP="00381993">
      <w:r w:rsidRPr="00381993">
        <w:t xml:space="preserve">The following </w:t>
      </w:r>
      <w:r>
        <w:t>formula was used to determine annual energy savings</w:t>
      </w:r>
      <w:r w:rsidRPr="00381993">
        <w:t>:</w:t>
      </w:r>
    </w:p>
    <w:p w:rsidR="00381993" w:rsidRPr="00381993" w:rsidRDefault="00381993" w:rsidP="00381993"/>
    <w:p w:rsidR="00381993" w:rsidRPr="00381993" w:rsidRDefault="00381993" w:rsidP="00381993">
      <w:r w:rsidRPr="00381993">
        <w:t xml:space="preserve">Annual Electric Savings = </w:t>
      </w:r>
      <w:r w:rsidRPr="00381993">
        <w:rPr>
          <w:u w:val="single"/>
        </w:rPr>
        <w:t>∆watts × annual hours of operation × kWh interactive effects factor</w:t>
      </w:r>
    </w:p>
    <w:p w:rsidR="00D0189F" w:rsidRDefault="00381993" w:rsidP="00381993">
      <w:r w:rsidRPr="00381993">
        <w:tab/>
      </w:r>
      <w:r w:rsidRPr="00381993">
        <w:tab/>
      </w:r>
      <w:r w:rsidRPr="00381993">
        <w:tab/>
      </w:r>
      <w:r>
        <w:tab/>
      </w:r>
      <w:r>
        <w:tab/>
      </w:r>
      <w:r>
        <w:tab/>
      </w:r>
      <w:r>
        <w:tab/>
      </w:r>
      <w:r w:rsidRPr="00381993">
        <w:t>1000</w:t>
      </w:r>
    </w:p>
    <w:p w:rsidR="00E472F5" w:rsidRDefault="00E472F5" w:rsidP="00E472F5"/>
    <w:p w:rsidR="00E472F5" w:rsidRPr="00C47CDA" w:rsidRDefault="00E472F5" w:rsidP="00E472F5">
      <w:r w:rsidRPr="004B756B">
        <w:t xml:space="preserve">An example calculation is presented below for measure code </w:t>
      </w:r>
      <w:bookmarkStart w:id="49" w:name="OLE_LINK8"/>
      <w:bookmarkStart w:id="50" w:name="OLE_LINK9"/>
      <w:r>
        <w:t>LC</w:t>
      </w:r>
      <w:r w:rsidRPr="004B756B">
        <w:t>1</w:t>
      </w:r>
      <w:r>
        <w:t>0</w:t>
      </w:r>
      <w:r w:rsidRPr="004B756B">
        <w:t>6</w:t>
      </w:r>
      <w:r>
        <w:t xml:space="preserve"> (CFL 7 Watt </w:t>
      </w:r>
      <w:proofErr w:type="spellStart"/>
      <w:r>
        <w:t>Int</w:t>
      </w:r>
      <w:proofErr w:type="spellEnd"/>
      <w:r w:rsidRPr="004B756B">
        <w:t>)</w:t>
      </w:r>
      <w:bookmarkEnd w:id="49"/>
      <w:bookmarkEnd w:id="50"/>
      <w:r>
        <w:t xml:space="preserve"> for ASM building type</w:t>
      </w:r>
      <w:r w:rsidRPr="004B756B">
        <w:t>.</w:t>
      </w:r>
      <w:r w:rsidRPr="0035341E">
        <w:rPr>
          <w:color w:val="FF0000"/>
        </w:rPr>
        <w:t xml:space="preserve"> </w:t>
      </w:r>
    </w:p>
    <w:p w:rsidR="00E472F5" w:rsidRDefault="00E472F5" w:rsidP="00E472F5"/>
    <w:p w:rsidR="00E472F5" w:rsidRDefault="00E472F5" w:rsidP="00E472F5">
      <w:pPr>
        <w:jc w:val="center"/>
      </w:pPr>
      <w:r w:rsidRPr="00EB28E0">
        <w:rPr>
          <w:position w:val="-42"/>
        </w:rPr>
        <w:object w:dxaOrig="7119"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55.5pt;height:48pt" o:ole="">
            <v:imagedata r:id="rId19" o:title=""/>
          </v:shape>
          <o:OLEObject Type="Embed" ProgID="Equation.3" ShapeID="_x0000_i1042" DrawAspect="Content" ObjectID="_1512284957" r:id="rId20"/>
        </w:object>
      </w:r>
    </w:p>
    <w:p w:rsidR="00381993" w:rsidRDefault="00381993" w:rsidP="00381993">
      <w:pPr>
        <w:pStyle w:val="Heading2"/>
        <w:keepNext w:val="0"/>
      </w:pPr>
      <w:bookmarkStart w:id="51" w:name="_Toc432424293"/>
      <w:bookmarkStart w:id="52" w:name="_Toc437875414"/>
      <w:r w:rsidRPr="00E62792">
        <w:t>2.2. Demand Reduction Estimation Methodologies</w:t>
      </w:r>
      <w:bookmarkEnd w:id="51"/>
      <w:bookmarkEnd w:id="52"/>
    </w:p>
    <w:p w:rsidR="00381993" w:rsidRDefault="00381993" w:rsidP="00381993">
      <w:r w:rsidRPr="00E62792">
        <w:t>Demand reduction varies by market sector (building type) due to different HVAC interactive effects and coincident peak demand multipliers for each type of building type. The operating hours, interactive effects, and coincident diversity factors (CDF) for each segment were taken from DEER 201</w:t>
      </w:r>
      <w:r>
        <w:t>6</w:t>
      </w:r>
      <w:r w:rsidRPr="00E62792">
        <w:t xml:space="preserve"> data.</w:t>
      </w:r>
    </w:p>
    <w:p w:rsidR="00381993" w:rsidRDefault="00381993" w:rsidP="00381993"/>
    <w:p w:rsidR="00381993" w:rsidRDefault="00381993" w:rsidP="00381993">
      <w:pPr>
        <w:keepNext/>
      </w:pPr>
      <w:r w:rsidRPr="00E62792">
        <w:t xml:space="preserve">The following </w:t>
      </w:r>
      <w:r>
        <w:t>formula was used to determine annual demand savings</w:t>
      </w:r>
      <w:r w:rsidRPr="00E62792">
        <w:t>:</w:t>
      </w:r>
    </w:p>
    <w:p w:rsidR="00381993" w:rsidRDefault="00381993" w:rsidP="00381993">
      <w:pPr>
        <w:keepNext/>
      </w:pPr>
    </w:p>
    <w:p w:rsidR="00381993" w:rsidRDefault="006B66C7" w:rsidP="00381993">
      <w:pPr>
        <w:ind w:left="720"/>
        <w:jc w:val="center"/>
        <w:rPr>
          <w:szCs w:val="20"/>
        </w:rPr>
      </w:pPr>
      <w:r>
        <w:rPr>
          <w:szCs w:val="20"/>
        </w:rPr>
        <w:t>Demand Savings</w:t>
      </w:r>
      <w:r w:rsidR="00381993" w:rsidRPr="00E62792">
        <w:rPr>
          <w:szCs w:val="20"/>
        </w:rPr>
        <w:t xml:space="preserve"> = </w:t>
      </w:r>
      <w:r w:rsidR="00381993" w:rsidRPr="00E62792">
        <w:rPr>
          <w:szCs w:val="20"/>
          <w:u w:val="single"/>
        </w:rPr>
        <w:t xml:space="preserve">∆watts </w:t>
      </w:r>
      <w:r w:rsidR="00381993">
        <w:rPr>
          <w:szCs w:val="20"/>
          <w:u w:val="single"/>
        </w:rPr>
        <w:t>×</w:t>
      </w:r>
      <w:r w:rsidR="00381993" w:rsidRPr="00E62792">
        <w:rPr>
          <w:szCs w:val="20"/>
          <w:u w:val="single"/>
        </w:rPr>
        <w:t xml:space="preserve"> kW interactive effects factor </w:t>
      </w:r>
      <w:r w:rsidR="00381993">
        <w:rPr>
          <w:szCs w:val="20"/>
          <w:u w:val="single"/>
        </w:rPr>
        <w:t>×</w:t>
      </w:r>
      <w:r w:rsidR="00381993" w:rsidRPr="00E62792">
        <w:rPr>
          <w:szCs w:val="20"/>
          <w:u w:val="single"/>
        </w:rPr>
        <w:t xml:space="preserve"> CDF</w:t>
      </w:r>
    </w:p>
    <w:p w:rsidR="00381993" w:rsidRDefault="00381993" w:rsidP="00E472F5">
      <w:pPr>
        <w:ind w:left="720"/>
        <w:jc w:val="center"/>
        <w:rPr>
          <w:szCs w:val="20"/>
        </w:rPr>
      </w:pPr>
      <w:r w:rsidRPr="00E62792">
        <w:rPr>
          <w:szCs w:val="20"/>
        </w:rPr>
        <w:tab/>
      </w:r>
      <w:r w:rsidRPr="00E62792">
        <w:rPr>
          <w:szCs w:val="20"/>
        </w:rPr>
        <w:tab/>
      </w:r>
      <w:r w:rsidRPr="00E62792">
        <w:rPr>
          <w:szCs w:val="20"/>
        </w:rPr>
        <w:tab/>
        <w:t>1000</w:t>
      </w:r>
    </w:p>
    <w:p w:rsidR="00E472F5" w:rsidRDefault="00E472F5" w:rsidP="00E472F5"/>
    <w:p w:rsidR="00E472F5" w:rsidRPr="003E5DFF" w:rsidRDefault="00E472F5" w:rsidP="00E472F5">
      <w:r w:rsidRPr="003E5DFF">
        <w:t xml:space="preserve">An example calculation is presented below for measure code </w:t>
      </w:r>
      <w:r>
        <w:t>LC</w:t>
      </w:r>
      <w:r w:rsidRPr="004B756B">
        <w:t>1</w:t>
      </w:r>
      <w:r>
        <w:t>0</w:t>
      </w:r>
      <w:r w:rsidRPr="004B756B">
        <w:t>6</w:t>
      </w:r>
      <w:r>
        <w:t xml:space="preserve"> (CFL 7 Watt </w:t>
      </w:r>
      <w:proofErr w:type="spellStart"/>
      <w:r>
        <w:t>Int</w:t>
      </w:r>
      <w:proofErr w:type="spellEnd"/>
      <w:r w:rsidRPr="004B756B">
        <w:t>)</w:t>
      </w:r>
      <w:r>
        <w:t xml:space="preserve"> for ASM building type</w:t>
      </w:r>
      <w:r w:rsidRPr="004B756B">
        <w:t>.</w:t>
      </w:r>
    </w:p>
    <w:p w:rsidR="00E472F5" w:rsidRDefault="00E472F5" w:rsidP="00E472F5">
      <w:pPr>
        <w:ind w:left="720"/>
        <w:jc w:val="center"/>
        <w:rPr>
          <w:szCs w:val="20"/>
        </w:rPr>
      </w:pPr>
      <w:r w:rsidRPr="00B02139">
        <w:rPr>
          <w:position w:val="-42"/>
        </w:rPr>
        <w:object w:dxaOrig="7740" w:dyaOrig="960">
          <v:shape id="_x0000_i1045" type="#_x0000_t75" style="width:388.5pt;height:48pt" o:ole="">
            <v:imagedata r:id="rId21" o:title=""/>
          </v:shape>
          <o:OLEObject Type="Embed" ProgID="Equation.3" ShapeID="_x0000_i1045" DrawAspect="Content" ObjectID="_1512284958" r:id="rId22"/>
        </w:object>
      </w:r>
    </w:p>
    <w:p w:rsidR="00381993" w:rsidRDefault="00381993" w:rsidP="00381993">
      <w:pPr>
        <w:pStyle w:val="Heading2"/>
      </w:pPr>
      <w:bookmarkStart w:id="53" w:name="_Toc432424294"/>
      <w:bookmarkStart w:id="54" w:name="_Toc437875415"/>
      <w:r w:rsidRPr="00E62792">
        <w:t>2.3. Gas Energy Savings Estimation Methodologies</w:t>
      </w:r>
      <w:bookmarkEnd w:id="53"/>
      <w:bookmarkEnd w:id="54"/>
    </w:p>
    <w:p w:rsidR="00381993" w:rsidRDefault="00381993" w:rsidP="00381993">
      <w:r w:rsidRPr="00E62792">
        <w:t>DEER 201</w:t>
      </w:r>
      <w:r>
        <w:t>6</w:t>
      </w:r>
      <w:r w:rsidRPr="00E62792">
        <w:t xml:space="preserve"> included an analysis of the thermal interactive effects of lighting measures. The energy savings achieved via a reduction in lighting demand is partially offset by an increase in thermal energy needed for heating.</w:t>
      </w:r>
    </w:p>
    <w:p w:rsidR="00381993" w:rsidRDefault="00381993" w:rsidP="00381993"/>
    <w:p w:rsidR="00381993" w:rsidRDefault="00381993" w:rsidP="00381993">
      <w:r w:rsidRPr="00E62792">
        <w:t xml:space="preserve">The following </w:t>
      </w:r>
      <w:r>
        <w:t>formula was used to determine annual gas savings</w:t>
      </w:r>
      <w:r w:rsidRPr="00E62792">
        <w:t>:</w:t>
      </w:r>
    </w:p>
    <w:p w:rsidR="00381993" w:rsidRDefault="00381993" w:rsidP="00381993"/>
    <w:p w:rsidR="00381993" w:rsidRDefault="00381993" w:rsidP="00381993">
      <w:pPr>
        <w:ind w:right="-180"/>
        <w:jc w:val="center"/>
        <w:rPr>
          <w:szCs w:val="20"/>
          <w:u w:val="single"/>
        </w:rPr>
      </w:pPr>
      <w:r>
        <w:rPr>
          <w:szCs w:val="20"/>
        </w:rPr>
        <w:t>Gas Savings</w:t>
      </w:r>
      <w:r w:rsidRPr="00E62792">
        <w:rPr>
          <w:szCs w:val="20"/>
        </w:rPr>
        <w:t xml:space="preserve"> = </w:t>
      </w:r>
      <w:r w:rsidRPr="00E62792">
        <w:rPr>
          <w:szCs w:val="20"/>
          <w:u w:val="single"/>
        </w:rPr>
        <w:t xml:space="preserve">(∆Watts/unit) </w:t>
      </w:r>
      <w:r>
        <w:rPr>
          <w:szCs w:val="20"/>
          <w:u w:val="single"/>
        </w:rPr>
        <w:t>×</w:t>
      </w:r>
      <w:r w:rsidRPr="00E62792">
        <w:rPr>
          <w:szCs w:val="20"/>
          <w:u w:val="single"/>
        </w:rPr>
        <w:t xml:space="preserve"> (annual hours of use) </w:t>
      </w:r>
      <w:r>
        <w:rPr>
          <w:szCs w:val="20"/>
          <w:u w:val="single"/>
        </w:rPr>
        <w:t>×</w:t>
      </w:r>
      <w:r w:rsidRPr="00E62792">
        <w:rPr>
          <w:szCs w:val="20"/>
          <w:u w:val="single"/>
        </w:rPr>
        <w:t xml:space="preserve"> Interactive Effects Factor (</w:t>
      </w:r>
      <w:proofErr w:type="spellStart"/>
      <w:r w:rsidRPr="00E62792">
        <w:rPr>
          <w:szCs w:val="20"/>
          <w:u w:val="single"/>
        </w:rPr>
        <w:t>Therms</w:t>
      </w:r>
      <w:proofErr w:type="spellEnd"/>
      <w:r w:rsidRPr="00E62792">
        <w:rPr>
          <w:szCs w:val="20"/>
          <w:u w:val="single"/>
        </w:rPr>
        <w:t>/kWh)</w:t>
      </w:r>
    </w:p>
    <w:p w:rsidR="00381993" w:rsidRDefault="00381993" w:rsidP="00381993">
      <w:pPr>
        <w:jc w:val="center"/>
        <w:rPr>
          <w:szCs w:val="20"/>
        </w:rPr>
      </w:pPr>
      <w:r w:rsidRPr="00E62792">
        <w:rPr>
          <w:szCs w:val="20"/>
        </w:rPr>
        <w:tab/>
      </w:r>
      <w:r w:rsidRPr="00E62792">
        <w:rPr>
          <w:szCs w:val="20"/>
        </w:rPr>
        <w:tab/>
        <w:t>1,000</w:t>
      </w:r>
    </w:p>
    <w:p w:rsidR="00381993" w:rsidRDefault="00381993" w:rsidP="00381993">
      <w:pPr>
        <w:ind w:left="720"/>
        <w:jc w:val="center"/>
        <w:rPr>
          <w:szCs w:val="20"/>
        </w:rPr>
      </w:pPr>
    </w:p>
    <w:p w:rsidR="00E472F5" w:rsidRDefault="00E472F5" w:rsidP="00E472F5">
      <w:pPr>
        <w:ind w:right="-180"/>
      </w:pPr>
      <w:r w:rsidRPr="003E5DFF">
        <w:t>An example calculation is presente</w:t>
      </w:r>
      <w:r>
        <w:t xml:space="preserve">d below for measure code </w:t>
      </w:r>
      <w:r>
        <w:t>LC</w:t>
      </w:r>
      <w:r w:rsidRPr="004B756B">
        <w:t>1</w:t>
      </w:r>
      <w:r>
        <w:t>0</w:t>
      </w:r>
      <w:r w:rsidRPr="004B756B">
        <w:t>6</w:t>
      </w:r>
      <w:r>
        <w:t xml:space="preserve"> (CFL 7 Watt </w:t>
      </w:r>
      <w:proofErr w:type="spellStart"/>
      <w:r>
        <w:t>Int</w:t>
      </w:r>
      <w:proofErr w:type="spellEnd"/>
      <w:r w:rsidRPr="004B756B">
        <w:t>)</w:t>
      </w:r>
      <w:r>
        <w:t xml:space="preserve"> for ASM building type</w:t>
      </w:r>
      <w:r w:rsidRPr="004B756B">
        <w:t>.</w:t>
      </w:r>
      <w:bookmarkStart w:id="55" w:name="_GoBack"/>
      <w:bookmarkEnd w:id="55"/>
    </w:p>
    <w:p w:rsidR="00E472F5" w:rsidRDefault="00E472F5" w:rsidP="00E472F5">
      <w:pPr>
        <w:ind w:right="-180"/>
      </w:pPr>
    </w:p>
    <w:p w:rsidR="00D0189F" w:rsidRDefault="00E472F5" w:rsidP="00E472F5">
      <w:pPr>
        <w:jc w:val="center"/>
        <w:rPr>
          <w:rFonts w:asciiTheme="minorHAnsi" w:hAnsiTheme="minorHAnsi" w:cstheme="minorHAnsi"/>
          <w:b/>
          <w:bCs/>
          <w:smallCaps/>
          <w:kern w:val="32"/>
          <w:sz w:val="36"/>
          <w:szCs w:val="32"/>
        </w:rPr>
      </w:pPr>
      <w:r w:rsidRPr="00E639CC">
        <w:rPr>
          <w:sz w:val="18"/>
          <w:szCs w:val="18"/>
        </w:rPr>
        <w:t>Ga</w:t>
      </w:r>
      <w:r>
        <w:rPr>
          <w:sz w:val="18"/>
          <w:szCs w:val="18"/>
        </w:rPr>
        <w:t>s Savings [-0.</w:t>
      </w:r>
      <w:r>
        <w:rPr>
          <w:sz w:val="18"/>
          <w:szCs w:val="18"/>
        </w:rPr>
        <w:t>2070</w:t>
      </w:r>
      <w:r>
        <w:rPr>
          <w:sz w:val="18"/>
          <w:szCs w:val="18"/>
        </w:rPr>
        <w:t>Therm/Unit-year] = (0.</w:t>
      </w:r>
      <w:r>
        <w:rPr>
          <w:sz w:val="18"/>
          <w:szCs w:val="18"/>
        </w:rPr>
        <w:t>007*2.53</w:t>
      </w:r>
      <w:r>
        <w:rPr>
          <w:sz w:val="18"/>
          <w:szCs w:val="18"/>
        </w:rPr>
        <w:t xml:space="preserve">-0.007 </w:t>
      </w:r>
      <w:proofErr w:type="spellStart"/>
      <w:r>
        <w:rPr>
          <w:sz w:val="18"/>
          <w:szCs w:val="18"/>
        </w:rPr>
        <w:t>K</w:t>
      </w:r>
      <w:r w:rsidRPr="00E639CC">
        <w:rPr>
          <w:sz w:val="18"/>
          <w:szCs w:val="18"/>
        </w:rPr>
        <w:t>Watts</w:t>
      </w:r>
      <w:proofErr w:type="spellEnd"/>
      <w:r w:rsidRPr="00E639CC">
        <w:rPr>
          <w:sz w:val="18"/>
          <w:szCs w:val="18"/>
        </w:rPr>
        <w:t>/unit) x (</w:t>
      </w:r>
      <w:r>
        <w:rPr>
          <w:sz w:val="18"/>
          <w:szCs w:val="18"/>
        </w:rPr>
        <w:t>1160</w:t>
      </w:r>
      <w:r w:rsidRPr="00E639CC">
        <w:rPr>
          <w:sz w:val="18"/>
          <w:szCs w:val="18"/>
        </w:rPr>
        <w:t xml:space="preserve">) x </w:t>
      </w:r>
      <w:r>
        <w:rPr>
          <w:sz w:val="18"/>
          <w:szCs w:val="18"/>
        </w:rPr>
        <w:t>-0.0</w:t>
      </w:r>
      <w:r>
        <w:rPr>
          <w:sz w:val="18"/>
          <w:szCs w:val="18"/>
        </w:rPr>
        <w:t>10</w:t>
      </w:r>
      <w:r w:rsidR="00D0189F">
        <w:rPr>
          <w:rFonts w:asciiTheme="minorHAnsi" w:hAnsiTheme="minorHAnsi" w:cstheme="minorHAnsi"/>
          <w:b/>
          <w:bCs/>
          <w:smallCaps/>
          <w:kern w:val="32"/>
          <w:sz w:val="36"/>
          <w:szCs w:val="32"/>
        </w:rPr>
        <w:br w:type="page"/>
      </w:r>
    </w:p>
    <w:p w:rsidR="00D0189F" w:rsidRPr="00D0189F" w:rsidRDefault="00D0189F" w:rsidP="00574AAD">
      <w:pPr>
        <w:pStyle w:val="Heading1"/>
      </w:pPr>
      <w:bookmarkStart w:id="56" w:name="_Toc437875416"/>
      <w:proofErr w:type="gramStart"/>
      <w:r w:rsidRPr="00D0189F">
        <w:lastRenderedPageBreak/>
        <w:t>Section 3.</w:t>
      </w:r>
      <w:proofErr w:type="gramEnd"/>
      <w:r w:rsidRPr="00D0189F">
        <w:t xml:space="preserve"> Load Shape</w:t>
      </w:r>
      <w:bookmarkEnd w:id="48"/>
      <w:r w:rsidRPr="00D0189F">
        <w:t>s</w:t>
      </w:r>
      <w:bookmarkEnd w:id="56"/>
    </w:p>
    <w:p w:rsidR="00381993" w:rsidRDefault="00381993" w:rsidP="00381993">
      <w:pPr>
        <w:autoSpaceDE w:val="0"/>
        <w:autoSpaceDN w:val="0"/>
        <w:adjustRightInd w:val="0"/>
      </w:pPr>
      <w:r w:rsidRPr="00E62792">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381993" w:rsidRDefault="00381993" w:rsidP="00381993">
      <w:pPr>
        <w:pStyle w:val="Heading2"/>
        <w:keepNext w:val="0"/>
      </w:pPr>
      <w:bookmarkStart w:id="57" w:name="_Toc173742996"/>
      <w:bookmarkStart w:id="58" w:name="_Toc432424296"/>
      <w:bookmarkStart w:id="59" w:name="_Toc437875417"/>
      <w:r w:rsidRPr="00E62792">
        <w:t>3.1 Base Case Load Shapes</w:t>
      </w:r>
      <w:bookmarkEnd w:id="57"/>
      <w:bookmarkEnd w:id="58"/>
      <w:bookmarkEnd w:id="59"/>
    </w:p>
    <w:p w:rsidR="00381993" w:rsidRDefault="00381993" w:rsidP="00381993">
      <w:bookmarkStart w:id="60" w:name="_Toc173742997"/>
      <w:r w:rsidRPr="00E62792">
        <w:t xml:space="preserve">The base case load shape would be expected to follow a typical residential </w:t>
      </w:r>
      <w:r>
        <w:t>or nonresidential</w:t>
      </w:r>
      <w:r w:rsidRPr="00E62792">
        <w:t xml:space="preserve"> </w:t>
      </w:r>
      <w:r>
        <w:t>lighting end-</w:t>
      </w:r>
      <w:r w:rsidRPr="00E62792">
        <w:t>use load shape.</w:t>
      </w:r>
    </w:p>
    <w:p w:rsidR="00381993" w:rsidRDefault="00381993" w:rsidP="00381993">
      <w:pPr>
        <w:pStyle w:val="Heading2"/>
        <w:keepNext w:val="0"/>
      </w:pPr>
      <w:bookmarkStart w:id="61" w:name="_Toc432424297"/>
      <w:bookmarkStart w:id="62" w:name="_Toc437875418"/>
      <w:r w:rsidRPr="00E62792">
        <w:t>3.2 Measure Load Shapes</w:t>
      </w:r>
      <w:bookmarkEnd w:id="60"/>
      <w:bookmarkEnd w:id="61"/>
      <w:bookmarkEnd w:id="62"/>
    </w:p>
    <w:p w:rsidR="00381993" w:rsidRDefault="00381993" w:rsidP="00381993">
      <w:r w:rsidRPr="00E62792">
        <w:t xml:space="preserve">For purposes of the net benefits estimates in the E3 calculator, what is required is the load shape that ideally represents the </w:t>
      </w:r>
      <w:r w:rsidRPr="00E62792">
        <w:rPr>
          <w:i/>
        </w:rPr>
        <w:t>difference</w:t>
      </w:r>
      <w:r w:rsidRPr="00E62792">
        <w:t xml:space="preserve"> between the base equipment and the installed energy efficiency measure. This </w:t>
      </w:r>
      <w:r w:rsidRPr="00E62792">
        <w:rPr>
          <w:i/>
        </w:rPr>
        <w:t>difference</w:t>
      </w:r>
      <w:r w:rsidRPr="00E62792">
        <w:t xml:space="preserve"> load profile is what is called the Measure Load Shape and would be the preferred load shape for use in the net benefits calculations. </w:t>
      </w:r>
    </w:p>
    <w:p w:rsidR="00381993" w:rsidRDefault="00381993" w:rsidP="00381993"/>
    <w:p w:rsidR="00D0189F" w:rsidRDefault="00381993" w:rsidP="00381993">
      <w:r w:rsidRPr="00E62792">
        <w:t>The measure load shape for this measure is determined by the E3 calculator based on the applicable residential</w:t>
      </w:r>
      <w:r>
        <w:t xml:space="preserve"> or nonresidential</w:t>
      </w:r>
      <w:r w:rsidRPr="00E62792">
        <w:rPr>
          <w:i/>
        </w:rPr>
        <w:t xml:space="preserve"> </w:t>
      </w:r>
      <w:r w:rsidRPr="00E62792">
        <w:t>market sector and the lighting end-use.</w:t>
      </w:r>
    </w:p>
    <w:p w:rsidR="00381993" w:rsidRPr="00D0189F" w:rsidRDefault="00381993" w:rsidP="00381993">
      <w:pPr>
        <w:rPr>
          <w:rFonts w:asciiTheme="minorHAnsi" w:hAnsiTheme="minorHAnsi" w:cstheme="minorHAnsi"/>
          <w:sz w:val="22"/>
          <w:szCs w:val="22"/>
        </w:rPr>
      </w:pPr>
    </w:p>
    <w:p w:rsidR="00D0189F" w:rsidRPr="00D0189F" w:rsidRDefault="00381993" w:rsidP="00381993">
      <w:pPr>
        <w:pStyle w:val="Caption"/>
        <w:jc w:val="center"/>
        <w:rPr>
          <w:rFonts w:asciiTheme="minorHAnsi" w:hAnsiTheme="minorHAnsi" w:cstheme="minorHAnsi"/>
          <w:bCs w:val="0"/>
          <w:sz w:val="22"/>
          <w:szCs w:val="22"/>
        </w:rPr>
      </w:pPr>
      <w:bookmarkStart w:id="63" w:name="_Toc437875427"/>
      <w:r>
        <w:t xml:space="preserve">Table </w:t>
      </w:r>
      <w:r w:rsidR="00E472F5">
        <w:fldChar w:fldCharType="begin"/>
      </w:r>
      <w:r w:rsidR="00E472F5">
        <w:instrText xml:space="preserve"> SEQ Table \* ARABIC </w:instrText>
      </w:r>
      <w:r w:rsidR="00E472F5">
        <w:fldChar w:fldCharType="separate"/>
      </w:r>
      <w:r>
        <w:rPr>
          <w:noProof/>
        </w:rPr>
        <w:t>4</w:t>
      </w:r>
      <w:r w:rsidR="00E472F5">
        <w:rPr>
          <w:noProof/>
        </w:rPr>
        <w:fldChar w:fldCharType="end"/>
      </w:r>
      <w:r>
        <w:t xml:space="preserve"> Building Types and Load Shapes</w:t>
      </w:r>
      <w:bookmarkEnd w:id="63"/>
    </w:p>
    <w:tbl>
      <w:tblPr>
        <w:tblStyle w:val="TableGrid12"/>
        <w:tblW w:w="5000" w:type="pct"/>
        <w:tblLook w:val="01E0" w:firstRow="1" w:lastRow="1" w:firstColumn="1" w:lastColumn="1" w:noHBand="0" w:noVBand="0"/>
      </w:tblPr>
      <w:tblGrid>
        <w:gridCol w:w="3229"/>
        <w:gridCol w:w="3407"/>
        <w:gridCol w:w="2940"/>
      </w:tblGrid>
      <w:tr w:rsidR="00D0189F" w:rsidRPr="00381993" w:rsidTr="00B66833">
        <w:tc>
          <w:tcPr>
            <w:tcW w:w="1686" w:type="pct"/>
            <w:shd w:val="clear" w:color="auto" w:fill="D9D9D9" w:themeFill="background1" w:themeFillShade="D9"/>
            <w:vAlign w:val="center"/>
          </w:tcPr>
          <w:p w:rsidR="00D0189F" w:rsidRPr="00520640" w:rsidRDefault="00D0189F" w:rsidP="00B66833">
            <w:pPr>
              <w:jc w:val="center"/>
              <w:rPr>
                <w:rFonts w:cs="Arial"/>
                <w:b/>
                <w:szCs w:val="20"/>
                <w:highlight w:val="yellow"/>
              </w:rPr>
            </w:pPr>
            <w:r w:rsidRPr="00520640">
              <w:rPr>
                <w:rFonts w:cs="Arial"/>
                <w:b/>
                <w:szCs w:val="20"/>
              </w:rPr>
              <w:t>Building Type</w:t>
            </w:r>
          </w:p>
        </w:tc>
        <w:tc>
          <w:tcPr>
            <w:tcW w:w="1779" w:type="pct"/>
            <w:shd w:val="clear" w:color="auto" w:fill="D9D9D9" w:themeFill="background1" w:themeFillShade="D9"/>
            <w:vAlign w:val="center"/>
          </w:tcPr>
          <w:p w:rsidR="00D0189F" w:rsidRPr="00520640" w:rsidRDefault="00D0189F" w:rsidP="00B66833">
            <w:pPr>
              <w:jc w:val="center"/>
              <w:rPr>
                <w:rFonts w:cs="Arial"/>
                <w:b/>
                <w:szCs w:val="20"/>
              </w:rPr>
            </w:pPr>
            <w:r w:rsidRPr="00520640">
              <w:rPr>
                <w:rFonts w:cs="Arial"/>
                <w:b/>
                <w:szCs w:val="20"/>
              </w:rPr>
              <w:t>Load Shape</w:t>
            </w:r>
          </w:p>
        </w:tc>
        <w:tc>
          <w:tcPr>
            <w:tcW w:w="1535" w:type="pct"/>
            <w:shd w:val="clear" w:color="auto" w:fill="D9D9D9" w:themeFill="background1" w:themeFillShade="D9"/>
            <w:vAlign w:val="center"/>
          </w:tcPr>
          <w:p w:rsidR="00D0189F" w:rsidRPr="00520640" w:rsidRDefault="00D0189F" w:rsidP="00B66833">
            <w:pPr>
              <w:jc w:val="center"/>
              <w:rPr>
                <w:rFonts w:cs="Arial"/>
                <w:b/>
                <w:szCs w:val="20"/>
                <w:highlight w:val="yellow"/>
              </w:rPr>
            </w:pPr>
            <w:r w:rsidRPr="00520640">
              <w:rPr>
                <w:rFonts w:cs="Arial"/>
                <w:b/>
                <w:szCs w:val="20"/>
              </w:rPr>
              <w:t>E3 Alternate Building Type</w:t>
            </w:r>
          </w:p>
        </w:tc>
      </w:tr>
      <w:tr w:rsidR="00D0189F" w:rsidRPr="00D0189F" w:rsidTr="00B66833">
        <w:tc>
          <w:tcPr>
            <w:tcW w:w="1686" w:type="pct"/>
            <w:vAlign w:val="center"/>
          </w:tcPr>
          <w:p w:rsidR="00D0189F" w:rsidRPr="00520640" w:rsidRDefault="00381993" w:rsidP="0048696C">
            <w:pPr>
              <w:jc w:val="center"/>
              <w:rPr>
                <w:rFonts w:cs="Arial"/>
                <w:szCs w:val="20"/>
              </w:rPr>
            </w:pPr>
            <w:r w:rsidRPr="00520640">
              <w:rPr>
                <w:rFonts w:cs="Arial"/>
                <w:szCs w:val="20"/>
              </w:rPr>
              <w:t>Commercial</w:t>
            </w:r>
          </w:p>
        </w:tc>
        <w:tc>
          <w:tcPr>
            <w:tcW w:w="1779" w:type="pct"/>
            <w:vAlign w:val="center"/>
          </w:tcPr>
          <w:p w:rsidR="00D0189F" w:rsidRPr="00520640" w:rsidRDefault="00381993" w:rsidP="00B66833">
            <w:pPr>
              <w:jc w:val="center"/>
              <w:rPr>
                <w:rFonts w:cs="Arial"/>
                <w:szCs w:val="20"/>
              </w:rPr>
            </w:pPr>
            <w:r w:rsidRPr="00520640">
              <w:rPr>
                <w:rFonts w:cs="Arial"/>
                <w:szCs w:val="20"/>
              </w:rPr>
              <w:t>PGE:2 = Commercial Outdoor Lighting</w:t>
            </w:r>
          </w:p>
        </w:tc>
        <w:tc>
          <w:tcPr>
            <w:tcW w:w="1535" w:type="pct"/>
            <w:vAlign w:val="center"/>
          </w:tcPr>
          <w:p w:rsidR="00D0189F" w:rsidRPr="00520640" w:rsidRDefault="00B66833" w:rsidP="00B66833">
            <w:pPr>
              <w:jc w:val="center"/>
              <w:rPr>
                <w:rFonts w:cs="Arial"/>
                <w:szCs w:val="20"/>
              </w:rPr>
            </w:pPr>
            <w:r w:rsidRPr="00520640">
              <w:rPr>
                <w:rFonts w:cs="Arial"/>
                <w:szCs w:val="20"/>
              </w:rPr>
              <w:t>COMMERCIAL</w:t>
            </w:r>
          </w:p>
        </w:tc>
      </w:tr>
      <w:tr w:rsidR="0048696C" w:rsidRPr="00D0189F" w:rsidTr="00B66833">
        <w:tc>
          <w:tcPr>
            <w:tcW w:w="1686" w:type="pct"/>
            <w:vAlign w:val="center"/>
          </w:tcPr>
          <w:p w:rsidR="0048696C" w:rsidRPr="00520640" w:rsidRDefault="0048696C" w:rsidP="00B66833">
            <w:pPr>
              <w:jc w:val="center"/>
              <w:rPr>
                <w:rFonts w:cs="Arial"/>
                <w:szCs w:val="20"/>
              </w:rPr>
            </w:pPr>
            <w:r>
              <w:rPr>
                <w:rFonts w:cs="Arial"/>
                <w:szCs w:val="20"/>
              </w:rPr>
              <w:t>Commercial</w:t>
            </w:r>
          </w:p>
        </w:tc>
        <w:tc>
          <w:tcPr>
            <w:tcW w:w="1779" w:type="pct"/>
            <w:vAlign w:val="center"/>
          </w:tcPr>
          <w:p w:rsidR="0048696C" w:rsidRPr="00520640" w:rsidRDefault="0048696C" w:rsidP="00B66833">
            <w:pPr>
              <w:jc w:val="center"/>
              <w:rPr>
                <w:rFonts w:cs="Arial"/>
                <w:szCs w:val="20"/>
              </w:rPr>
            </w:pPr>
            <w:proofErr w:type="spellStart"/>
            <w:r w:rsidRPr="0048696C">
              <w:rPr>
                <w:rFonts w:cs="Arial"/>
                <w:szCs w:val="20"/>
              </w:rPr>
              <w:t>PGE:DEER:Com:Indoor_CFL_Ltg</w:t>
            </w:r>
            <w:proofErr w:type="spellEnd"/>
          </w:p>
        </w:tc>
        <w:tc>
          <w:tcPr>
            <w:tcW w:w="1535" w:type="pct"/>
            <w:vAlign w:val="center"/>
          </w:tcPr>
          <w:p w:rsidR="0048696C" w:rsidRPr="00520640" w:rsidRDefault="0048696C" w:rsidP="00B66833">
            <w:pPr>
              <w:jc w:val="center"/>
              <w:rPr>
                <w:rFonts w:cs="Arial"/>
                <w:szCs w:val="20"/>
              </w:rPr>
            </w:pPr>
            <w:r>
              <w:rPr>
                <w:rFonts w:cs="Arial"/>
                <w:szCs w:val="20"/>
              </w:rPr>
              <w:t>NON_RES</w:t>
            </w:r>
          </w:p>
        </w:tc>
      </w:tr>
      <w:tr w:rsidR="00D0189F" w:rsidRPr="00D0189F" w:rsidTr="00B66833">
        <w:tc>
          <w:tcPr>
            <w:tcW w:w="1686" w:type="pct"/>
            <w:vAlign w:val="center"/>
          </w:tcPr>
          <w:p w:rsidR="00D0189F" w:rsidRPr="00520640" w:rsidRDefault="00381993" w:rsidP="0048696C">
            <w:pPr>
              <w:jc w:val="center"/>
              <w:rPr>
                <w:rFonts w:cs="Arial"/>
                <w:szCs w:val="20"/>
              </w:rPr>
            </w:pPr>
            <w:r w:rsidRPr="00520640">
              <w:rPr>
                <w:rFonts w:cs="Arial"/>
                <w:szCs w:val="20"/>
              </w:rPr>
              <w:t>Residential</w:t>
            </w:r>
            <w:r w:rsidR="00B66833" w:rsidRPr="00520640">
              <w:rPr>
                <w:rFonts w:cs="Arial"/>
                <w:szCs w:val="20"/>
              </w:rPr>
              <w:t xml:space="preserve"> </w:t>
            </w:r>
          </w:p>
        </w:tc>
        <w:tc>
          <w:tcPr>
            <w:tcW w:w="1779" w:type="pct"/>
            <w:vAlign w:val="center"/>
          </w:tcPr>
          <w:p w:rsidR="00D0189F" w:rsidRPr="00520640" w:rsidRDefault="00381993" w:rsidP="00B66833">
            <w:pPr>
              <w:jc w:val="center"/>
              <w:rPr>
                <w:rFonts w:cs="Arial"/>
                <w:szCs w:val="20"/>
              </w:rPr>
            </w:pPr>
            <w:proofErr w:type="spellStart"/>
            <w:r w:rsidRPr="00520640">
              <w:rPr>
                <w:rFonts w:cs="Arial"/>
                <w:szCs w:val="20"/>
              </w:rPr>
              <w:t>PGE:DEER:Indoor_CFL_Ltg</w:t>
            </w:r>
            <w:proofErr w:type="spellEnd"/>
          </w:p>
        </w:tc>
        <w:tc>
          <w:tcPr>
            <w:tcW w:w="1535" w:type="pct"/>
            <w:vAlign w:val="center"/>
          </w:tcPr>
          <w:p w:rsidR="00D0189F" w:rsidRPr="00520640" w:rsidRDefault="00B66833" w:rsidP="00B66833">
            <w:pPr>
              <w:jc w:val="center"/>
              <w:rPr>
                <w:rFonts w:cs="Arial"/>
                <w:szCs w:val="20"/>
              </w:rPr>
            </w:pPr>
            <w:r w:rsidRPr="00520640">
              <w:rPr>
                <w:rFonts w:cs="Arial"/>
                <w:szCs w:val="20"/>
              </w:rPr>
              <w:t>RES</w:t>
            </w:r>
          </w:p>
        </w:tc>
      </w:tr>
    </w:tbl>
    <w:p w:rsidR="00D0189F" w:rsidRDefault="00D0189F" w:rsidP="004A010B">
      <w:pPr>
        <w:pStyle w:val="Heading1"/>
      </w:pPr>
    </w:p>
    <w:p w:rsidR="00D0189F" w:rsidRDefault="00D0189F">
      <w:pPr>
        <w:rPr>
          <w:rFonts w:cs="Arial"/>
          <w:b/>
          <w:bCs/>
          <w:kern w:val="32"/>
          <w:sz w:val="32"/>
          <w:szCs w:val="32"/>
        </w:rPr>
      </w:pPr>
      <w:r>
        <w:br w:type="page"/>
      </w:r>
    </w:p>
    <w:p w:rsidR="004A010B" w:rsidRPr="00574AAD" w:rsidRDefault="004A010B" w:rsidP="00574AAD">
      <w:pPr>
        <w:pStyle w:val="Heading1"/>
      </w:pPr>
      <w:bookmarkStart w:id="64" w:name="_Toc437875419"/>
      <w:proofErr w:type="gramStart"/>
      <w:r w:rsidRPr="00574AAD">
        <w:lastRenderedPageBreak/>
        <w:t xml:space="preserve">Section </w:t>
      </w:r>
      <w:r w:rsidR="00D0189F" w:rsidRPr="00574AAD">
        <w:t>4</w:t>
      </w:r>
      <w:r w:rsidRPr="00574AAD">
        <w:t>.</w:t>
      </w:r>
      <w:proofErr w:type="gramEnd"/>
      <w:r w:rsidRPr="00574AAD">
        <w:t xml:space="preserve"> Base Case &amp; Measure Costs</w:t>
      </w:r>
      <w:bookmarkEnd w:id="43"/>
      <w:bookmarkEnd w:id="44"/>
      <w:bookmarkEnd w:id="64"/>
    </w:p>
    <w:p w:rsidR="004A010B" w:rsidRPr="00BC6386" w:rsidRDefault="004A010B" w:rsidP="004A010B">
      <w:r>
        <w:t xml:space="preserve">The </w:t>
      </w:r>
      <w:r w:rsidR="00AD484F">
        <w:t xml:space="preserve">Direct Install </w:t>
      </w:r>
      <w:r>
        <w:t>I</w:t>
      </w:r>
      <w:r w:rsidR="00AD484F">
        <w:t xml:space="preserve">ncremental </w:t>
      </w:r>
      <w:r>
        <w:t>M</w:t>
      </w:r>
      <w:r w:rsidR="00AD484F">
        <w:t>easure Cost (IMC) i</w:t>
      </w:r>
      <w:r>
        <w:t xml:space="preserve">s different </w:t>
      </w:r>
      <w:r w:rsidR="007F7AB5">
        <w:t>from the values in PGECOLTG107</w:t>
      </w:r>
      <w:r w:rsidR="000F13AA">
        <w:t xml:space="preserve">, PGECOLTG110 </w:t>
      </w:r>
      <w:r w:rsidR="007F7AB5">
        <w:t>&amp; PGECOLTG111</w:t>
      </w:r>
      <w:r>
        <w:t xml:space="preserve"> because the base case cost for direct install measures is $0.00</w:t>
      </w:r>
      <w:r w:rsidR="007F7AB5">
        <w:t>. We assign this value because</w:t>
      </w:r>
      <w:r w:rsidR="005255DA">
        <w:t>,</w:t>
      </w:r>
      <w:r w:rsidR="007F7AB5">
        <w:t xml:space="preserve"> for </w:t>
      </w:r>
      <w:r>
        <w:t xml:space="preserve">direct install </w:t>
      </w:r>
      <w:r w:rsidR="005255DA">
        <w:t xml:space="preserve">programs, </w:t>
      </w:r>
      <w:r w:rsidR="007F7AB5">
        <w:t xml:space="preserve">the </w:t>
      </w:r>
      <w:r>
        <w:t>customers would not have changed out the equipment if it were not for the program.</w:t>
      </w:r>
    </w:p>
    <w:p w:rsidR="00436692" w:rsidRDefault="00436692" w:rsidP="004A010B"/>
    <w:p w:rsidR="00436692" w:rsidRDefault="00436692" w:rsidP="00423909">
      <w:r w:rsidRPr="006B66C7">
        <w:t xml:space="preserve">All CFL </w:t>
      </w:r>
      <w:r w:rsidR="00E70A97" w:rsidRPr="006B66C7">
        <w:t xml:space="preserve">base case and </w:t>
      </w:r>
      <w:r w:rsidRPr="006B66C7">
        <w:t xml:space="preserve">measure </w:t>
      </w:r>
      <w:r w:rsidR="00E70A97" w:rsidRPr="006B66C7">
        <w:t xml:space="preserve">case </w:t>
      </w:r>
      <w:r w:rsidRPr="006B66C7">
        <w:t>costs were taken from the DEER cost table</w:t>
      </w:r>
      <w:bookmarkStart w:id="65" w:name="_Toc326835530"/>
      <w:r w:rsidR="00F84427" w:rsidRPr="006B66C7">
        <w:t xml:space="preserve"> found </w:t>
      </w:r>
      <w:r w:rsidR="006B66C7" w:rsidRPr="006B66C7">
        <w:t>from the READI tool v 2.3.0.</w:t>
      </w:r>
      <w:r w:rsidR="00423909" w:rsidRPr="006B66C7">
        <w:t xml:space="preserve"> Costs for </w:t>
      </w:r>
      <w:r w:rsidR="006B66C7" w:rsidRPr="006B66C7">
        <w:t>measures</w:t>
      </w:r>
      <w:r w:rsidR="00423909" w:rsidRPr="006B66C7">
        <w:t xml:space="preserve"> that are not explicitly in DEER were calculated using </w:t>
      </w:r>
      <w:r w:rsidR="006B66C7" w:rsidRPr="006B66C7">
        <w:t>a variety of methods.  Please reference PGECOLTG107, PGECOLTG110 &amp; PGECOLTG111 for specific cost information.</w:t>
      </w:r>
    </w:p>
    <w:p w:rsidR="004A010B" w:rsidRPr="00F55847" w:rsidRDefault="00D0189F" w:rsidP="004A010B">
      <w:pPr>
        <w:pStyle w:val="Heading2"/>
        <w:keepNext w:val="0"/>
      </w:pPr>
      <w:bookmarkStart w:id="66" w:name="_Toc437875420"/>
      <w:r>
        <w:t>4</w:t>
      </w:r>
      <w:r w:rsidR="004A010B">
        <w:t>.1 Base Case(s) Costs</w:t>
      </w:r>
      <w:bookmarkEnd w:id="65"/>
      <w:bookmarkEnd w:id="66"/>
    </w:p>
    <w:p w:rsidR="00436692" w:rsidRDefault="004A010B" w:rsidP="004A010B">
      <w:r w:rsidRPr="00840777">
        <w:t>For Direct install measures the base case assumes the customer would not have done anything without the program. Therefore base case costs are $0</w:t>
      </w:r>
      <w:r w:rsidR="00B06DF7">
        <w:t xml:space="preserve"> for all measure codes</w:t>
      </w:r>
      <w:r w:rsidRPr="00840777">
        <w:t>.</w:t>
      </w:r>
      <w:r w:rsidR="00AD484F">
        <w:t xml:space="preserve"> </w:t>
      </w:r>
    </w:p>
    <w:p w:rsidR="004A010B" w:rsidRDefault="00D0189F" w:rsidP="004A010B">
      <w:pPr>
        <w:pStyle w:val="Heading2"/>
        <w:keepNext w:val="0"/>
      </w:pPr>
      <w:bookmarkStart w:id="67" w:name="_Toc326835531"/>
      <w:bookmarkStart w:id="68" w:name="_Toc437875421"/>
      <w:r>
        <w:t>4</w:t>
      </w:r>
      <w:r w:rsidR="004A010B" w:rsidRPr="00840777">
        <w:t>.2 Measure Case Costs</w:t>
      </w:r>
      <w:bookmarkEnd w:id="67"/>
      <w:bookmarkEnd w:id="68"/>
      <w:r w:rsidR="004A010B">
        <w:t xml:space="preserve"> </w:t>
      </w:r>
    </w:p>
    <w:p w:rsidR="00C96832" w:rsidRDefault="00423909" w:rsidP="004A010B">
      <w:r w:rsidRPr="006B66C7">
        <w:t>Direct Install measure case costs vary slightly per DEER.</w:t>
      </w:r>
      <w:r w:rsidR="00805825" w:rsidRPr="006B66C7">
        <w:t xml:space="preserve"> </w:t>
      </w:r>
      <w:r w:rsidR="00EE0A8A" w:rsidRPr="006B66C7">
        <w:t xml:space="preserve">See </w:t>
      </w:r>
      <w:r w:rsidR="00805825" w:rsidRPr="006B66C7">
        <w:t>m</w:t>
      </w:r>
      <w:r w:rsidR="00EE0A8A" w:rsidRPr="006B66C7">
        <w:t xml:space="preserve">easure </w:t>
      </w:r>
      <w:r w:rsidR="00805825" w:rsidRPr="006B66C7">
        <w:t>l</w:t>
      </w:r>
      <w:r w:rsidR="00EE0A8A" w:rsidRPr="006B66C7">
        <w:t>ist for</w:t>
      </w:r>
      <w:r w:rsidR="00FA35C5" w:rsidRPr="006B66C7">
        <w:t xml:space="preserve"> CFL measure case costs.</w:t>
      </w:r>
    </w:p>
    <w:p w:rsidR="004A010B" w:rsidRDefault="00D0189F" w:rsidP="004A010B">
      <w:pPr>
        <w:pStyle w:val="Heading2"/>
        <w:keepNext w:val="0"/>
      </w:pPr>
      <w:bookmarkStart w:id="69" w:name="_Toc326835532"/>
      <w:bookmarkStart w:id="70" w:name="_Toc437875422"/>
      <w:r>
        <w:t>4</w:t>
      </w:r>
      <w:r w:rsidR="004A010B">
        <w:t>.3 Incremental &amp; Full Measure Costs</w:t>
      </w:r>
      <w:bookmarkEnd w:id="69"/>
      <w:bookmarkEnd w:id="70"/>
    </w:p>
    <w:p w:rsidR="00423909" w:rsidRPr="006B66C7" w:rsidRDefault="00D26225" w:rsidP="00423909">
      <w:r w:rsidRPr="006B66C7">
        <w:t xml:space="preserve">All CFL </w:t>
      </w:r>
      <w:r w:rsidR="00BD6699" w:rsidRPr="006B66C7">
        <w:t xml:space="preserve">incremental &amp; full </w:t>
      </w:r>
      <w:r w:rsidRPr="006B66C7">
        <w:t xml:space="preserve">measure costs were </w:t>
      </w:r>
      <w:r w:rsidR="00BD6699" w:rsidRPr="006B66C7">
        <w:t xml:space="preserve">calculated using </w:t>
      </w:r>
      <w:r w:rsidR="0034182A" w:rsidRPr="006B66C7">
        <w:t xml:space="preserve">values from </w:t>
      </w:r>
      <w:r w:rsidRPr="006B66C7">
        <w:t xml:space="preserve">the </w:t>
      </w:r>
      <w:r w:rsidR="00F84427" w:rsidRPr="006B66C7">
        <w:t>DEER cost table.</w:t>
      </w:r>
      <w:r w:rsidR="00147E6D" w:rsidRPr="006B66C7">
        <w:t xml:space="preserve"> Descriptions of how incremental &amp; full measure costs were calculated are shown below.</w:t>
      </w:r>
    </w:p>
    <w:p w:rsidR="0080692F" w:rsidRPr="006B66C7" w:rsidRDefault="0080692F" w:rsidP="0080692F"/>
    <w:p w:rsidR="0080692F" w:rsidRPr="006B66C7" w:rsidRDefault="0080692F" w:rsidP="0080692F">
      <w:pPr>
        <w:rPr>
          <w:rFonts w:cs="Arial"/>
          <w:szCs w:val="20"/>
        </w:rPr>
      </w:pPr>
      <w:r w:rsidRPr="006B66C7">
        <w:rPr>
          <w:rFonts w:cs="Arial"/>
          <w:szCs w:val="20"/>
        </w:rPr>
        <w:t xml:space="preserve">Incremental Measure Cost is the premium cost to install an energy efficient measure over a standard efficiency measure or code baseline measure.  While </w:t>
      </w:r>
      <w:smartTag w:uri="urn:schemas-microsoft-com:office:smarttags" w:element="stockticker">
        <w:r w:rsidRPr="006B66C7">
          <w:rPr>
            <w:rFonts w:cs="Arial"/>
            <w:szCs w:val="20"/>
          </w:rPr>
          <w:t>IMC</w:t>
        </w:r>
      </w:smartTag>
      <w:r w:rsidRPr="006B66C7">
        <w:rPr>
          <w:rFonts w:cs="Arial"/>
          <w:szCs w:val="20"/>
        </w:rPr>
        <w:t xml:space="preserve"> has a straight forward definition depending on the install type, the equation does vary.  </w:t>
      </w:r>
    </w:p>
    <w:p w:rsidR="0080692F" w:rsidRPr="006B66C7" w:rsidRDefault="0080692F" w:rsidP="0080692F">
      <w:pPr>
        <w:rPr>
          <w:rFonts w:cs="Arial"/>
          <w:sz w:val="22"/>
          <w:szCs w:val="22"/>
        </w:rPr>
      </w:pPr>
    </w:p>
    <w:p w:rsidR="0080692F" w:rsidRPr="006B66C7" w:rsidRDefault="0080692F" w:rsidP="0080692F">
      <w:pPr>
        <w:rPr>
          <w:rFonts w:cs="Arial"/>
          <w:szCs w:val="20"/>
        </w:rPr>
      </w:pPr>
      <w:r w:rsidRPr="006B66C7">
        <w:rPr>
          <w:rFonts w:cs="Arial"/>
          <w:szCs w:val="20"/>
        </w:rPr>
        <w:t>The Incremental Measure Cost (IMC) is represented by the equation below:</w:t>
      </w:r>
    </w:p>
    <w:p w:rsidR="0080692F" w:rsidRPr="006B66C7" w:rsidRDefault="0080692F" w:rsidP="0080692F">
      <w:pPr>
        <w:rPr>
          <w:rFonts w:cs="Arial"/>
          <w:sz w:val="22"/>
          <w:szCs w:val="22"/>
        </w:rPr>
      </w:pPr>
    </w:p>
    <w:p w:rsidR="0080692F" w:rsidRPr="006B66C7" w:rsidRDefault="0080692F" w:rsidP="0080692F">
      <w:pPr>
        <w:ind w:firstLine="720"/>
        <w:rPr>
          <w:rFonts w:cs="Arial"/>
          <w:szCs w:val="20"/>
        </w:rPr>
      </w:pPr>
      <w:smartTag w:uri="urn:schemas-microsoft-com:office:smarttags" w:element="stockticker">
        <w:r w:rsidRPr="006B66C7">
          <w:rPr>
            <w:rFonts w:cs="Arial"/>
            <w:szCs w:val="20"/>
          </w:rPr>
          <w:t>IMC</w:t>
        </w:r>
      </w:smartTag>
      <w:r w:rsidRPr="006B66C7">
        <w:rPr>
          <w:rFonts w:cs="Arial"/>
          <w:szCs w:val="20"/>
        </w:rPr>
        <w:t xml:space="preserve"> = (Measure Equipment Cost + Measure Labor Cost) –</w:t>
      </w:r>
    </w:p>
    <w:p w:rsidR="0080692F" w:rsidRPr="006B66C7" w:rsidRDefault="0080692F" w:rsidP="0080692F">
      <w:pPr>
        <w:ind w:left="720" w:firstLine="720"/>
        <w:rPr>
          <w:rFonts w:cs="Arial"/>
          <w:szCs w:val="20"/>
        </w:rPr>
      </w:pPr>
      <w:r w:rsidRPr="006B66C7">
        <w:rPr>
          <w:rFonts w:cs="Arial"/>
          <w:szCs w:val="20"/>
        </w:rPr>
        <w:t xml:space="preserve">    (Base Case Equipment Cost + Base Case Labor Cost)</w:t>
      </w:r>
    </w:p>
    <w:p w:rsidR="0080692F" w:rsidRPr="006B66C7" w:rsidRDefault="0080692F" w:rsidP="0080692F">
      <w:pPr>
        <w:rPr>
          <w:rFonts w:cs="Arial"/>
          <w:szCs w:val="20"/>
        </w:rPr>
      </w:pPr>
    </w:p>
    <w:p w:rsidR="006B66C7" w:rsidRDefault="0080692F" w:rsidP="006B66C7">
      <w:r w:rsidRPr="006B66C7">
        <w:rPr>
          <w:rFonts w:cs="Arial"/>
          <w:szCs w:val="20"/>
        </w:rPr>
        <w:t xml:space="preserve">The Direct Install measure transaction type is </w:t>
      </w:r>
      <w:r w:rsidR="008B03BF" w:rsidRPr="006B66C7">
        <w:rPr>
          <w:rFonts w:cs="Arial"/>
          <w:b/>
          <w:szCs w:val="20"/>
        </w:rPr>
        <w:t>ROB</w:t>
      </w:r>
      <w:r w:rsidRPr="006B66C7">
        <w:rPr>
          <w:rFonts w:cs="Arial"/>
          <w:b/>
          <w:szCs w:val="20"/>
        </w:rPr>
        <w:t xml:space="preserve">. </w:t>
      </w:r>
      <w:r w:rsidR="006B66C7">
        <w:rPr>
          <w:rFonts w:cs="Arial"/>
          <w:szCs w:val="20"/>
        </w:rPr>
        <w:t xml:space="preserve"> Please refer to the calculation spreadsheet</w:t>
      </w:r>
      <w:r w:rsidR="006B66C7" w:rsidRPr="006B66C7">
        <w:rPr>
          <w:rFonts w:cs="Arial"/>
          <w:szCs w:val="20"/>
          <w:vertAlign w:val="superscript"/>
        </w:rPr>
        <w:fldChar w:fldCharType="begin"/>
      </w:r>
      <w:r w:rsidR="006B66C7" w:rsidRPr="006B66C7">
        <w:rPr>
          <w:rFonts w:cs="Arial"/>
          <w:szCs w:val="20"/>
          <w:vertAlign w:val="superscript"/>
        </w:rPr>
        <w:instrText xml:space="preserve"> NOTEREF _Ref434850993 \h </w:instrText>
      </w:r>
      <w:r w:rsidR="006B66C7">
        <w:rPr>
          <w:rFonts w:cs="Arial"/>
          <w:szCs w:val="20"/>
          <w:vertAlign w:val="superscript"/>
        </w:rPr>
        <w:instrText xml:space="preserve"> \* MERGEFORMAT </w:instrText>
      </w:r>
      <w:r w:rsidR="006B66C7" w:rsidRPr="006B66C7">
        <w:rPr>
          <w:rFonts w:cs="Arial"/>
          <w:szCs w:val="20"/>
          <w:vertAlign w:val="superscript"/>
        </w:rPr>
      </w:r>
      <w:r w:rsidR="006B66C7" w:rsidRPr="006B66C7">
        <w:rPr>
          <w:rFonts w:cs="Arial"/>
          <w:szCs w:val="20"/>
          <w:vertAlign w:val="superscript"/>
        </w:rPr>
        <w:fldChar w:fldCharType="separate"/>
      </w:r>
      <w:r w:rsidR="006B66C7" w:rsidRPr="006B66C7">
        <w:rPr>
          <w:rFonts w:cs="Arial"/>
          <w:szCs w:val="20"/>
          <w:vertAlign w:val="superscript"/>
        </w:rPr>
        <w:t>5</w:t>
      </w:r>
      <w:r w:rsidR="006B66C7" w:rsidRPr="006B66C7">
        <w:rPr>
          <w:rFonts w:cs="Arial"/>
          <w:szCs w:val="20"/>
          <w:vertAlign w:val="superscript"/>
        </w:rPr>
        <w:fldChar w:fldCharType="end"/>
      </w:r>
      <w:r w:rsidR="006B66C7">
        <w:rPr>
          <w:rFonts w:cs="Arial"/>
          <w:szCs w:val="20"/>
        </w:rPr>
        <w:t xml:space="preserve"> for full and incremental costs.</w:t>
      </w:r>
    </w:p>
    <w:p w:rsidR="00F43152" w:rsidRDefault="00F43152" w:rsidP="0080692F"/>
    <w:p w:rsidR="004A010B" w:rsidRDefault="00102718" w:rsidP="004A010B">
      <w:pPr>
        <w:pStyle w:val="Heading1"/>
      </w:pPr>
      <w:bookmarkStart w:id="71" w:name="_Toc326835535"/>
      <w:r>
        <w:rPr>
          <w:rStyle w:val="Heading1Char"/>
          <w:b/>
        </w:rPr>
        <w:br w:type="page"/>
      </w:r>
      <w:bookmarkStart w:id="72" w:name="_Toc437875423"/>
      <w:r w:rsidR="004A010B" w:rsidRPr="003C03BC">
        <w:rPr>
          <w:rStyle w:val="Heading1Char"/>
          <w:b/>
        </w:rPr>
        <w:lastRenderedPageBreak/>
        <w:t>References</w:t>
      </w:r>
      <w:bookmarkEnd w:id="71"/>
      <w:bookmarkEnd w:id="72"/>
      <w:r w:rsidR="004A010B">
        <w:t xml:space="preserve"> </w:t>
      </w:r>
    </w:p>
    <w:sectPr w:rsidR="004A010B" w:rsidSect="00DE356B">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AAD" w:rsidRDefault="00574AAD">
      <w:r>
        <w:separator/>
      </w:r>
    </w:p>
  </w:endnote>
  <w:endnote w:type="continuationSeparator" w:id="0">
    <w:p w:rsidR="00574AAD" w:rsidRDefault="00574AAD">
      <w:r>
        <w:continuationSeparator/>
      </w:r>
    </w:p>
  </w:endnote>
  <w:endnote w:id="1">
    <w:p w:rsidR="00574AAD" w:rsidRDefault="00574AAD">
      <w:pPr>
        <w:pStyle w:val="EndnoteText"/>
      </w:pPr>
      <w:r>
        <w:rPr>
          <w:rStyle w:val="EndnoteReference"/>
        </w:rPr>
        <w:endnoteRef/>
      </w:r>
      <w:r>
        <w:t xml:space="preserve"> PG&amp;E Work Paper PGECOLTG107 R8, PGECOLTG110 R6, &amp; PGECOLTG111 R8</w:t>
      </w:r>
    </w:p>
  </w:endnote>
  <w:endnote w:id="2">
    <w:p w:rsidR="00574AAD" w:rsidRDefault="00574AAD">
      <w:pPr>
        <w:pStyle w:val="EndnoteText"/>
      </w:pPr>
    </w:p>
    <w:p w:rsidR="00574AAD" w:rsidRDefault="00574AAD">
      <w:pPr>
        <w:pStyle w:val="EndnoteText"/>
      </w:pPr>
      <w:r>
        <w:rPr>
          <w:rStyle w:val="EndnoteReference"/>
        </w:rPr>
        <w:endnoteRef/>
      </w:r>
      <w:r>
        <w:t xml:space="preserve"> </w:t>
      </w:r>
      <w:r w:rsidRPr="00F16334">
        <w:t>The DEER Measure Cost Data Users Guide found on www.deeresources.com under DEER2011 Database Format hyperlink, DEER2011 for 13-14, spreadsheet SPTdata_format-V0.97.xls.</w:t>
      </w:r>
    </w:p>
  </w:endnote>
  <w:endnote w:id="3">
    <w:p w:rsidR="00574AAD" w:rsidRDefault="00574AAD">
      <w:pPr>
        <w:pStyle w:val="EndnoteText"/>
      </w:pPr>
    </w:p>
    <w:p w:rsidR="00574AAD" w:rsidRDefault="00574AAD">
      <w:pPr>
        <w:pStyle w:val="EndnoteText"/>
      </w:pPr>
      <w:r>
        <w:rPr>
          <w:rStyle w:val="EndnoteReference"/>
        </w:rPr>
        <w:endnoteRef/>
      </w:r>
      <w:r>
        <w:t xml:space="preserve"> </w:t>
      </w:r>
      <w:r w:rsidRPr="00F16334">
        <w:t>2015 Uncertain Measures Update – Database for Energy-Efficient Resources – DEER2015 Updates for Measures Removed from the ESPI Uncertain Measure List found on http://www.deeresources.com/index.php/deer-versions/2015-uncertain-measures-update</w:t>
      </w:r>
    </w:p>
  </w:endnote>
  <w:endnote w:id="4">
    <w:p w:rsidR="00574AAD" w:rsidRDefault="00574AAD" w:rsidP="00F16334">
      <w:pPr>
        <w:pStyle w:val="EndnoteText"/>
      </w:pPr>
    </w:p>
    <w:p w:rsidR="00574AAD" w:rsidRDefault="00574AAD" w:rsidP="00F16334">
      <w:pPr>
        <w:pStyle w:val="EndnoteText"/>
      </w:pPr>
      <w:r>
        <w:rPr>
          <w:rStyle w:val="EndnoteReference"/>
        </w:rPr>
        <w:endnoteRef/>
      </w:r>
      <w:r>
        <w:t xml:space="preserve"> CPUC Energy Division --  CPUC Energy Division – Lighting Disposition  2013-2014_LightingRetrofit_Disposition-14December2013.Docx</w:t>
      </w:r>
    </w:p>
    <w:p w:rsidR="00574AAD" w:rsidRDefault="00574AAD" w:rsidP="00F16334">
      <w:pPr>
        <w:pStyle w:val="EndnoteText"/>
      </w:pPr>
      <w:r>
        <w:t>DEER 2012 Lighting 13-14 dispositions 2013-2014_LightingRetrofit_Disposition-14December2013.xlsx  {from Dec. 2013]    [from December 2013]</w:t>
      </w:r>
    </w:p>
  </w:endnote>
  <w:endnote w:id="5">
    <w:p w:rsidR="00574AAD" w:rsidRDefault="00574AAD">
      <w:pPr>
        <w:pStyle w:val="EndnoteText"/>
      </w:pPr>
    </w:p>
    <w:p w:rsidR="00574AAD" w:rsidRDefault="00574AAD">
      <w:pPr>
        <w:pStyle w:val="EndnoteText"/>
      </w:pPr>
      <w:r>
        <w:rPr>
          <w:rStyle w:val="EndnoteReference"/>
        </w:rPr>
        <w:endnoteRef/>
      </w:r>
      <w:r>
        <w:t xml:space="preserve"> Excel calculation workbook</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AD" w:rsidRDefault="00574A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74AAD" w:rsidRDefault="00574A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AD" w:rsidRDefault="00574AAD">
    <w:pPr>
      <w:pStyle w:val="Footer"/>
      <w:framePr w:wrap="around" w:vAnchor="text" w:hAnchor="margin" w:xAlign="center" w:y="1"/>
      <w:rPr>
        <w:rStyle w:val="PageNumber"/>
        <w:b/>
        <w:szCs w:val="20"/>
      </w:rPr>
    </w:pPr>
    <w:r>
      <w:rPr>
        <w:rStyle w:val="PageNumber"/>
        <w:b/>
        <w:szCs w:val="20"/>
      </w:rPr>
      <w:fldChar w:fldCharType="begin"/>
    </w:r>
    <w:r>
      <w:rPr>
        <w:rStyle w:val="PageNumber"/>
        <w:b/>
        <w:szCs w:val="20"/>
      </w:rPr>
      <w:instrText xml:space="preserve">PAGE  </w:instrText>
    </w:r>
    <w:r>
      <w:rPr>
        <w:rStyle w:val="PageNumber"/>
        <w:b/>
        <w:szCs w:val="20"/>
      </w:rPr>
      <w:fldChar w:fldCharType="separate"/>
    </w:r>
    <w:r>
      <w:rPr>
        <w:rStyle w:val="PageNumber"/>
        <w:b/>
        <w:noProof/>
        <w:szCs w:val="20"/>
      </w:rPr>
      <w:t>ii</w:t>
    </w:r>
    <w:r>
      <w:rPr>
        <w:rStyle w:val="PageNumber"/>
        <w:b/>
        <w:szCs w:val="20"/>
      </w:rPr>
      <w:fldChar w:fldCharType="end"/>
    </w:r>
  </w:p>
  <w:p w:rsidR="00574AAD" w:rsidRDefault="00574AAD">
    <w:pPr>
      <w:pStyle w:val="Footer"/>
      <w:pBdr>
        <w:top w:val="single" w:sz="4" w:space="1" w:color="auto"/>
      </w:pBdr>
      <w:tabs>
        <w:tab w:val="clear" w:pos="8640"/>
        <w:tab w:val="right" w:pos="9360"/>
      </w:tabs>
      <w:rPr>
        <w:b/>
        <w:szCs w:val="20"/>
      </w:rPr>
    </w:pPr>
    <w:r>
      <w:rPr>
        <w:b/>
        <w:color w:val="FF0000"/>
        <w:szCs w:val="20"/>
      </w:rPr>
      <w:t xml:space="preserve">Work Paper </w:t>
    </w:r>
    <w:proofErr w:type="gramStart"/>
    <w:r>
      <w:rPr>
        <w:b/>
        <w:color w:val="FF0000"/>
        <w:szCs w:val="20"/>
      </w:rPr>
      <w:t>PGE(</w:t>
    </w:r>
    <w:proofErr w:type="gramEnd"/>
    <w:r>
      <w:rPr>
        <w:b/>
        <w:color w:val="FF0000"/>
        <w:szCs w:val="20"/>
      </w:rPr>
      <w:t>End-Use)###</w:t>
    </w:r>
    <w:r>
      <w:rPr>
        <w:b/>
        <w:szCs w:val="20"/>
      </w:rPr>
      <w:t xml:space="preserve">, Revision </w:t>
    </w:r>
    <w:r>
      <w:rPr>
        <w:b/>
        <w:color w:val="FF0000"/>
        <w:szCs w:val="20"/>
      </w:rPr>
      <w:t>X</w:t>
    </w:r>
    <w:r>
      <w:rPr>
        <w:b/>
        <w:szCs w:val="20"/>
      </w:rPr>
      <w:tab/>
    </w:r>
    <w:r>
      <w:rPr>
        <w:b/>
        <w:szCs w:val="20"/>
      </w:rPr>
      <w:tab/>
      <w:t>11/20/2007</w:t>
    </w:r>
  </w:p>
  <w:p w:rsidR="00574AAD" w:rsidRDefault="00574AAD">
    <w:pPr>
      <w:pStyle w:val="Footer"/>
      <w:rPr>
        <w:b/>
        <w:szCs w:val="20"/>
      </w:rPr>
    </w:pPr>
    <w:r>
      <w:rPr>
        <w:b/>
        <w:szCs w:val="20"/>
      </w:rPr>
      <w:t>Pacific Gas &amp; Electric Company</w:t>
    </w:r>
  </w:p>
  <w:p w:rsidR="00574AAD" w:rsidRDefault="00574AAD">
    <w:pPr>
      <w:pStyle w:val="Footer"/>
      <w:rPr>
        <w:b/>
        <w:color w:val="0000FF"/>
        <w:szCs w:val="20"/>
      </w:rPr>
    </w:pPr>
    <w:r>
      <w:rPr>
        <w:b/>
        <w:color w:val="0000FF"/>
        <w:szCs w:val="20"/>
      </w:rPr>
      <w:fldChar w:fldCharType="begin"/>
    </w:r>
    <w:r>
      <w:rPr>
        <w:b/>
        <w:color w:val="0000FF"/>
        <w:szCs w:val="20"/>
      </w:rPr>
      <w:instrText xml:space="preserve"> FILENAME </w:instrText>
    </w:r>
    <w:r>
      <w:rPr>
        <w:b/>
        <w:color w:val="0000FF"/>
        <w:szCs w:val="20"/>
      </w:rPr>
      <w:fldChar w:fldCharType="separate"/>
    </w:r>
    <w:r>
      <w:rPr>
        <w:b/>
        <w:noProof/>
        <w:color w:val="0000FF"/>
        <w:szCs w:val="20"/>
      </w:rPr>
      <w:t>PGE3PLTG173 R0 Compact Fluorescent, Downstream, DI, Short.docx</w:t>
    </w:r>
    <w:r>
      <w:rPr>
        <w:b/>
        <w:color w:val="0000FF"/>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AD" w:rsidRDefault="00574AAD">
    <w:pPr>
      <w:pStyle w:val="Footer"/>
      <w:jc w:val="right"/>
      <w:rPr>
        <w:rFonts w:cs="Arial"/>
        <w:b/>
        <w:sz w:val="36"/>
        <w:szCs w:val="36"/>
      </w:rPr>
    </w:pPr>
    <w:r>
      <w:rPr>
        <w:rFonts w:cs="Arial"/>
        <w:b/>
        <w:sz w:val="36"/>
        <w:szCs w:val="36"/>
      </w:rPr>
      <w:t>1/1/2016</w:t>
    </w:r>
  </w:p>
  <w:p w:rsidR="00574AAD" w:rsidRDefault="00574AA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AD" w:rsidRPr="00316BF4" w:rsidRDefault="00574AAD" w:rsidP="005B7E34">
    <w:pPr>
      <w:pStyle w:val="Footer"/>
      <w:tabs>
        <w:tab w:val="clear" w:pos="8640"/>
        <w:tab w:val="right" w:pos="9360"/>
      </w:tabs>
      <w:jc w:val="both"/>
      <w:rPr>
        <w:rStyle w:val="PageNumber"/>
        <w:b/>
      </w:rPr>
    </w:pPr>
    <w:r>
      <w:rPr>
        <w:b/>
        <w:szCs w:val="20"/>
      </w:rPr>
      <w:t>PGE3PLTG173 R4</w:t>
    </w:r>
    <w:r>
      <w:rPr>
        <w:b/>
        <w:szCs w:val="20"/>
      </w:rPr>
      <w:tab/>
    </w:r>
    <w:r>
      <w:rPr>
        <w:rStyle w:val="PageNumber"/>
      </w:rPr>
      <w:fldChar w:fldCharType="begin"/>
    </w:r>
    <w:r>
      <w:rPr>
        <w:rStyle w:val="PageNumber"/>
      </w:rPr>
      <w:instrText xml:space="preserve"> PAGE </w:instrText>
    </w:r>
    <w:r>
      <w:rPr>
        <w:rStyle w:val="PageNumber"/>
      </w:rPr>
      <w:fldChar w:fldCharType="separate"/>
    </w:r>
    <w:r w:rsidR="00E472F5">
      <w:rPr>
        <w:rStyle w:val="PageNumber"/>
        <w:noProof/>
      </w:rPr>
      <w:t>4</w:t>
    </w:r>
    <w:r>
      <w:rPr>
        <w:rStyle w:val="PageNumber"/>
      </w:rPr>
      <w:fldChar w:fldCharType="end"/>
    </w:r>
    <w:r>
      <w:rPr>
        <w:rStyle w:val="PageNumber"/>
      </w:rPr>
      <w:tab/>
    </w:r>
    <w:r>
      <w:rPr>
        <w:rStyle w:val="PageNumber"/>
        <w:b/>
      </w:rPr>
      <w:t>1/1/2016</w:t>
    </w:r>
  </w:p>
  <w:p w:rsidR="00574AAD" w:rsidRDefault="00574AAD" w:rsidP="00863676">
    <w:pPr>
      <w:pStyle w:val="Footer"/>
      <w:tabs>
        <w:tab w:val="clear" w:pos="8640"/>
        <w:tab w:val="right" w:pos="9360"/>
      </w:tabs>
      <w:jc w:val="both"/>
      <w:rPr>
        <w:b/>
        <w:szCs w:val="20"/>
      </w:rPr>
    </w:pPr>
    <w:r>
      <w:rPr>
        <w:b/>
        <w:szCs w:val="20"/>
      </w:rPr>
      <w:t>Pacific Gas &amp; Electric Company</w:t>
    </w:r>
  </w:p>
  <w:p w:rsidR="00574AAD" w:rsidRDefault="00574AAD" w:rsidP="00863676">
    <w:pPr>
      <w:pStyle w:val="Footer"/>
      <w:tabs>
        <w:tab w:val="clear" w:pos="8640"/>
        <w:tab w:val="right" w:pos="9360"/>
      </w:tabs>
      <w:jc w:val="both"/>
      <w:rPr>
        <w:b/>
        <w:szCs w:val="20"/>
      </w:rPr>
    </w:pPr>
    <w:r w:rsidRPr="00CC0255">
      <w:rPr>
        <w:b/>
        <w:szCs w:val="20"/>
      </w:rPr>
      <w:fldChar w:fldCharType="begin"/>
    </w:r>
    <w:r w:rsidRPr="00CC0255">
      <w:rPr>
        <w:b/>
        <w:szCs w:val="20"/>
      </w:rPr>
      <w:instrText xml:space="preserve"> FILENAME </w:instrText>
    </w:r>
    <w:r w:rsidRPr="00CC0255">
      <w:rPr>
        <w:b/>
        <w:szCs w:val="20"/>
      </w:rPr>
      <w:fldChar w:fldCharType="separate"/>
    </w:r>
    <w:r w:rsidR="007E0228">
      <w:rPr>
        <w:b/>
        <w:noProof/>
        <w:szCs w:val="20"/>
      </w:rPr>
      <w:t>PGE3PLTG173 R4 CFL DI Short.docx</w:t>
    </w:r>
    <w:r w:rsidRPr="00CC0255">
      <w:rPr>
        <w:b/>
        <w:szCs w:val="20"/>
      </w:rPr>
      <w:fldChar w:fldCharType="end"/>
    </w:r>
  </w:p>
  <w:p w:rsidR="00574AAD" w:rsidRDefault="00574AAD" w:rsidP="00F670CA">
    <w:pPr>
      <w:pStyle w:val="Footer"/>
      <w:rPr>
        <w:b/>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AAD" w:rsidRDefault="00574AAD">
      <w:r>
        <w:separator/>
      </w:r>
    </w:p>
  </w:footnote>
  <w:footnote w:type="continuationSeparator" w:id="0">
    <w:p w:rsidR="00574AAD" w:rsidRDefault="00574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AD" w:rsidRDefault="00E472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AD" w:rsidRDefault="00574AAD">
    <w:pPr>
      <w:pStyle w:val="Header"/>
      <w:jc w:val="right"/>
    </w:pPr>
  </w:p>
  <w:p w:rsidR="00574AAD" w:rsidRDefault="00574AA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D2DA8"/>
    <w:multiLevelType w:val="hybridMultilevel"/>
    <w:tmpl w:val="6B0E7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0">
    <w:nsid w:val="37C82BA3"/>
    <w:multiLevelType w:val="hybridMultilevel"/>
    <w:tmpl w:val="74627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BDD5009"/>
    <w:multiLevelType w:val="multilevel"/>
    <w:tmpl w:val="BA62CF96"/>
    <w:lvl w:ilvl="0">
      <w:start w:val="2"/>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nsid w:val="3D9E2635"/>
    <w:multiLevelType w:val="singleLevel"/>
    <w:tmpl w:val="327E9558"/>
    <w:lvl w:ilvl="0">
      <w:numFmt w:val="decimal"/>
      <w:lvlText w:val="%1"/>
      <w:legacy w:legacy="1" w:legacySpace="0" w:legacyIndent="0"/>
      <w:lvlJc w:val="left"/>
      <w:rPr>
        <w:rFonts w:ascii="Times New Roman" w:hAnsi="Times New Roman" w:cs="Times New Roman" w:hint="default"/>
      </w:r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5C1B3779"/>
    <w:multiLevelType w:val="hybridMultilevel"/>
    <w:tmpl w:val="C3A66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53035FC"/>
    <w:multiLevelType w:val="hybridMultilevel"/>
    <w:tmpl w:val="EEE8D442"/>
    <w:lvl w:ilvl="0" w:tplc="8C447384">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6D407D"/>
    <w:multiLevelType w:val="singleLevel"/>
    <w:tmpl w:val="327E9558"/>
    <w:lvl w:ilvl="0">
      <w:numFmt w:val="decimal"/>
      <w:lvlText w:val="%1"/>
      <w:legacy w:legacy="1" w:legacySpace="0" w:legacyIndent="0"/>
      <w:lvlJc w:val="left"/>
      <w:rPr>
        <w:rFonts w:ascii="Times New Roman" w:hAnsi="Times New Roman" w:cs="Times New Roman" w:hint="default"/>
      </w:rPr>
    </w:lvl>
  </w:abstractNum>
  <w:abstractNum w:abstractNumId="22">
    <w:nsid w:val="6EA73F96"/>
    <w:multiLevelType w:val="hybridMultilevel"/>
    <w:tmpl w:val="1CAEB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717C622A"/>
    <w:multiLevelType w:val="hybridMultilevel"/>
    <w:tmpl w:val="6B0E7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820856"/>
    <w:multiLevelType w:val="singleLevel"/>
    <w:tmpl w:val="6C78A414"/>
    <w:lvl w:ilvl="0">
      <w:start w:val="1"/>
      <w:numFmt w:val="decimal"/>
      <w:lvlText w:val="%1."/>
      <w:legacy w:legacy="1" w:legacySpace="0" w:legacyIndent="0"/>
      <w:lvlJc w:val="left"/>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B7A445E"/>
    <w:multiLevelType w:val="hybridMultilevel"/>
    <w:tmpl w:val="16AC4530"/>
    <w:lvl w:ilvl="0" w:tplc="7D16587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1"/>
  </w:num>
  <w:num w:numId="3">
    <w:abstractNumId w:val="5"/>
  </w:num>
  <w:num w:numId="4">
    <w:abstractNumId w:val="7"/>
  </w:num>
  <w:num w:numId="5">
    <w:abstractNumId w:val="24"/>
  </w:num>
  <w:num w:numId="6">
    <w:abstractNumId w:val="26"/>
  </w:num>
  <w:num w:numId="7">
    <w:abstractNumId w:val="22"/>
  </w:num>
  <w:num w:numId="8">
    <w:abstractNumId w:val="9"/>
  </w:num>
  <w:num w:numId="9">
    <w:abstractNumId w:val="6"/>
  </w:num>
  <w:num w:numId="10">
    <w:abstractNumId w:val="14"/>
  </w:num>
  <w:num w:numId="11">
    <w:abstractNumId w:val="8"/>
  </w:num>
  <w:num w:numId="12">
    <w:abstractNumId w:val="2"/>
  </w:num>
  <w:num w:numId="13">
    <w:abstractNumId w:val="17"/>
  </w:num>
  <w:num w:numId="14">
    <w:abstractNumId w:val="19"/>
  </w:num>
  <w:num w:numId="15">
    <w:abstractNumId w:val="4"/>
  </w:num>
  <w:num w:numId="16">
    <w:abstractNumId w:val="25"/>
  </w:num>
  <w:num w:numId="17">
    <w:abstractNumId w:val="15"/>
  </w:num>
  <w:num w:numId="18">
    <w:abstractNumId w:val="16"/>
  </w:num>
  <w:num w:numId="19">
    <w:abstractNumId w:val="1"/>
  </w:num>
  <w:num w:numId="20">
    <w:abstractNumId w:val="12"/>
  </w:num>
  <w:num w:numId="21">
    <w:abstractNumId w:val="13"/>
  </w:num>
  <w:num w:numId="22">
    <w:abstractNumId w:val="21"/>
  </w:num>
  <w:num w:numId="23">
    <w:abstractNumId w:val="23"/>
  </w:num>
  <w:num w:numId="24">
    <w:abstractNumId w:val="10"/>
  </w:num>
  <w:num w:numId="25">
    <w:abstractNumId w:val="0"/>
  </w:num>
  <w:num w:numId="26">
    <w:abstractNumId w:val="20"/>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F54"/>
    <w:rsid w:val="00002BA4"/>
    <w:rsid w:val="00013FC9"/>
    <w:rsid w:val="00014740"/>
    <w:rsid w:val="000170B5"/>
    <w:rsid w:val="0002115E"/>
    <w:rsid w:val="00024AA9"/>
    <w:rsid w:val="00025D84"/>
    <w:rsid w:val="00026F78"/>
    <w:rsid w:val="000272C2"/>
    <w:rsid w:val="000277AE"/>
    <w:rsid w:val="0003064A"/>
    <w:rsid w:val="000312A2"/>
    <w:rsid w:val="00032245"/>
    <w:rsid w:val="000351CB"/>
    <w:rsid w:val="000365BF"/>
    <w:rsid w:val="000367B0"/>
    <w:rsid w:val="000372A0"/>
    <w:rsid w:val="000435AE"/>
    <w:rsid w:val="00047542"/>
    <w:rsid w:val="00051299"/>
    <w:rsid w:val="00051AEE"/>
    <w:rsid w:val="000546F0"/>
    <w:rsid w:val="000568D5"/>
    <w:rsid w:val="000571F6"/>
    <w:rsid w:val="00057C09"/>
    <w:rsid w:val="0006490F"/>
    <w:rsid w:val="00066C11"/>
    <w:rsid w:val="00066D5B"/>
    <w:rsid w:val="00067077"/>
    <w:rsid w:val="000677C7"/>
    <w:rsid w:val="000678A2"/>
    <w:rsid w:val="00067EB5"/>
    <w:rsid w:val="000719AA"/>
    <w:rsid w:val="000749EA"/>
    <w:rsid w:val="00077161"/>
    <w:rsid w:val="000814B9"/>
    <w:rsid w:val="00081E75"/>
    <w:rsid w:val="000842B9"/>
    <w:rsid w:val="00085DF5"/>
    <w:rsid w:val="00086594"/>
    <w:rsid w:val="00087378"/>
    <w:rsid w:val="00095610"/>
    <w:rsid w:val="000957D0"/>
    <w:rsid w:val="00095ABF"/>
    <w:rsid w:val="000966CC"/>
    <w:rsid w:val="00097803"/>
    <w:rsid w:val="000A2FB3"/>
    <w:rsid w:val="000A48F2"/>
    <w:rsid w:val="000A4DBF"/>
    <w:rsid w:val="000A7760"/>
    <w:rsid w:val="000B0B1E"/>
    <w:rsid w:val="000B28E2"/>
    <w:rsid w:val="000B2DBA"/>
    <w:rsid w:val="000B3865"/>
    <w:rsid w:val="000B560E"/>
    <w:rsid w:val="000B61A9"/>
    <w:rsid w:val="000C2192"/>
    <w:rsid w:val="000D09C7"/>
    <w:rsid w:val="000D33A7"/>
    <w:rsid w:val="000D69BC"/>
    <w:rsid w:val="000D69FF"/>
    <w:rsid w:val="000E1015"/>
    <w:rsid w:val="000E31B5"/>
    <w:rsid w:val="000E55D3"/>
    <w:rsid w:val="000E72CE"/>
    <w:rsid w:val="000F0069"/>
    <w:rsid w:val="000F13AA"/>
    <w:rsid w:val="000F1537"/>
    <w:rsid w:val="000F428D"/>
    <w:rsid w:val="000F6AC5"/>
    <w:rsid w:val="000F7321"/>
    <w:rsid w:val="000F793B"/>
    <w:rsid w:val="0010062B"/>
    <w:rsid w:val="00101663"/>
    <w:rsid w:val="00102718"/>
    <w:rsid w:val="001027ED"/>
    <w:rsid w:val="00103105"/>
    <w:rsid w:val="00103995"/>
    <w:rsid w:val="001039DF"/>
    <w:rsid w:val="00103BBB"/>
    <w:rsid w:val="001044C6"/>
    <w:rsid w:val="00104559"/>
    <w:rsid w:val="00105815"/>
    <w:rsid w:val="00106B4A"/>
    <w:rsid w:val="00106E8E"/>
    <w:rsid w:val="00107A63"/>
    <w:rsid w:val="00112A97"/>
    <w:rsid w:val="001147CB"/>
    <w:rsid w:val="00114CFB"/>
    <w:rsid w:val="001153D2"/>
    <w:rsid w:val="00115C0A"/>
    <w:rsid w:val="00115DF1"/>
    <w:rsid w:val="00115EB1"/>
    <w:rsid w:val="00116133"/>
    <w:rsid w:val="00123EE4"/>
    <w:rsid w:val="001248A3"/>
    <w:rsid w:val="00124F32"/>
    <w:rsid w:val="00126483"/>
    <w:rsid w:val="00126A4E"/>
    <w:rsid w:val="00127CC8"/>
    <w:rsid w:val="0013046A"/>
    <w:rsid w:val="0013087E"/>
    <w:rsid w:val="00131B38"/>
    <w:rsid w:val="00134FC4"/>
    <w:rsid w:val="00135CD8"/>
    <w:rsid w:val="00136D56"/>
    <w:rsid w:val="00144BD6"/>
    <w:rsid w:val="00147E6D"/>
    <w:rsid w:val="00150EC7"/>
    <w:rsid w:val="00155EF5"/>
    <w:rsid w:val="001609B0"/>
    <w:rsid w:val="00160E00"/>
    <w:rsid w:val="00165B7D"/>
    <w:rsid w:val="00166AE4"/>
    <w:rsid w:val="001717DF"/>
    <w:rsid w:val="0017474B"/>
    <w:rsid w:val="001811EB"/>
    <w:rsid w:val="00181350"/>
    <w:rsid w:val="00181B9C"/>
    <w:rsid w:val="001839BA"/>
    <w:rsid w:val="00186B67"/>
    <w:rsid w:val="00187802"/>
    <w:rsid w:val="00187937"/>
    <w:rsid w:val="00190DBB"/>
    <w:rsid w:val="00191254"/>
    <w:rsid w:val="00192A90"/>
    <w:rsid w:val="001943E4"/>
    <w:rsid w:val="00194E14"/>
    <w:rsid w:val="001965AF"/>
    <w:rsid w:val="00196D7C"/>
    <w:rsid w:val="00197CD2"/>
    <w:rsid w:val="001A4516"/>
    <w:rsid w:val="001A573F"/>
    <w:rsid w:val="001A5A7E"/>
    <w:rsid w:val="001A64C6"/>
    <w:rsid w:val="001A7081"/>
    <w:rsid w:val="001A73E3"/>
    <w:rsid w:val="001A7B69"/>
    <w:rsid w:val="001B23C1"/>
    <w:rsid w:val="001B242B"/>
    <w:rsid w:val="001B2EA3"/>
    <w:rsid w:val="001B3529"/>
    <w:rsid w:val="001B4381"/>
    <w:rsid w:val="001B5ACB"/>
    <w:rsid w:val="001B75E6"/>
    <w:rsid w:val="001B792D"/>
    <w:rsid w:val="001C1FFF"/>
    <w:rsid w:val="001C60D3"/>
    <w:rsid w:val="001D0031"/>
    <w:rsid w:val="001D16C2"/>
    <w:rsid w:val="001D1815"/>
    <w:rsid w:val="001D2AC9"/>
    <w:rsid w:val="001D2EB6"/>
    <w:rsid w:val="001D3E6C"/>
    <w:rsid w:val="001D3F48"/>
    <w:rsid w:val="001D44EF"/>
    <w:rsid w:val="001D483C"/>
    <w:rsid w:val="001D650F"/>
    <w:rsid w:val="001E060F"/>
    <w:rsid w:val="001E3771"/>
    <w:rsid w:val="001E5DC7"/>
    <w:rsid w:val="001E6156"/>
    <w:rsid w:val="001F1160"/>
    <w:rsid w:val="001F185B"/>
    <w:rsid w:val="001F268B"/>
    <w:rsid w:val="001F4083"/>
    <w:rsid w:val="001F627F"/>
    <w:rsid w:val="001F7023"/>
    <w:rsid w:val="00200174"/>
    <w:rsid w:val="00210411"/>
    <w:rsid w:val="00210995"/>
    <w:rsid w:val="00213365"/>
    <w:rsid w:val="00213C59"/>
    <w:rsid w:val="002154B2"/>
    <w:rsid w:val="00215910"/>
    <w:rsid w:val="00216469"/>
    <w:rsid w:val="00217024"/>
    <w:rsid w:val="00217078"/>
    <w:rsid w:val="002203EA"/>
    <w:rsid w:val="002219B2"/>
    <w:rsid w:val="0022341F"/>
    <w:rsid w:val="0022353C"/>
    <w:rsid w:val="00223F49"/>
    <w:rsid w:val="00224B76"/>
    <w:rsid w:val="002257FA"/>
    <w:rsid w:val="00227B7D"/>
    <w:rsid w:val="00227B97"/>
    <w:rsid w:val="00233126"/>
    <w:rsid w:val="00235694"/>
    <w:rsid w:val="002405BA"/>
    <w:rsid w:val="0024233E"/>
    <w:rsid w:val="00243BAC"/>
    <w:rsid w:val="0024401C"/>
    <w:rsid w:val="00244BD6"/>
    <w:rsid w:val="00245A56"/>
    <w:rsid w:val="002466F4"/>
    <w:rsid w:val="00250270"/>
    <w:rsid w:val="00252352"/>
    <w:rsid w:val="00255067"/>
    <w:rsid w:val="0025738E"/>
    <w:rsid w:val="002628B9"/>
    <w:rsid w:val="0026325A"/>
    <w:rsid w:val="002655ED"/>
    <w:rsid w:val="0027088E"/>
    <w:rsid w:val="0027474D"/>
    <w:rsid w:val="00276ED1"/>
    <w:rsid w:val="0028228F"/>
    <w:rsid w:val="00283060"/>
    <w:rsid w:val="00285AF5"/>
    <w:rsid w:val="002866EF"/>
    <w:rsid w:val="0028709C"/>
    <w:rsid w:val="00287F30"/>
    <w:rsid w:val="0029132F"/>
    <w:rsid w:val="00291D75"/>
    <w:rsid w:val="00293D7F"/>
    <w:rsid w:val="00295B67"/>
    <w:rsid w:val="002A2C2E"/>
    <w:rsid w:val="002A480D"/>
    <w:rsid w:val="002A4B6C"/>
    <w:rsid w:val="002A5DE2"/>
    <w:rsid w:val="002A68BE"/>
    <w:rsid w:val="002B0ECF"/>
    <w:rsid w:val="002B119D"/>
    <w:rsid w:val="002B1D17"/>
    <w:rsid w:val="002B1FC8"/>
    <w:rsid w:val="002B2C5F"/>
    <w:rsid w:val="002B4D35"/>
    <w:rsid w:val="002B60CB"/>
    <w:rsid w:val="002B60FC"/>
    <w:rsid w:val="002B673E"/>
    <w:rsid w:val="002B6EF6"/>
    <w:rsid w:val="002C0422"/>
    <w:rsid w:val="002C12FA"/>
    <w:rsid w:val="002C19C9"/>
    <w:rsid w:val="002C2076"/>
    <w:rsid w:val="002C21F9"/>
    <w:rsid w:val="002C26EB"/>
    <w:rsid w:val="002C293A"/>
    <w:rsid w:val="002C321E"/>
    <w:rsid w:val="002C42E0"/>
    <w:rsid w:val="002C4F1C"/>
    <w:rsid w:val="002C5AFC"/>
    <w:rsid w:val="002C7B46"/>
    <w:rsid w:val="002D22FA"/>
    <w:rsid w:val="002D2855"/>
    <w:rsid w:val="002D304D"/>
    <w:rsid w:val="002D4BDA"/>
    <w:rsid w:val="002E0043"/>
    <w:rsid w:val="002E40A2"/>
    <w:rsid w:val="002E47B4"/>
    <w:rsid w:val="002E5671"/>
    <w:rsid w:val="002E5DE2"/>
    <w:rsid w:val="002E5E52"/>
    <w:rsid w:val="002E5F7D"/>
    <w:rsid w:val="002E74C3"/>
    <w:rsid w:val="002F0933"/>
    <w:rsid w:val="002F098C"/>
    <w:rsid w:val="002F105C"/>
    <w:rsid w:val="002F3FE5"/>
    <w:rsid w:val="002F4E8C"/>
    <w:rsid w:val="002F58A9"/>
    <w:rsid w:val="002F70E0"/>
    <w:rsid w:val="00300653"/>
    <w:rsid w:val="0030114D"/>
    <w:rsid w:val="00301DB6"/>
    <w:rsid w:val="00302B74"/>
    <w:rsid w:val="003032B7"/>
    <w:rsid w:val="00304145"/>
    <w:rsid w:val="0030550A"/>
    <w:rsid w:val="00310BA7"/>
    <w:rsid w:val="00311FCC"/>
    <w:rsid w:val="003129E8"/>
    <w:rsid w:val="00313AC6"/>
    <w:rsid w:val="00315352"/>
    <w:rsid w:val="00315AB7"/>
    <w:rsid w:val="00316BF4"/>
    <w:rsid w:val="003213B7"/>
    <w:rsid w:val="00324D0F"/>
    <w:rsid w:val="0032571B"/>
    <w:rsid w:val="003259CD"/>
    <w:rsid w:val="00332DE2"/>
    <w:rsid w:val="00333229"/>
    <w:rsid w:val="00335017"/>
    <w:rsid w:val="00340DAD"/>
    <w:rsid w:val="0034182A"/>
    <w:rsid w:val="00345DE6"/>
    <w:rsid w:val="0034647B"/>
    <w:rsid w:val="00346784"/>
    <w:rsid w:val="00347958"/>
    <w:rsid w:val="00350382"/>
    <w:rsid w:val="003519C9"/>
    <w:rsid w:val="00353BE0"/>
    <w:rsid w:val="00353DC2"/>
    <w:rsid w:val="00362067"/>
    <w:rsid w:val="00363526"/>
    <w:rsid w:val="00370B71"/>
    <w:rsid w:val="00370D1A"/>
    <w:rsid w:val="00374640"/>
    <w:rsid w:val="0037591B"/>
    <w:rsid w:val="00377407"/>
    <w:rsid w:val="00380291"/>
    <w:rsid w:val="00380708"/>
    <w:rsid w:val="00381993"/>
    <w:rsid w:val="00381EE1"/>
    <w:rsid w:val="00382912"/>
    <w:rsid w:val="0038391A"/>
    <w:rsid w:val="00384F29"/>
    <w:rsid w:val="00385776"/>
    <w:rsid w:val="003875BD"/>
    <w:rsid w:val="0039150E"/>
    <w:rsid w:val="00391AAE"/>
    <w:rsid w:val="00392B5E"/>
    <w:rsid w:val="00393618"/>
    <w:rsid w:val="00393D41"/>
    <w:rsid w:val="00395845"/>
    <w:rsid w:val="003960B1"/>
    <w:rsid w:val="003A1B07"/>
    <w:rsid w:val="003A47D4"/>
    <w:rsid w:val="003A4FEA"/>
    <w:rsid w:val="003A648E"/>
    <w:rsid w:val="003A7EE3"/>
    <w:rsid w:val="003B0EDD"/>
    <w:rsid w:val="003C03BC"/>
    <w:rsid w:val="003C4241"/>
    <w:rsid w:val="003C48C5"/>
    <w:rsid w:val="003C4F32"/>
    <w:rsid w:val="003C5980"/>
    <w:rsid w:val="003C5A9E"/>
    <w:rsid w:val="003C6C5D"/>
    <w:rsid w:val="003C6DFA"/>
    <w:rsid w:val="003D0375"/>
    <w:rsid w:val="003D042D"/>
    <w:rsid w:val="003D1DD3"/>
    <w:rsid w:val="003D2988"/>
    <w:rsid w:val="003D5191"/>
    <w:rsid w:val="003D6093"/>
    <w:rsid w:val="003D60B8"/>
    <w:rsid w:val="003D7A2C"/>
    <w:rsid w:val="003E097B"/>
    <w:rsid w:val="003E1956"/>
    <w:rsid w:val="003E24CE"/>
    <w:rsid w:val="003E2E70"/>
    <w:rsid w:val="003E31C4"/>
    <w:rsid w:val="003E3441"/>
    <w:rsid w:val="003E3919"/>
    <w:rsid w:val="003E3941"/>
    <w:rsid w:val="003E540D"/>
    <w:rsid w:val="003E751B"/>
    <w:rsid w:val="003F27F5"/>
    <w:rsid w:val="003F3037"/>
    <w:rsid w:val="003F3DED"/>
    <w:rsid w:val="003F45FF"/>
    <w:rsid w:val="003F549E"/>
    <w:rsid w:val="003F5B70"/>
    <w:rsid w:val="003F698E"/>
    <w:rsid w:val="00402CDE"/>
    <w:rsid w:val="0040323C"/>
    <w:rsid w:val="004044C7"/>
    <w:rsid w:val="0040562B"/>
    <w:rsid w:val="0040619A"/>
    <w:rsid w:val="00406D2F"/>
    <w:rsid w:val="004078BB"/>
    <w:rsid w:val="00411366"/>
    <w:rsid w:val="00415754"/>
    <w:rsid w:val="004200E6"/>
    <w:rsid w:val="00420C4D"/>
    <w:rsid w:val="00421ED8"/>
    <w:rsid w:val="0042297B"/>
    <w:rsid w:val="00423909"/>
    <w:rsid w:val="00425FE9"/>
    <w:rsid w:val="00427131"/>
    <w:rsid w:val="0042730C"/>
    <w:rsid w:val="00430482"/>
    <w:rsid w:val="004313BB"/>
    <w:rsid w:val="004323E9"/>
    <w:rsid w:val="00432DB6"/>
    <w:rsid w:val="00436692"/>
    <w:rsid w:val="00436F7E"/>
    <w:rsid w:val="00437E60"/>
    <w:rsid w:val="0044128D"/>
    <w:rsid w:val="004421C7"/>
    <w:rsid w:val="0044337C"/>
    <w:rsid w:val="00445790"/>
    <w:rsid w:val="00450273"/>
    <w:rsid w:val="00451F79"/>
    <w:rsid w:val="004551F3"/>
    <w:rsid w:val="00455856"/>
    <w:rsid w:val="004563F1"/>
    <w:rsid w:val="004571DC"/>
    <w:rsid w:val="0046054D"/>
    <w:rsid w:val="00460B90"/>
    <w:rsid w:val="00460CA1"/>
    <w:rsid w:val="004617A6"/>
    <w:rsid w:val="00461E30"/>
    <w:rsid w:val="004709F9"/>
    <w:rsid w:val="004710D1"/>
    <w:rsid w:val="00472718"/>
    <w:rsid w:val="004809C9"/>
    <w:rsid w:val="00480BF4"/>
    <w:rsid w:val="00485505"/>
    <w:rsid w:val="00485EFF"/>
    <w:rsid w:val="0048696C"/>
    <w:rsid w:val="00486CF9"/>
    <w:rsid w:val="00487D95"/>
    <w:rsid w:val="00490F22"/>
    <w:rsid w:val="00492048"/>
    <w:rsid w:val="00497197"/>
    <w:rsid w:val="00497CD3"/>
    <w:rsid w:val="004A010B"/>
    <w:rsid w:val="004A0826"/>
    <w:rsid w:val="004A11BE"/>
    <w:rsid w:val="004A11FD"/>
    <w:rsid w:val="004A2913"/>
    <w:rsid w:val="004A2D46"/>
    <w:rsid w:val="004A32F5"/>
    <w:rsid w:val="004A4089"/>
    <w:rsid w:val="004A4867"/>
    <w:rsid w:val="004A6FCA"/>
    <w:rsid w:val="004B0098"/>
    <w:rsid w:val="004B0D4D"/>
    <w:rsid w:val="004B2CFB"/>
    <w:rsid w:val="004B37D9"/>
    <w:rsid w:val="004B5DA8"/>
    <w:rsid w:val="004C34A3"/>
    <w:rsid w:val="004C4E2A"/>
    <w:rsid w:val="004C7AF3"/>
    <w:rsid w:val="004D2A9A"/>
    <w:rsid w:val="004D2C76"/>
    <w:rsid w:val="004D58D5"/>
    <w:rsid w:val="004D71AF"/>
    <w:rsid w:val="004E3504"/>
    <w:rsid w:val="004E4644"/>
    <w:rsid w:val="004F0055"/>
    <w:rsid w:val="004F0E8A"/>
    <w:rsid w:val="004F1DB8"/>
    <w:rsid w:val="004F3EDB"/>
    <w:rsid w:val="004F55EC"/>
    <w:rsid w:val="004F61DD"/>
    <w:rsid w:val="00502569"/>
    <w:rsid w:val="00506204"/>
    <w:rsid w:val="00507551"/>
    <w:rsid w:val="00507772"/>
    <w:rsid w:val="00511171"/>
    <w:rsid w:val="005136CC"/>
    <w:rsid w:val="00513858"/>
    <w:rsid w:val="00513F4E"/>
    <w:rsid w:val="00514EEC"/>
    <w:rsid w:val="00520640"/>
    <w:rsid w:val="00521874"/>
    <w:rsid w:val="00521920"/>
    <w:rsid w:val="00525173"/>
    <w:rsid w:val="005255DA"/>
    <w:rsid w:val="0052605D"/>
    <w:rsid w:val="0052619E"/>
    <w:rsid w:val="00530B04"/>
    <w:rsid w:val="0053683E"/>
    <w:rsid w:val="005403E8"/>
    <w:rsid w:val="0054172D"/>
    <w:rsid w:val="00542990"/>
    <w:rsid w:val="00542A98"/>
    <w:rsid w:val="00542CDE"/>
    <w:rsid w:val="0054599C"/>
    <w:rsid w:val="005478EB"/>
    <w:rsid w:val="00550CF1"/>
    <w:rsid w:val="00551340"/>
    <w:rsid w:val="00551EF3"/>
    <w:rsid w:val="00554084"/>
    <w:rsid w:val="00554E2C"/>
    <w:rsid w:val="00555EDB"/>
    <w:rsid w:val="0056163A"/>
    <w:rsid w:val="00562217"/>
    <w:rsid w:val="005632EE"/>
    <w:rsid w:val="005641D5"/>
    <w:rsid w:val="00564307"/>
    <w:rsid w:val="00564545"/>
    <w:rsid w:val="005648FD"/>
    <w:rsid w:val="00567397"/>
    <w:rsid w:val="00567CCE"/>
    <w:rsid w:val="00570947"/>
    <w:rsid w:val="00571528"/>
    <w:rsid w:val="00574488"/>
    <w:rsid w:val="00574AAD"/>
    <w:rsid w:val="005773BB"/>
    <w:rsid w:val="00577CF6"/>
    <w:rsid w:val="00581086"/>
    <w:rsid w:val="00583128"/>
    <w:rsid w:val="00585C83"/>
    <w:rsid w:val="005860F1"/>
    <w:rsid w:val="0058630D"/>
    <w:rsid w:val="00594324"/>
    <w:rsid w:val="00597552"/>
    <w:rsid w:val="005A1550"/>
    <w:rsid w:val="005A1F9D"/>
    <w:rsid w:val="005A2CAF"/>
    <w:rsid w:val="005A3798"/>
    <w:rsid w:val="005A7302"/>
    <w:rsid w:val="005B0D10"/>
    <w:rsid w:val="005B41E0"/>
    <w:rsid w:val="005B61F2"/>
    <w:rsid w:val="005B7E34"/>
    <w:rsid w:val="005C0014"/>
    <w:rsid w:val="005C16EF"/>
    <w:rsid w:val="005C1A53"/>
    <w:rsid w:val="005C2844"/>
    <w:rsid w:val="005C351E"/>
    <w:rsid w:val="005C3669"/>
    <w:rsid w:val="005C4097"/>
    <w:rsid w:val="005C4E44"/>
    <w:rsid w:val="005C7F3F"/>
    <w:rsid w:val="005D2D23"/>
    <w:rsid w:val="005D3F3C"/>
    <w:rsid w:val="005D3F44"/>
    <w:rsid w:val="005D472B"/>
    <w:rsid w:val="005D5AE8"/>
    <w:rsid w:val="005D6266"/>
    <w:rsid w:val="005D730E"/>
    <w:rsid w:val="005E101A"/>
    <w:rsid w:val="005E4FE9"/>
    <w:rsid w:val="005F19E0"/>
    <w:rsid w:val="005F43C0"/>
    <w:rsid w:val="005F5208"/>
    <w:rsid w:val="005F550F"/>
    <w:rsid w:val="005F57B5"/>
    <w:rsid w:val="005F675F"/>
    <w:rsid w:val="005F6A88"/>
    <w:rsid w:val="005F7AA1"/>
    <w:rsid w:val="00603B92"/>
    <w:rsid w:val="00604FAE"/>
    <w:rsid w:val="006063F9"/>
    <w:rsid w:val="006066BC"/>
    <w:rsid w:val="00606D3D"/>
    <w:rsid w:val="0061001E"/>
    <w:rsid w:val="00610B3C"/>
    <w:rsid w:val="00614A48"/>
    <w:rsid w:val="00617CD8"/>
    <w:rsid w:val="00622319"/>
    <w:rsid w:val="00623215"/>
    <w:rsid w:val="0062416A"/>
    <w:rsid w:val="00625FB3"/>
    <w:rsid w:val="00627B7D"/>
    <w:rsid w:val="00632A52"/>
    <w:rsid w:val="00634A9B"/>
    <w:rsid w:val="006355E3"/>
    <w:rsid w:val="00636012"/>
    <w:rsid w:val="0063623F"/>
    <w:rsid w:val="00636609"/>
    <w:rsid w:val="00636987"/>
    <w:rsid w:val="006411AA"/>
    <w:rsid w:val="00642B88"/>
    <w:rsid w:val="00642FCD"/>
    <w:rsid w:val="00645071"/>
    <w:rsid w:val="00646FEE"/>
    <w:rsid w:val="00652DD9"/>
    <w:rsid w:val="00653464"/>
    <w:rsid w:val="006545BD"/>
    <w:rsid w:val="00655196"/>
    <w:rsid w:val="006559C8"/>
    <w:rsid w:val="00657405"/>
    <w:rsid w:val="006605C2"/>
    <w:rsid w:val="006606A1"/>
    <w:rsid w:val="00661869"/>
    <w:rsid w:val="00663A00"/>
    <w:rsid w:val="00665BF5"/>
    <w:rsid w:val="0067319C"/>
    <w:rsid w:val="00675E8A"/>
    <w:rsid w:val="006808D7"/>
    <w:rsid w:val="006821A8"/>
    <w:rsid w:val="00682FF9"/>
    <w:rsid w:val="006832A4"/>
    <w:rsid w:val="00686210"/>
    <w:rsid w:val="006872DB"/>
    <w:rsid w:val="0069527C"/>
    <w:rsid w:val="00695ED2"/>
    <w:rsid w:val="006A0FED"/>
    <w:rsid w:val="006A1022"/>
    <w:rsid w:val="006A1A83"/>
    <w:rsid w:val="006A2C4B"/>
    <w:rsid w:val="006A55D2"/>
    <w:rsid w:val="006A6157"/>
    <w:rsid w:val="006B2114"/>
    <w:rsid w:val="006B66C7"/>
    <w:rsid w:val="006B763D"/>
    <w:rsid w:val="006B7A62"/>
    <w:rsid w:val="006C1033"/>
    <w:rsid w:val="006C37C4"/>
    <w:rsid w:val="006C7E12"/>
    <w:rsid w:val="006D0D3F"/>
    <w:rsid w:val="006D0EE1"/>
    <w:rsid w:val="006D4AE1"/>
    <w:rsid w:val="006D52D8"/>
    <w:rsid w:val="006D7325"/>
    <w:rsid w:val="006D764D"/>
    <w:rsid w:val="006D7876"/>
    <w:rsid w:val="006E0111"/>
    <w:rsid w:val="006E0237"/>
    <w:rsid w:val="006E4328"/>
    <w:rsid w:val="006E5ED3"/>
    <w:rsid w:val="006E5F60"/>
    <w:rsid w:val="006F0139"/>
    <w:rsid w:val="006F214B"/>
    <w:rsid w:val="006F28C7"/>
    <w:rsid w:val="006F2B0D"/>
    <w:rsid w:val="006F4245"/>
    <w:rsid w:val="006F429D"/>
    <w:rsid w:val="006F597D"/>
    <w:rsid w:val="00700FE0"/>
    <w:rsid w:val="0070211B"/>
    <w:rsid w:val="007035A6"/>
    <w:rsid w:val="00703ACF"/>
    <w:rsid w:val="00703D10"/>
    <w:rsid w:val="0070443C"/>
    <w:rsid w:val="007110E8"/>
    <w:rsid w:val="00712477"/>
    <w:rsid w:val="007169C7"/>
    <w:rsid w:val="00716BD6"/>
    <w:rsid w:val="00717A27"/>
    <w:rsid w:val="00721A54"/>
    <w:rsid w:val="00721C75"/>
    <w:rsid w:val="007228DB"/>
    <w:rsid w:val="00723862"/>
    <w:rsid w:val="007258F9"/>
    <w:rsid w:val="00730F43"/>
    <w:rsid w:val="00731716"/>
    <w:rsid w:val="00731859"/>
    <w:rsid w:val="00733275"/>
    <w:rsid w:val="00733422"/>
    <w:rsid w:val="00735CB1"/>
    <w:rsid w:val="0073675F"/>
    <w:rsid w:val="00742E8A"/>
    <w:rsid w:val="007431B7"/>
    <w:rsid w:val="00745127"/>
    <w:rsid w:val="00745482"/>
    <w:rsid w:val="00745B6B"/>
    <w:rsid w:val="00746DDC"/>
    <w:rsid w:val="007475AA"/>
    <w:rsid w:val="0075061C"/>
    <w:rsid w:val="00754873"/>
    <w:rsid w:val="00754D25"/>
    <w:rsid w:val="00755961"/>
    <w:rsid w:val="00756A18"/>
    <w:rsid w:val="00757590"/>
    <w:rsid w:val="007612BE"/>
    <w:rsid w:val="007628B5"/>
    <w:rsid w:val="007636DC"/>
    <w:rsid w:val="00764070"/>
    <w:rsid w:val="007652CE"/>
    <w:rsid w:val="00773012"/>
    <w:rsid w:val="00776920"/>
    <w:rsid w:val="00777A08"/>
    <w:rsid w:val="00777ED0"/>
    <w:rsid w:val="00780DA8"/>
    <w:rsid w:val="007815D9"/>
    <w:rsid w:val="00781854"/>
    <w:rsid w:val="007821CF"/>
    <w:rsid w:val="0078229A"/>
    <w:rsid w:val="00785112"/>
    <w:rsid w:val="00786700"/>
    <w:rsid w:val="007878B9"/>
    <w:rsid w:val="0079521E"/>
    <w:rsid w:val="00796071"/>
    <w:rsid w:val="00797160"/>
    <w:rsid w:val="00797F8D"/>
    <w:rsid w:val="007A1510"/>
    <w:rsid w:val="007A3966"/>
    <w:rsid w:val="007A465F"/>
    <w:rsid w:val="007A4947"/>
    <w:rsid w:val="007A768C"/>
    <w:rsid w:val="007B2030"/>
    <w:rsid w:val="007B2CAC"/>
    <w:rsid w:val="007B44FB"/>
    <w:rsid w:val="007B71A0"/>
    <w:rsid w:val="007C0721"/>
    <w:rsid w:val="007C0B15"/>
    <w:rsid w:val="007C0DD9"/>
    <w:rsid w:val="007C0E38"/>
    <w:rsid w:val="007C18ED"/>
    <w:rsid w:val="007C3288"/>
    <w:rsid w:val="007C3560"/>
    <w:rsid w:val="007C4E08"/>
    <w:rsid w:val="007C5869"/>
    <w:rsid w:val="007D2C96"/>
    <w:rsid w:val="007D2F4C"/>
    <w:rsid w:val="007D3DFF"/>
    <w:rsid w:val="007D3F38"/>
    <w:rsid w:val="007D4DB8"/>
    <w:rsid w:val="007D5AC8"/>
    <w:rsid w:val="007E01F0"/>
    <w:rsid w:val="007E0228"/>
    <w:rsid w:val="007E2197"/>
    <w:rsid w:val="007E2AE5"/>
    <w:rsid w:val="007E3304"/>
    <w:rsid w:val="007E3A8A"/>
    <w:rsid w:val="007F03BD"/>
    <w:rsid w:val="007F1E48"/>
    <w:rsid w:val="007F1E52"/>
    <w:rsid w:val="007F6C7D"/>
    <w:rsid w:val="007F7AB5"/>
    <w:rsid w:val="00800509"/>
    <w:rsid w:val="00800815"/>
    <w:rsid w:val="008018BD"/>
    <w:rsid w:val="00805825"/>
    <w:rsid w:val="0080692F"/>
    <w:rsid w:val="00810DF4"/>
    <w:rsid w:val="0081171C"/>
    <w:rsid w:val="008139F6"/>
    <w:rsid w:val="00813C9D"/>
    <w:rsid w:val="00814500"/>
    <w:rsid w:val="00816FAD"/>
    <w:rsid w:val="00822F77"/>
    <w:rsid w:val="00824C85"/>
    <w:rsid w:val="00826FC3"/>
    <w:rsid w:val="00830266"/>
    <w:rsid w:val="00831708"/>
    <w:rsid w:val="00831F42"/>
    <w:rsid w:val="00833496"/>
    <w:rsid w:val="00833AF7"/>
    <w:rsid w:val="00834FDE"/>
    <w:rsid w:val="00835579"/>
    <w:rsid w:val="008369DA"/>
    <w:rsid w:val="00837BF1"/>
    <w:rsid w:val="00840777"/>
    <w:rsid w:val="00841A4D"/>
    <w:rsid w:val="00843202"/>
    <w:rsid w:val="00844106"/>
    <w:rsid w:val="00844B27"/>
    <w:rsid w:val="00844D29"/>
    <w:rsid w:val="00846195"/>
    <w:rsid w:val="00846FA0"/>
    <w:rsid w:val="008479B6"/>
    <w:rsid w:val="00851220"/>
    <w:rsid w:val="0085123C"/>
    <w:rsid w:val="00853DC3"/>
    <w:rsid w:val="00854730"/>
    <w:rsid w:val="00856454"/>
    <w:rsid w:val="00857331"/>
    <w:rsid w:val="0086002F"/>
    <w:rsid w:val="00860C29"/>
    <w:rsid w:val="00862078"/>
    <w:rsid w:val="00863676"/>
    <w:rsid w:val="00863F9D"/>
    <w:rsid w:val="0086628A"/>
    <w:rsid w:val="008707C4"/>
    <w:rsid w:val="00872913"/>
    <w:rsid w:val="00872D3E"/>
    <w:rsid w:val="0087391A"/>
    <w:rsid w:val="00873F82"/>
    <w:rsid w:val="00874E8A"/>
    <w:rsid w:val="008767F2"/>
    <w:rsid w:val="0088079A"/>
    <w:rsid w:val="00880843"/>
    <w:rsid w:val="008817B1"/>
    <w:rsid w:val="008834BB"/>
    <w:rsid w:val="00883CCC"/>
    <w:rsid w:val="008846D2"/>
    <w:rsid w:val="00890F95"/>
    <w:rsid w:val="00891B5A"/>
    <w:rsid w:val="0089311A"/>
    <w:rsid w:val="008946C3"/>
    <w:rsid w:val="008948E0"/>
    <w:rsid w:val="00894FAA"/>
    <w:rsid w:val="008A27BA"/>
    <w:rsid w:val="008A2CD4"/>
    <w:rsid w:val="008A4C20"/>
    <w:rsid w:val="008B034D"/>
    <w:rsid w:val="008B03BF"/>
    <w:rsid w:val="008B0BBC"/>
    <w:rsid w:val="008B19E9"/>
    <w:rsid w:val="008B383A"/>
    <w:rsid w:val="008B7927"/>
    <w:rsid w:val="008C0B7A"/>
    <w:rsid w:val="008C71B5"/>
    <w:rsid w:val="008D3A8D"/>
    <w:rsid w:val="008D5572"/>
    <w:rsid w:val="008E0293"/>
    <w:rsid w:val="008E3A14"/>
    <w:rsid w:val="008E431F"/>
    <w:rsid w:val="008E7931"/>
    <w:rsid w:val="008F12D4"/>
    <w:rsid w:val="008F2B42"/>
    <w:rsid w:val="008F386F"/>
    <w:rsid w:val="008F47BC"/>
    <w:rsid w:val="008F60AC"/>
    <w:rsid w:val="00903C95"/>
    <w:rsid w:val="0091058D"/>
    <w:rsid w:val="0091292A"/>
    <w:rsid w:val="009130E7"/>
    <w:rsid w:val="00913A0F"/>
    <w:rsid w:val="00914959"/>
    <w:rsid w:val="009168A1"/>
    <w:rsid w:val="00920796"/>
    <w:rsid w:val="00922F00"/>
    <w:rsid w:val="00924681"/>
    <w:rsid w:val="009252EF"/>
    <w:rsid w:val="0092622E"/>
    <w:rsid w:val="009273CF"/>
    <w:rsid w:val="009332EF"/>
    <w:rsid w:val="009338C2"/>
    <w:rsid w:val="009347AE"/>
    <w:rsid w:val="0093567E"/>
    <w:rsid w:val="00935779"/>
    <w:rsid w:val="009358D8"/>
    <w:rsid w:val="009364C9"/>
    <w:rsid w:val="009436B2"/>
    <w:rsid w:val="009441C7"/>
    <w:rsid w:val="009455B8"/>
    <w:rsid w:val="00945CB0"/>
    <w:rsid w:val="00945F76"/>
    <w:rsid w:val="00946CE0"/>
    <w:rsid w:val="00953E4C"/>
    <w:rsid w:val="00955CBA"/>
    <w:rsid w:val="00960931"/>
    <w:rsid w:val="00963B5E"/>
    <w:rsid w:val="00963FA0"/>
    <w:rsid w:val="0096491F"/>
    <w:rsid w:val="00965379"/>
    <w:rsid w:val="00971D5E"/>
    <w:rsid w:val="0097311F"/>
    <w:rsid w:val="00974E95"/>
    <w:rsid w:val="009757EC"/>
    <w:rsid w:val="00976936"/>
    <w:rsid w:val="00977BF5"/>
    <w:rsid w:val="00980064"/>
    <w:rsid w:val="0098302D"/>
    <w:rsid w:val="00984735"/>
    <w:rsid w:val="00986441"/>
    <w:rsid w:val="00987608"/>
    <w:rsid w:val="0098777A"/>
    <w:rsid w:val="00990B2C"/>
    <w:rsid w:val="00991061"/>
    <w:rsid w:val="009953BC"/>
    <w:rsid w:val="009963D2"/>
    <w:rsid w:val="009A16BE"/>
    <w:rsid w:val="009A2BE4"/>
    <w:rsid w:val="009A39CB"/>
    <w:rsid w:val="009A3CD1"/>
    <w:rsid w:val="009A4CC4"/>
    <w:rsid w:val="009A744F"/>
    <w:rsid w:val="009A7B5A"/>
    <w:rsid w:val="009A7F79"/>
    <w:rsid w:val="009B2BDC"/>
    <w:rsid w:val="009B3ED8"/>
    <w:rsid w:val="009B466E"/>
    <w:rsid w:val="009B556B"/>
    <w:rsid w:val="009B6201"/>
    <w:rsid w:val="009C10D9"/>
    <w:rsid w:val="009C2543"/>
    <w:rsid w:val="009C3E4C"/>
    <w:rsid w:val="009D19C8"/>
    <w:rsid w:val="009D1DF4"/>
    <w:rsid w:val="009D220B"/>
    <w:rsid w:val="009D44CF"/>
    <w:rsid w:val="009D5D6C"/>
    <w:rsid w:val="009D6345"/>
    <w:rsid w:val="009D72DF"/>
    <w:rsid w:val="009D7A24"/>
    <w:rsid w:val="009E0F6B"/>
    <w:rsid w:val="009E1CD6"/>
    <w:rsid w:val="009E5C1D"/>
    <w:rsid w:val="009E5D18"/>
    <w:rsid w:val="009E5ED8"/>
    <w:rsid w:val="009E66CD"/>
    <w:rsid w:val="009E78A3"/>
    <w:rsid w:val="009F0C68"/>
    <w:rsid w:val="009F140D"/>
    <w:rsid w:val="009F54A7"/>
    <w:rsid w:val="009F6BA3"/>
    <w:rsid w:val="009F7164"/>
    <w:rsid w:val="00A00136"/>
    <w:rsid w:val="00A0162E"/>
    <w:rsid w:val="00A02343"/>
    <w:rsid w:val="00A041F4"/>
    <w:rsid w:val="00A04954"/>
    <w:rsid w:val="00A06648"/>
    <w:rsid w:val="00A117BE"/>
    <w:rsid w:val="00A127DD"/>
    <w:rsid w:val="00A13117"/>
    <w:rsid w:val="00A1443E"/>
    <w:rsid w:val="00A14E6C"/>
    <w:rsid w:val="00A14FDC"/>
    <w:rsid w:val="00A167EC"/>
    <w:rsid w:val="00A17C1B"/>
    <w:rsid w:val="00A20738"/>
    <w:rsid w:val="00A21057"/>
    <w:rsid w:val="00A23BD0"/>
    <w:rsid w:val="00A24C8D"/>
    <w:rsid w:val="00A26E59"/>
    <w:rsid w:val="00A26EE7"/>
    <w:rsid w:val="00A26F15"/>
    <w:rsid w:val="00A270E9"/>
    <w:rsid w:val="00A30E37"/>
    <w:rsid w:val="00A3139A"/>
    <w:rsid w:val="00A3322A"/>
    <w:rsid w:val="00A34184"/>
    <w:rsid w:val="00A35CF8"/>
    <w:rsid w:val="00A360E7"/>
    <w:rsid w:val="00A36D1D"/>
    <w:rsid w:val="00A37646"/>
    <w:rsid w:val="00A400FB"/>
    <w:rsid w:val="00A40280"/>
    <w:rsid w:val="00A420EA"/>
    <w:rsid w:val="00A435E6"/>
    <w:rsid w:val="00A456B3"/>
    <w:rsid w:val="00A46BE1"/>
    <w:rsid w:val="00A47583"/>
    <w:rsid w:val="00A51D78"/>
    <w:rsid w:val="00A51EA8"/>
    <w:rsid w:val="00A53A50"/>
    <w:rsid w:val="00A549C3"/>
    <w:rsid w:val="00A57917"/>
    <w:rsid w:val="00A57D8C"/>
    <w:rsid w:val="00A65F43"/>
    <w:rsid w:val="00A6733A"/>
    <w:rsid w:val="00A67FD8"/>
    <w:rsid w:val="00A7007B"/>
    <w:rsid w:val="00A70A4B"/>
    <w:rsid w:val="00A71D0C"/>
    <w:rsid w:val="00A738C5"/>
    <w:rsid w:val="00A76971"/>
    <w:rsid w:val="00A838A8"/>
    <w:rsid w:val="00A83F98"/>
    <w:rsid w:val="00A84B87"/>
    <w:rsid w:val="00A84D4B"/>
    <w:rsid w:val="00A8592D"/>
    <w:rsid w:val="00A87B41"/>
    <w:rsid w:val="00A87B94"/>
    <w:rsid w:val="00A87C1F"/>
    <w:rsid w:val="00A90D08"/>
    <w:rsid w:val="00A92A8E"/>
    <w:rsid w:val="00A93FFF"/>
    <w:rsid w:val="00A941DC"/>
    <w:rsid w:val="00A945C3"/>
    <w:rsid w:val="00A96124"/>
    <w:rsid w:val="00A962AF"/>
    <w:rsid w:val="00A96D45"/>
    <w:rsid w:val="00A97BE1"/>
    <w:rsid w:val="00A97F23"/>
    <w:rsid w:val="00AA0C70"/>
    <w:rsid w:val="00AA18DD"/>
    <w:rsid w:val="00AA1F91"/>
    <w:rsid w:val="00AA3B9A"/>
    <w:rsid w:val="00AA45A3"/>
    <w:rsid w:val="00AA5CE1"/>
    <w:rsid w:val="00AB0793"/>
    <w:rsid w:val="00AB2D9E"/>
    <w:rsid w:val="00AB30F4"/>
    <w:rsid w:val="00AB4404"/>
    <w:rsid w:val="00AB4EF4"/>
    <w:rsid w:val="00AB58D0"/>
    <w:rsid w:val="00AC11B2"/>
    <w:rsid w:val="00AC21EE"/>
    <w:rsid w:val="00AC2662"/>
    <w:rsid w:val="00AC3B22"/>
    <w:rsid w:val="00AC4031"/>
    <w:rsid w:val="00AC7C32"/>
    <w:rsid w:val="00AD1473"/>
    <w:rsid w:val="00AD167B"/>
    <w:rsid w:val="00AD1B42"/>
    <w:rsid w:val="00AD484F"/>
    <w:rsid w:val="00AD4B84"/>
    <w:rsid w:val="00AE23BE"/>
    <w:rsid w:val="00AE2FDB"/>
    <w:rsid w:val="00AE326D"/>
    <w:rsid w:val="00AE5772"/>
    <w:rsid w:val="00AE5BF4"/>
    <w:rsid w:val="00AE5D39"/>
    <w:rsid w:val="00AF0AC0"/>
    <w:rsid w:val="00AF2028"/>
    <w:rsid w:val="00AF4CA9"/>
    <w:rsid w:val="00AF73C5"/>
    <w:rsid w:val="00B008BF"/>
    <w:rsid w:val="00B009DC"/>
    <w:rsid w:val="00B03813"/>
    <w:rsid w:val="00B06DF7"/>
    <w:rsid w:val="00B10CA6"/>
    <w:rsid w:val="00B12093"/>
    <w:rsid w:val="00B17EBB"/>
    <w:rsid w:val="00B202EC"/>
    <w:rsid w:val="00B206C7"/>
    <w:rsid w:val="00B22AC4"/>
    <w:rsid w:val="00B24A6F"/>
    <w:rsid w:val="00B3084F"/>
    <w:rsid w:val="00B3434E"/>
    <w:rsid w:val="00B351FD"/>
    <w:rsid w:val="00B35BFD"/>
    <w:rsid w:val="00B36A1B"/>
    <w:rsid w:val="00B421F2"/>
    <w:rsid w:val="00B42822"/>
    <w:rsid w:val="00B42EF3"/>
    <w:rsid w:val="00B4395A"/>
    <w:rsid w:val="00B466DE"/>
    <w:rsid w:val="00B47091"/>
    <w:rsid w:val="00B47E14"/>
    <w:rsid w:val="00B50DD8"/>
    <w:rsid w:val="00B54256"/>
    <w:rsid w:val="00B545F4"/>
    <w:rsid w:val="00B57C2E"/>
    <w:rsid w:val="00B62D97"/>
    <w:rsid w:val="00B62EB0"/>
    <w:rsid w:val="00B6414B"/>
    <w:rsid w:val="00B64F62"/>
    <w:rsid w:val="00B660E1"/>
    <w:rsid w:val="00B66833"/>
    <w:rsid w:val="00B70C83"/>
    <w:rsid w:val="00B7164C"/>
    <w:rsid w:val="00B77854"/>
    <w:rsid w:val="00B80F53"/>
    <w:rsid w:val="00B81535"/>
    <w:rsid w:val="00B82E26"/>
    <w:rsid w:val="00B833A2"/>
    <w:rsid w:val="00B833EC"/>
    <w:rsid w:val="00B8377B"/>
    <w:rsid w:val="00B84C73"/>
    <w:rsid w:val="00B859C6"/>
    <w:rsid w:val="00B91732"/>
    <w:rsid w:val="00B91D96"/>
    <w:rsid w:val="00B921E0"/>
    <w:rsid w:val="00B9284B"/>
    <w:rsid w:val="00B94699"/>
    <w:rsid w:val="00B9478E"/>
    <w:rsid w:val="00B94D58"/>
    <w:rsid w:val="00B95FBC"/>
    <w:rsid w:val="00B97241"/>
    <w:rsid w:val="00B97C44"/>
    <w:rsid w:val="00BA05AE"/>
    <w:rsid w:val="00BA11FC"/>
    <w:rsid w:val="00BA28D4"/>
    <w:rsid w:val="00BA2E47"/>
    <w:rsid w:val="00BA2F6D"/>
    <w:rsid w:val="00BA2FA3"/>
    <w:rsid w:val="00BA3E17"/>
    <w:rsid w:val="00BA407A"/>
    <w:rsid w:val="00BA6418"/>
    <w:rsid w:val="00BA7D96"/>
    <w:rsid w:val="00BA7ED5"/>
    <w:rsid w:val="00BA7F4E"/>
    <w:rsid w:val="00BB27CB"/>
    <w:rsid w:val="00BB2A9B"/>
    <w:rsid w:val="00BB3A8F"/>
    <w:rsid w:val="00BB3E69"/>
    <w:rsid w:val="00BB4E37"/>
    <w:rsid w:val="00BB5634"/>
    <w:rsid w:val="00BB5A80"/>
    <w:rsid w:val="00BB6956"/>
    <w:rsid w:val="00BC5277"/>
    <w:rsid w:val="00BD1586"/>
    <w:rsid w:val="00BD189A"/>
    <w:rsid w:val="00BD1D61"/>
    <w:rsid w:val="00BD2F70"/>
    <w:rsid w:val="00BD5425"/>
    <w:rsid w:val="00BD5BE2"/>
    <w:rsid w:val="00BD6699"/>
    <w:rsid w:val="00BD729E"/>
    <w:rsid w:val="00BD7AD3"/>
    <w:rsid w:val="00BE2A53"/>
    <w:rsid w:val="00BE45D9"/>
    <w:rsid w:val="00BE5368"/>
    <w:rsid w:val="00BE612F"/>
    <w:rsid w:val="00BE6E60"/>
    <w:rsid w:val="00BF0332"/>
    <w:rsid w:val="00BF1023"/>
    <w:rsid w:val="00BF274B"/>
    <w:rsid w:val="00BF5FCC"/>
    <w:rsid w:val="00BF6C9A"/>
    <w:rsid w:val="00C00B9B"/>
    <w:rsid w:val="00C04FFB"/>
    <w:rsid w:val="00C0563F"/>
    <w:rsid w:val="00C05A84"/>
    <w:rsid w:val="00C069A2"/>
    <w:rsid w:val="00C069EC"/>
    <w:rsid w:val="00C12AE2"/>
    <w:rsid w:val="00C130FB"/>
    <w:rsid w:val="00C142DA"/>
    <w:rsid w:val="00C172C7"/>
    <w:rsid w:val="00C17416"/>
    <w:rsid w:val="00C17483"/>
    <w:rsid w:val="00C221D5"/>
    <w:rsid w:val="00C2280A"/>
    <w:rsid w:val="00C25945"/>
    <w:rsid w:val="00C30598"/>
    <w:rsid w:val="00C3416B"/>
    <w:rsid w:val="00C35D1B"/>
    <w:rsid w:val="00C42422"/>
    <w:rsid w:val="00C44C0B"/>
    <w:rsid w:val="00C45A1F"/>
    <w:rsid w:val="00C45C85"/>
    <w:rsid w:val="00C46CCE"/>
    <w:rsid w:val="00C533E6"/>
    <w:rsid w:val="00C56730"/>
    <w:rsid w:val="00C6024F"/>
    <w:rsid w:val="00C63D95"/>
    <w:rsid w:val="00C642A4"/>
    <w:rsid w:val="00C66BF8"/>
    <w:rsid w:val="00C73917"/>
    <w:rsid w:val="00C739BF"/>
    <w:rsid w:val="00C824CE"/>
    <w:rsid w:val="00C838BF"/>
    <w:rsid w:val="00C846A5"/>
    <w:rsid w:val="00C85ADD"/>
    <w:rsid w:val="00C85E15"/>
    <w:rsid w:val="00C86BB3"/>
    <w:rsid w:val="00C8768A"/>
    <w:rsid w:val="00C9017F"/>
    <w:rsid w:val="00C90663"/>
    <w:rsid w:val="00C93DCA"/>
    <w:rsid w:val="00C94449"/>
    <w:rsid w:val="00C96832"/>
    <w:rsid w:val="00CA0602"/>
    <w:rsid w:val="00CA071B"/>
    <w:rsid w:val="00CA0EF4"/>
    <w:rsid w:val="00CA13A2"/>
    <w:rsid w:val="00CA295A"/>
    <w:rsid w:val="00CA338F"/>
    <w:rsid w:val="00CA5466"/>
    <w:rsid w:val="00CB2ACF"/>
    <w:rsid w:val="00CB2C4F"/>
    <w:rsid w:val="00CB4219"/>
    <w:rsid w:val="00CC0255"/>
    <w:rsid w:val="00CC2F6C"/>
    <w:rsid w:val="00CC2FC6"/>
    <w:rsid w:val="00CC34FF"/>
    <w:rsid w:val="00CC42E0"/>
    <w:rsid w:val="00CC44F0"/>
    <w:rsid w:val="00CC7169"/>
    <w:rsid w:val="00CD008B"/>
    <w:rsid w:val="00CD297A"/>
    <w:rsid w:val="00CD396E"/>
    <w:rsid w:val="00CD4F4E"/>
    <w:rsid w:val="00CD5104"/>
    <w:rsid w:val="00CD5C6C"/>
    <w:rsid w:val="00CD6046"/>
    <w:rsid w:val="00CE0387"/>
    <w:rsid w:val="00CE202E"/>
    <w:rsid w:val="00CE2229"/>
    <w:rsid w:val="00CE374E"/>
    <w:rsid w:val="00CE76ED"/>
    <w:rsid w:val="00CF3486"/>
    <w:rsid w:val="00CF41AF"/>
    <w:rsid w:val="00CF6815"/>
    <w:rsid w:val="00D0189F"/>
    <w:rsid w:val="00D04D3D"/>
    <w:rsid w:val="00D07F5B"/>
    <w:rsid w:val="00D10596"/>
    <w:rsid w:val="00D1202C"/>
    <w:rsid w:val="00D12EAC"/>
    <w:rsid w:val="00D15BEC"/>
    <w:rsid w:val="00D163B7"/>
    <w:rsid w:val="00D20486"/>
    <w:rsid w:val="00D216B3"/>
    <w:rsid w:val="00D228D8"/>
    <w:rsid w:val="00D24E52"/>
    <w:rsid w:val="00D251DE"/>
    <w:rsid w:val="00D26225"/>
    <w:rsid w:val="00D268B4"/>
    <w:rsid w:val="00D2744F"/>
    <w:rsid w:val="00D31439"/>
    <w:rsid w:val="00D33677"/>
    <w:rsid w:val="00D40A2C"/>
    <w:rsid w:val="00D41B23"/>
    <w:rsid w:val="00D42875"/>
    <w:rsid w:val="00D42B44"/>
    <w:rsid w:val="00D44A14"/>
    <w:rsid w:val="00D465E2"/>
    <w:rsid w:val="00D46C5D"/>
    <w:rsid w:val="00D51D95"/>
    <w:rsid w:val="00D52DF3"/>
    <w:rsid w:val="00D53EC6"/>
    <w:rsid w:val="00D55A00"/>
    <w:rsid w:val="00D56F77"/>
    <w:rsid w:val="00D61E9F"/>
    <w:rsid w:val="00D6402F"/>
    <w:rsid w:val="00D6470F"/>
    <w:rsid w:val="00D7047A"/>
    <w:rsid w:val="00D71AAC"/>
    <w:rsid w:val="00D72225"/>
    <w:rsid w:val="00D73550"/>
    <w:rsid w:val="00D74E1A"/>
    <w:rsid w:val="00D80A12"/>
    <w:rsid w:val="00D838F7"/>
    <w:rsid w:val="00D840F9"/>
    <w:rsid w:val="00D86C32"/>
    <w:rsid w:val="00D913A7"/>
    <w:rsid w:val="00D91AE6"/>
    <w:rsid w:val="00D92B2A"/>
    <w:rsid w:val="00D95840"/>
    <w:rsid w:val="00DA190E"/>
    <w:rsid w:val="00DA554C"/>
    <w:rsid w:val="00DA5F07"/>
    <w:rsid w:val="00DB42FB"/>
    <w:rsid w:val="00DB753D"/>
    <w:rsid w:val="00DB7AEE"/>
    <w:rsid w:val="00DC2ABA"/>
    <w:rsid w:val="00DC3666"/>
    <w:rsid w:val="00DC39C4"/>
    <w:rsid w:val="00DC5032"/>
    <w:rsid w:val="00DC5C57"/>
    <w:rsid w:val="00DD6B5E"/>
    <w:rsid w:val="00DD7361"/>
    <w:rsid w:val="00DE356B"/>
    <w:rsid w:val="00DE3D6D"/>
    <w:rsid w:val="00DE4729"/>
    <w:rsid w:val="00DE4BF6"/>
    <w:rsid w:val="00DE5122"/>
    <w:rsid w:val="00DE69D0"/>
    <w:rsid w:val="00DE7070"/>
    <w:rsid w:val="00DE760C"/>
    <w:rsid w:val="00DF1869"/>
    <w:rsid w:val="00DF21B8"/>
    <w:rsid w:val="00DF31EE"/>
    <w:rsid w:val="00DF3395"/>
    <w:rsid w:val="00DF3F0D"/>
    <w:rsid w:val="00DF44D3"/>
    <w:rsid w:val="00DF7681"/>
    <w:rsid w:val="00E021F0"/>
    <w:rsid w:val="00E02D36"/>
    <w:rsid w:val="00E03431"/>
    <w:rsid w:val="00E04E43"/>
    <w:rsid w:val="00E0531D"/>
    <w:rsid w:val="00E057DC"/>
    <w:rsid w:val="00E05FAD"/>
    <w:rsid w:val="00E1053C"/>
    <w:rsid w:val="00E11128"/>
    <w:rsid w:val="00E11AC7"/>
    <w:rsid w:val="00E11AD2"/>
    <w:rsid w:val="00E11C21"/>
    <w:rsid w:val="00E149CE"/>
    <w:rsid w:val="00E15BD2"/>
    <w:rsid w:val="00E16AC4"/>
    <w:rsid w:val="00E1775C"/>
    <w:rsid w:val="00E2309A"/>
    <w:rsid w:val="00E23958"/>
    <w:rsid w:val="00E23AD4"/>
    <w:rsid w:val="00E23BEC"/>
    <w:rsid w:val="00E26BB8"/>
    <w:rsid w:val="00E301F2"/>
    <w:rsid w:val="00E4171D"/>
    <w:rsid w:val="00E45594"/>
    <w:rsid w:val="00E472F5"/>
    <w:rsid w:val="00E528AF"/>
    <w:rsid w:val="00E52F7F"/>
    <w:rsid w:val="00E54F60"/>
    <w:rsid w:val="00E5518E"/>
    <w:rsid w:val="00E56222"/>
    <w:rsid w:val="00E57743"/>
    <w:rsid w:val="00E577C9"/>
    <w:rsid w:val="00E62DD3"/>
    <w:rsid w:val="00E66D8F"/>
    <w:rsid w:val="00E6742D"/>
    <w:rsid w:val="00E70A97"/>
    <w:rsid w:val="00E71707"/>
    <w:rsid w:val="00E71EF1"/>
    <w:rsid w:val="00E7292E"/>
    <w:rsid w:val="00E731C6"/>
    <w:rsid w:val="00E740C4"/>
    <w:rsid w:val="00E74750"/>
    <w:rsid w:val="00E75716"/>
    <w:rsid w:val="00E76686"/>
    <w:rsid w:val="00E776E9"/>
    <w:rsid w:val="00E77966"/>
    <w:rsid w:val="00E80520"/>
    <w:rsid w:val="00E80A59"/>
    <w:rsid w:val="00E81ED6"/>
    <w:rsid w:val="00E840FE"/>
    <w:rsid w:val="00E84DBD"/>
    <w:rsid w:val="00E85F9D"/>
    <w:rsid w:val="00E9128A"/>
    <w:rsid w:val="00E912A9"/>
    <w:rsid w:val="00E91983"/>
    <w:rsid w:val="00E91C15"/>
    <w:rsid w:val="00E943E8"/>
    <w:rsid w:val="00E94FAF"/>
    <w:rsid w:val="00E96AB3"/>
    <w:rsid w:val="00EA0528"/>
    <w:rsid w:val="00EA0C95"/>
    <w:rsid w:val="00EA347E"/>
    <w:rsid w:val="00EA4E02"/>
    <w:rsid w:val="00EA5D1F"/>
    <w:rsid w:val="00EA6276"/>
    <w:rsid w:val="00EB048C"/>
    <w:rsid w:val="00EB2C67"/>
    <w:rsid w:val="00EB2E62"/>
    <w:rsid w:val="00EB367C"/>
    <w:rsid w:val="00EB44AB"/>
    <w:rsid w:val="00EB46D0"/>
    <w:rsid w:val="00EB4700"/>
    <w:rsid w:val="00EB73D9"/>
    <w:rsid w:val="00EB794C"/>
    <w:rsid w:val="00EC04D3"/>
    <w:rsid w:val="00EC23D4"/>
    <w:rsid w:val="00EC25B7"/>
    <w:rsid w:val="00EC4175"/>
    <w:rsid w:val="00EC49A4"/>
    <w:rsid w:val="00EC4DF7"/>
    <w:rsid w:val="00EC6337"/>
    <w:rsid w:val="00EC6F63"/>
    <w:rsid w:val="00EC768E"/>
    <w:rsid w:val="00EC77DA"/>
    <w:rsid w:val="00ED14BC"/>
    <w:rsid w:val="00ED21EE"/>
    <w:rsid w:val="00ED2590"/>
    <w:rsid w:val="00ED3676"/>
    <w:rsid w:val="00ED37E1"/>
    <w:rsid w:val="00ED384F"/>
    <w:rsid w:val="00ED395C"/>
    <w:rsid w:val="00ED63EB"/>
    <w:rsid w:val="00ED6C04"/>
    <w:rsid w:val="00EE040C"/>
    <w:rsid w:val="00EE0A8A"/>
    <w:rsid w:val="00EE2728"/>
    <w:rsid w:val="00EE2F81"/>
    <w:rsid w:val="00EE321A"/>
    <w:rsid w:val="00EE4094"/>
    <w:rsid w:val="00EE53FF"/>
    <w:rsid w:val="00EE5E83"/>
    <w:rsid w:val="00EE6922"/>
    <w:rsid w:val="00EE7092"/>
    <w:rsid w:val="00EF0C61"/>
    <w:rsid w:val="00EF0FF7"/>
    <w:rsid w:val="00EF28B3"/>
    <w:rsid w:val="00EF2F5C"/>
    <w:rsid w:val="00EF5B11"/>
    <w:rsid w:val="00EF60A0"/>
    <w:rsid w:val="00EF7027"/>
    <w:rsid w:val="00EF7590"/>
    <w:rsid w:val="00F0354F"/>
    <w:rsid w:val="00F061E1"/>
    <w:rsid w:val="00F079CE"/>
    <w:rsid w:val="00F1013F"/>
    <w:rsid w:val="00F1085D"/>
    <w:rsid w:val="00F10A99"/>
    <w:rsid w:val="00F138A2"/>
    <w:rsid w:val="00F154EB"/>
    <w:rsid w:val="00F16334"/>
    <w:rsid w:val="00F20632"/>
    <w:rsid w:val="00F21B93"/>
    <w:rsid w:val="00F24691"/>
    <w:rsid w:val="00F26097"/>
    <w:rsid w:val="00F26498"/>
    <w:rsid w:val="00F26751"/>
    <w:rsid w:val="00F26D0F"/>
    <w:rsid w:val="00F3039F"/>
    <w:rsid w:val="00F30846"/>
    <w:rsid w:val="00F30B8A"/>
    <w:rsid w:val="00F327DF"/>
    <w:rsid w:val="00F33121"/>
    <w:rsid w:val="00F33769"/>
    <w:rsid w:val="00F36DEB"/>
    <w:rsid w:val="00F37572"/>
    <w:rsid w:val="00F37AA2"/>
    <w:rsid w:val="00F37C1C"/>
    <w:rsid w:val="00F406FD"/>
    <w:rsid w:val="00F414D0"/>
    <w:rsid w:val="00F43152"/>
    <w:rsid w:val="00F45BD2"/>
    <w:rsid w:val="00F47D9D"/>
    <w:rsid w:val="00F50A8E"/>
    <w:rsid w:val="00F5251F"/>
    <w:rsid w:val="00F546E9"/>
    <w:rsid w:val="00F55847"/>
    <w:rsid w:val="00F5756D"/>
    <w:rsid w:val="00F6028E"/>
    <w:rsid w:val="00F6146C"/>
    <w:rsid w:val="00F630A2"/>
    <w:rsid w:val="00F63487"/>
    <w:rsid w:val="00F63D8F"/>
    <w:rsid w:val="00F652AB"/>
    <w:rsid w:val="00F65942"/>
    <w:rsid w:val="00F670CA"/>
    <w:rsid w:val="00F670F6"/>
    <w:rsid w:val="00F679F6"/>
    <w:rsid w:val="00F704BA"/>
    <w:rsid w:val="00F71718"/>
    <w:rsid w:val="00F72171"/>
    <w:rsid w:val="00F72AA0"/>
    <w:rsid w:val="00F76170"/>
    <w:rsid w:val="00F7666B"/>
    <w:rsid w:val="00F76A40"/>
    <w:rsid w:val="00F76F38"/>
    <w:rsid w:val="00F779AA"/>
    <w:rsid w:val="00F833D1"/>
    <w:rsid w:val="00F83BF5"/>
    <w:rsid w:val="00F84427"/>
    <w:rsid w:val="00F85B92"/>
    <w:rsid w:val="00F87264"/>
    <w:rsid w:val="00F872C9"/>
    <w:rsid w:val="00F908E9"/>
    <w:rsid w:val="00F91C72"/>
    <w:rsid w:val="00F969B3"/>
    <w:rsid w:val="00FA35C5"/>
    <w:rsid w:val="00FA56D6"/>
    <w:rsid w:val="00FA5726"/>
    <w:rsid w:val="00FA6C24"/>
    <w:rsid w:val="00FA7B23"/>
    <w:rsid w:val="00FB651A"/>
    <w:rsid w:val="00FC00F9"/>
    <w:rsid w:val="00FC3D5F"/>
    <w:rsid w:val="00FC45C1"/>
    <w:rsid w:val="00FC6D34"/>
    <w:rsid w:val="00FD5375"/>
    <w:rsid w:val="00FD61A3"/>
    <w:rsid w:val="00FD6204"/>
    <w:rsid w:val="00FD79F6"/>
    <w:rsid w:val="00FE0371"/>
    <w:rsid w:val="00FE31D0"/>
    <w:rsid w:val="00FE324E"/>
    <w:rsid w:val="00FE33D1"/>
    <w:rsid w:val="00FE3581"/>
    <w:rsid w:val="00FE4935"/>
    <w:rsid w:val="00FE7A3F"/>
    <w:rsid w:val="00FE7C62"/>
    <w:rsid w:val="00FF176F"/>
    <w:rsid w:val="00FF316A"/>
    <w:rsid w:val="00FF3913"/>
    <w:rsid w:val="00FF3DB8"/>
    <w:rsid w:val="00FF57BE"/>
    <w:rsid w:val="00FF5C5C"/>
    <w:rsid w:val="00FF6F6A"/>
    <w:rsid w:val="00FF7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0FE0"/>
    <w:rPr>
      <w:rFonts w:ascii="Arial" w:hAnsi="Arial"/>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1D2EB6"/>
    <w:pPr>
      <w:tabs>
        <w:tab w:val="right" w:leader="dot" w:pos="9350"/>
      </w:tabs>
      <w:ind w:left="240" w:hanging="240"/>
    </w:pPr>
    <w:rPr>
      <w:bCs/>
      <w:iCs/>
      <w:noProof/>
    </w:r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styleId="BodyText">
    <w:name w:val="Body Text"/>
    <w:basedOn w:val="Normal"/>
    <w:rsid w:val="00F5251F"/>
    <w:pPr>
      <w:overflowPunct w:val="0"/>
      <w:autoSpaceDE w:val="0"/>
      <w:autoSpaceDN w:val="0"/>
      <w:adjustRightInd w:val="0"/>
      <w:spacing w:before="60" w:after="60" w:line="280" w:lineRule="exact"/>
      <w:ind w:left="360"/>
      <w:textAlignment w:val="baseline"/>
    </w:pPr>
    <w:rPr>
      <w:noProof/>
      <w:sz w:val="22"/>
      <w:szCs w:val="22"/>
    </w:rPr>
  </w:style>
  <w:style w:type="character" w:customStyle="1" w:styleId="Heading1Char">
    <w:name w:val="Heading 1 Char"/>
    <w:link w:val="Heading1"/>
    <w:locked/>
    <w:rsid w:val="00ED2590"/>
    <w:rPr>
      <w:rFonts w:ascii="Arial" w:hAnsi="Arial" w:cs="Arial"/>
      <w:b/>
      <w:bCs/>
      <w:kern w:val="32"/>
      <w:sz w:val="32"/>
      <w:szCs w:val="32"/>
    </w:rPr>
  </w:style>
  <w:style w:type="paragraph" w:customStyle="1" w:styleId="Reminders">
    <w:name w:val="Reminders"/>
    <w:basedOn w:val="Normal"/>
    <w:link w:val="RemindersChar"/>
    <w:rsid w:val="00ED2590"/>
    <w:pPr>
      <w:spacing w:before="40" w:after="40"/>
    </w:pPr>
    <w:rPr>
      <w:rFonts w:ascii="Trebuchet MS" w:eastAsia="Calibri" w:hAnsi="Trebuchet MS"/>
      <w:i/>
      <w:color w:val="FF0000"/>
    </w:rPr>
  </w:style>
  <w:style w:type="paragraph" w:customStyle="1" w:styleId="Reminder">
    <w:name w:val="Reminder"/>
    <w:basedOn w:val="Reminders"/>
    <w:link w:val="ReminderChar"/>
    <w:rsid w:val="00ED2590"/>
  </w:style>
  <w:style w:type="character" w:customStyle="1" w:styleId="RemindersChar">
    <w:name w:val="Reminders Char"/>
    <w:link w:val="Reminders"/>
    <w:locked/>
    <w:rsid w:val="00ED2590"/>
    <w:rPr>
      <w:rFonts w:ascii="Trebuchet MS" w:eastAsia="Calibri" w:hAnsi="Trebuchet MS"/>
      <w:i/>
      <w:color w:val="FF0000"/>
      <w:sz w:val="24"/>
      <w:szCs w:val="24"/>
    </w:rPr>
  </w:style>
  <w:style w:type="character" w:customStyle="1" w:styleId="ReminderChar">
    <w:name w:val="Reminder Char"/>
    <w:link w:val="Reminder"/>
    <w:locked/>
    <w:rsid w:val="00ED2590"/>
  </w:style>
  <w:style w:type="character" w:customStyle="1" w:styleId="CaptionChar">
    <w:name w:val="Caption Char"/>
    <w:link w:val="Caption"/>
    <w:locked/>
    <w:rsid w:val="00ED2590"/>
    <w:rPr>
      <w:b/>
      <w:bCs/>
    </w:rPr>
  </w:style>
  <w:style w:type="paragraph" w:styleId="Title">
    <w:name w:val="Title"/>
    <w:basedOn w:val="Normal"/>
    <w:next w:val="Normal"/>
    <w:link w:val="TitleChar"/>
    <w:qFormat/>
    <w:rsid w:val="00ED259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rsid w:val="00ED2590"/>
    <w:rPr>
      <w:rFonts w:ascii="Cambria" w:hAnsi="Cambria"/>
      <w:color w:val="17365D"/>
      <w:spacing w:val="5"/>
      <w:kern w:val="28"/>
      <w:sz w:val="52"/>
      <w:szCs w:val="52"/>
      <w:lang w:eastAsia="ko-KR"/>
    </w:rPr>
  </w:style>
  <w:style w:type="paragraph" w:customStyle="1" w:styleId="BasicText">
    <w:name w:val="Basic Text"/>
    <w:basedOn w:val="Normal"/>
    <w:rsid w:val="002F098C"/>
    <w:pPr>
      <w:spacing w:before="40" w:after="40"/>
      <w:ind w:left="720"/>
    </w:pPr>
    <w:rPr>
      <w:color w:val="000000"/>
      <w:szCs w:val="20"/>
    </w:rPr>
  </w:style>
  <w:style w:type="paragraph" w:customStyle="1" w:styleId="bullet">
    <w:name w:val="bullet"/>
    <w:basedOn w:val="Normal"/>
    <w:link w:val="bulletChar"/>
    <w:qFormat/>
    <w:rsid w:val="002B60FC"/>
    <w:pPr>
      <w:numPr>
        <w:numId w:val="26"/>
      </w:numPr>
      <w:spacing w:before="120" w:after="120"/>
    </w:pPr>
    <w:rPr>
      <w:rFonts w:cs="Arial"/>
    </w:rPr>
  </w:style>
  <w:style w:type="character" w:customStyle="1" w:styleId="bulletChar">
    <w:name w:val="bullet Char"/>
    <w:link w:val="bullet"/>
    <w:rsid w:val="002B60FC"/>
    <w:rPr>
      <w:rFonts w:ascii="Arial" w:hAnsi="Arial" w:cs="Arial"/>
      <w:sz w:val="24"/>
      <w:szCs w:val="24"/>
    </w:rPr>
  </w:style>
  <w:style w:type="character" w:customStyle="1" w:styleId="FooterChar">
    <w:name w:val="Footer Char"/>
    <w:basedOn w:val="DefaultParagraphFont"/>
    <w:link w:val="Footer"/>
    <w:rsid w:val="00316BF4"/>
    <w:rPr>
      <w:rFonts w:ascii="Arial" w:hAnsi="Arial"/>
      <w:szCs w:val="24"/>
    </w:rPr>
  </w:style>
  <w:style w:type="character" w:customStyle="1" w:styleId="EndnoteTextChar">
    <w:name w:val="Endnote Text Char"/>
    <w:basedOn w:val="DefaultParagraphFont"/>
    <w:link w:val="EndnoteText"/>
    <w:semiHidden/>
    <w:rsid w:val="00316BF4"/>
    <w:rPr>
      <w:rFonts w:ascii="Arial" w:hAnsi="Arial"/>
    </w:rPr>
  </w:style>
  <w:style w:type="character" w:customStyle="1" w:styleId="breadcrumbs">
    <w:name w:val="breadcrumbs"/>
    <w:rsid w:val="00316BF4"/>
  </w:style>
  <w:style w:type="character" w:customStyle="1" w:styleId="Heading2Char">
    <w:name w:val="Heading 2 Char"/>
    <w:basedOn w:val="DefaultParagraphFont"/>
    <w:link w:val="Heading2"/>
    <w:rsid w:val="00316BF4"/>
    <w:rPr>
      <w:rFonts w:ascii="Arial" w:hAnsi="Arial" w:cs="Arial"/>
      <w:b/>
      <w:bCs/>
      <w:i/>
      <w:iCs/>
      <w:sz w:val="28"/>
      <w:szCs w:val="28"/>
    </w:rPr>
  </w:style>
  <w:style w:type="paragraph" w:styleId="ListParagraph">
    <w:name w:val="List Paragraph"/>
    <w:basedOn w:val="Normal"/>
    <w:uiPriority w:val="34"/>
    <w:qFormat/>
    <w:rsid w:val="00BE6E60"/>
    <w:pPr>
      <w:ind w:left="720"/>
      <w:contextualSpacing/>
    </w:pPr>
    <w:rPr>
      <w:rFonts w:ascii="Times New Roman" w:hAnsi="Times New Roman"/>
    </w:rPr>
  </w:style>
  <w:style w:type="table" w:customStyle="1" w:styleId="TableGrid1">
    <w:name w:val="Table Grid1"/>
    <w:basedOn w:val="TableNormal"/>
    <w:next w:val="TableGrid"/>
    <w:rsid w:val="00106B4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000F5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D0189F"/>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0FE0"/>
    <w:rPr>
      <w:rFonts w:ascii="Arial" w:hAnsi="Arial"/>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1D2EB6"/>
    <w:pPr>
      <w:tabs>
        <w:tab w:val="right" w:leader="dot" w:pos="9350"/>
      </w:tabs>
      <w:ind w:left="240" w:hanging="240"/>
    </w:pPr>
    <w:rPr>
      <w:bCs/>
      <w:iCs/>
      <w:noProof/>
    </w:r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styleId="BodyText">
    <w:name w:val="Body Text"/>
    <w:basedOn w:val="Normal"/>
    <w:rsid w:val="00F5251F"/>
    <w:pPr>
      <w:overflowPunct w:val="0"/>
      <w:autoSpaceDE w:val="0"/>
      <w:autoSpaceDN w:val="0"/>
      <w:adjustRightInd w:val="0"/>
      <w:spacing w:before="60" w:after="60" w:line="280" w:lineRule="exact"/>
      <w:ind w:left="360"/>
      <w:textAlignment w:val="baseline"/>
    </w:pPr>
    <w:rPr>
      <w:noProof/>
      <w:sz w:val="22"/>
      <w:szCs w:val="22"/>
    </w:rPr>
  </w:style>
  <w:style w:type="character" w:customStyle="1" w:styleId="Heading1Char">
    <w:name w:val="Heading 1 Char"/>
    <w:link w:val="Heading1"/>
    <w:locked/>
    <w:rsid w:val="00ED2590"/>
    <w:rPr>
      <w:rFonts w:ascii="Arial" w:hAnsi="Arial" w:cs="Arial"/>
      <w:b/>
      <w:bCs/>
      <w:kern w:val="32"/>
      <w:sz w:val="32"/>
      <w:szCs w:val="32"/>
    </w:rPr>
  </w:style>
  <w:style w:type="paragraph" w:customStyle="1" w:styleId="Reminders">
    <w:name w:val="Reminders"/>
    <w:basedOn w:val="Normal"/>
    <w:link w:val="RemindersChar"/>
    <w:rsid w:val="00ED2590"/>
    <w:pPr>
      <w:spacing w:before="40" w:after="40"/>
    </w:pPr>
    <w:rPr>
      <w:rFonts w:ascii="Trebuchet MS" w:eastAsia="Calibri" w:hAnsi="Trebuchet MS"/>
      <w:i/>
      <w:color w:val="FF0000"/>
    </w:rPr>
  </w:style>
  <w:style w:type="paragraph" w:customStyle="1" w:styleId="Reminder">
    <w:name w:val="Reminder"/>
    <w:basedOn w:val="Reminders"/>
    <w:link w:val="ReminderChar"/>
    <w:rsid w:val="00ED2590"/>
  </w:style>
  <w:style w:type="character" w:customStyle="1" w:styleId="RemindersChar">
    <w:name w:val="Reminders Char"/>
    <w:link w:val="Reminders"/>
    <w:locked/>
    <w:rsid w:val="00ED2590"/>
    <w:rPr>
      <w:rFonts w:ascii="Trebuchet MS" w:eastAsia="Calibri" w:hAnsi="Trebuchet MS"/>
      <w:i/>
      <w:color w:val="FF0000"/>
      <w:sz w:val="24"/>
      <w:szCs w:val="24"/>
    </w:rPr>
  </w:style>
  <w:style w:type="character" w:customStyle="1" w:styleId="ReminderChar">
    <w:name w:val="Reminder Char"/>
    <w:link w:val="Reminder"/>
    <w:locked/>
    <w:rsid w:val="00ED2590"/>
  </w:style>
  <w:style w:type="character" w:customStyle="1" w:styleId="CaptionChar">
    <w:name w:val="Caption Char"/>
    <w:link w:val="Caption"/>
    <w:locked/>
    <w:rsid w:val="00ED2590"/>
    <w:rPr>
      <w:b/>
      <w:bCs/>
    </w:rPr>
  </w:style>
  <w:style w:type="paragraph" w:styleId="Title">
    <w:name w:val="Title"/>
    <w:basedOn w:val="Normal"/>
    <w:next w:val="Normal"/>
    <w:link w:val="TitleChar"/>
    <w:qFormat/>
    <w:rsid w:val="00ED259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rsid w:val="00ED2590"/>
    <w:rPr>
      <w:rFonts w:ascii="Cambria" w:hAnsi="Cambria"/>
      <w:color w:val="17365D"/>
      <w:spacing w:val="5"/>
      <w:kern w:val="28"/>
      <w:sz w:val="52"/>
      <w:szCs w:val="52"/>
      <w:lang w:eastAsia="ko-KR"/>
    </w:rPr>
  </w:style>
  <w:style w:type="paragraph" w:customStyle="1" w:styleId="BasicText">
    <w:name w:val="Basic Text"/>
    <w:basedOn w:val="Normal"/>
    <w:rsid w:val="002F098C"/>
    <w:pPr>
      <w:spacing w:before="40" w:after="40"/>
      <w:ind w:left="720"/>
    </w:pPr>
    <w:rPr>
      <w:color w:val="000000"/>
      <w:szCs w:val="20"/>
    </w:rPr>
  </w:style>
  <w:style w:type="paragraph" w:customStyle="1" w:styleId="bullet">
    <w:name w:val="bullet"/>
    <w:basedOn w:val="Normal"/>
    <w:link w:val="bulletChar"/>
    <w:qFormat/>
    <w:rsid w:val="002B60FC"/>
    <w:pPr>
      <w:numPr>
        <w:numId w:val="26"/>
      </w:numPr>
      <w:spacing w:before="120" w:after="120"/>
    </w:pPr>
    <w:rPr>
      <w:rFonts w:cs="Arial"/>
    </w:rPr>
  </w:style>
  <w:style w:type="character" w:customStyle="1" w:styleId="bulletChar">
    <w:name w:val="bullet Char"/>
    <w:link w:val="bullet"/>
    <w:rsid w:val="002B60FC"/>
    <w:rPr>
      <w:rFonts w:ascii="Arial" w:hAnsi="Arial" w:cs="Arial"/>
      <w:sz w:val="24"/>
      <w:szCs w:val="24"/>
    </w:rPr>
  </w:style>
  <w:style w:type="character" w:customStyle="1" w:styleId="FooterChar">
    <w:name w:val="Footer Char"/>
    <w:basedOn w:val="DefaultParagraphFont"/>
    <w:link w:val="Footer"/>
    <w:rsid w:val="00316BF4"/>
    <w:rPr>
      <w:rFonts w:ascii="Arial" w:hAnsi="Arial"/>
      <w:szCs w:val="24"/>
    </w:rPr>
  </w:style>
  <w:style w:type="character" w:customStyle="1" w:styleId="EndnoteTextChar">
    <w:name w:val="Endnote Text Char"/>
    <w:basedOn w:val="DefaultParagraphFont"/>
    <w:link w:val="EndnoteText"/>
    <w:semiHidden/>
    <w:rsid w:val="00316BF4"/>
    <w:rPr>
      <w:rFonts w:ascii="Arial" w:hAnsi="Arial"/>
    </w:rPr>
  </w:style>
  <w:style w:type="character" w:customStyle="1" w:styleId="breadcrumbs">
    <w:name w:val="breadcrumbs"/>
    <w:rsid w:val="00316BF4"/>
  </w:style>
  <w:style w:type="character" w:customStyle="1" w:styleId="Heading2Char">
    <w:name w:val="Heading 2 Char"/>
    <w:basedOn w:val="DefaultParagraphFont"/>
    <w:link w:val="Heading2"/>
    <w:rsid w:val="00316BF4"/>
    <w:rPr>
      <w:rFonts w:ascii="Arial" w:hAnsi="Arial" w:cs="Arial"/>
      <w:b/>
      <w:bCs/>
      <w:i/>
      <w:iCs/>
      <w:sz w:val="28"/>
      <w:szCs w:val="28"/>
    </w:rPr>
  </w:style>
  <w:style w:type="paragraph" w:styleId="ListParagraph">
    <w:name w:val="List Paragraph"/>
    <w:basedOn w:val="Normal"/>
    <w:uiPriority w:val="34"/>
    <w:qFormat/>
    <w:rsid w:val="00BE6E60"/>
    <w:pPr>
      <w:ind w:left="720"/>
      <w:contextualSpacing/>
    </w:pPr>
    <w:rPr>
      <w:rFonts w:ascii="Times New Roman" w:hAnsi="Times New Roman"/>
    </w:rPr>
  </w:style>
  <w:style w:type="table" w:customStyle="1" w:styleId="TableGrid1">
    <w:name w:val="Table Grid1"/>
    <w:basedOn w:val="TableNormal"/>
    <w:next w:val="TableGrid"/>
    <w:rsid w:val="00106B4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000F5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D0189F"/>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154">
      <w:bodyDiv w:val="1"/>
      <w:marLeft w:val="0"/>
      <w:marRight w:val="0"/>
      <w:marTop w:val="0"/>
      <w:marBottom w:val="0"/>
      <w:divBdr>
        <w:top w:val="none" w:sz="0" w:space="0" w:color="auto"/>
        <w:left w:val="none" w:sz="0" w:space="0" w:color="auto"/>
        <w:bottom w:val="none" w:sz="0" w:space="0" w:color="auto"/>
        <w:right w:val="none" w:sz="0" w:space="0" w:color="auto"/>
      </w:divBdr>
    </w:div>
    <w:div w:id="20203136">
      <w:bodyDiv w:val="1"/>
      <w:marLeft w:val="0"/>
      <w:marRight w:val="0"/>
      <w:marTop w:val="0"/>
      <w:marBottom w:val="0"/>
      <w:divBdr>
        <w:top w:val="none" w:sz="0" w:space="0" w:color="auto"/>
        <w:left w:val="none" w:sz="0" w:space="0" w:color="auto"/>
        <w:bottom w:val="none" w:sz="0" w:space="0" w:color="auto"/>
        <w:right w:val="none" w:sz="0" w:space="0" w:color="auto"/>
      </w:divBdr>
    </w:div>
    <w:div w:id="64575014">
      <w:bodyDiv w:val="1"/>
      <w:marLeft w:val="0"/>
      <w:marRight w:val="0"/>
      <w:marTop w:val="0"/>
      <w:marBottom w:val="0"/>
      <w:divBdr>
        <w:top w:val="none" w:sz="0" w:space="0" w:color="auto"/>
        <w:left w:val="none" w:sz="0" w:space="0" w:color="auto"/>
        <w:bottom w:val="none" w:sz="0" w:space="0" w:color="auto"/>
        <w:right w:val="none" w:sz="0" w:space="0" w:color="auto"/>
      </w:divBdr>
    </w:div>
    <w:div w:id="90664485">
      <w:bodyDiv w:val="1"/>
      <w:marLeft w:val="0"/>
      <w:marRight w:val="0"/>
      <w:marTop w:val="0"/>
      <w:marBottom w:val="0"/>
      <w:divBdr>
        <w:top w:val="none" w:sz="0" w:space="0" w:color="auto"/>
        <w:left w:val="none" w:sz="0" w:space="0" w:color="auto"/>
        <w:bottom w:val="none" w:sz="0" w:space="0" w:color="auto"/>
        <w:right w:val="none" w:sz="0" w:space="0" w:color="auto"/>
      </w:divBdr>
    </w:div>
    <w:div w:id="173303553">
      <w:bodyDiv w:val="1"/>
      <w:marLeft w:val="0"/>
      <w:marRight w:val="0"/>
      <w:marTop w:val="0"/>
      <w:marBottom w:val="0"/>
      <w:divBdr>
        <w:top w:val="none" w:sz="0" w:space="0" w:color="auto"/>
        <w:left w:val="none" w:sz="0" w:space="0" w:color="auto"/>
        <w:bottom w:val="none" w:sz="0" w:space="0" w:color="auto"/>
        <w:right w:val="none" w:sz="0" w:space="0" w:color="auto"/>
      </w:divBdr>
    </w:div>
    <w:div w:id="199514935">
      <w:bodyDiv w:val="1"/>
      <w:marLeft w:val="0"/>
      <w:marRight w:val="0"/>
      <w:marTop w:val="0"/>
      <w:marBottom w:val="0"/>
      <w:divBdr>
        <w:top w:val="none" w:sz="0" w:space="0" w:color="auto"/>
        <w:left w:val="none" w:sz="0" w:space="0" w:color="auto"/>
        <w:bottom w:val="none" w:sz="0" w:space="0" w:color="auto"/>
        <w:right w:val="none" w:sz="0" w:space="0" w:color="auto"/>
      </w:divBdr>
    </w:div>
    <w:div w:id="208156340">
      <w:bodyDiv w:val="1"/>
      <w:marLeft w:val="0"/>
      <w:marRight w:val="0"/>
      <w:marTop w:val="0"/>
      <w:marBottom w:val="0"/>
      <w:divBdr>
        <w:top w:val="none" w:sz="0" w:space="0" w:color="auto"/>
        <w:left w:val="none" w:sz="0" w:space="0" w:color="auto"/>
        <w:bottom w:val="none" w:sz="0" w:space="0" w:color="auto"/>
        <w:right w:val="none" w:sz="0" w:space="0" w:color="auto"/>
      </w:divBdr>
    </w:div>
    <w:div w:id="276373058">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23432133">
      <w:bodyDiv w:val="1"/>
      <w:marLeft w:val="0"/>
      <w:marRight w:val="0"/>
      <w:marTop w:val="0"/>
      <w:marBottom w:val="0"/>
      <w:divBdr>
        <w:top w:val="none" w:sz="0" w:space="0" w:color="auto"/>
        <w:left w:val="none" w:sz="0" w:space="0" w:color="auto"/>
        <w:bottom w:val="none" w:sz="0" w:space="0" w:color="auto"/>
        <w:right w:val="none" w:sz="0" w:space="0" w:color="auto"/>
      </w:divBdr>
    </w:div>
    <w:div w:id="356272122">
      <w:bodyDiv w:val="1"/>
      <w:marLeft w:val="0"/>
      <w:marRight w:val="0"/>
      <w:marTop w:val="0"/>
      <w:marBottom w:val="0"/>
      <w:divBdr>
        <w:top w:val="none" w:sz="0" w:space="0" w:color="auto"/>
        <w:left w:val="none" w:sz="0" w:space="0" w:color="auto"/>
        <w:bottom w:val="none" w:sz="0" w:space="0" w:color="auto"/>
        <w:right w:val="none" w:sz="0" w:space="0" w:color="auto"/>
      </w:divBdr>
    </w:div>
    <w:div w:id="389157224">
      <w:bodyDiv w:val="1"/>
      <w:marLeft w:val="0"/>
      <w:marRight w:val="0"/>
      <w:marTop w:val="0"/>
      <w:marBottom w:val="0"/>
      <w:divBdr>
        <w:top w:val="none" w:sz="0" w:space="0" w:color="auto"/>
        <w:left w:val="none" w:sz="0" w:space="0" w:color="auto"/>
        <w:bottom w:val="none" w:sz="0" w:space="0" w:color="auto"/>
        <w:right w:val="none" w:sz="0" w:space="0" w:color="auto"/>
      </w:divBdr>
    </w:div>
    <w:div w:id="407774505">
      <w:bodyDiv w:val="1"/>
      <w:marLeft w:val="0"/>
      <w:marRight w:val="0"/>
      <w:marTop w:val="0"/>
      <w:marBottom w:val="0"/>
      <w:divBdr>
        <w:top w:val="none" w:sz="0" w:space="0" w:color="auto"/>
        <w:left w:val="none" w:sz="0" w:space="0" w:color="auto"/>
        <w:bottom w:val="none" w:sz="0" w:space="0" w:color="auto"/>
        <w:right w:val="none" w:sz="0" w:space="0" w:color="auto"/>
      </w:divBdr>
    </w:div>
    <w:div w:id="460659569">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18547941">
      <w:bodyDiv w:val="1"/>
      <w:marLeft w:val="0"/>
      <w:marRight w:val="0"/>
      <w:marTop w:val="0"/>
      <w:marBottom w:val="0"/>
      <w:divBdr>
        <w:top w:val="none" w:sz="0" w:space="0" w:color="auto"/>
        <w:left w:val="none" w:sz="0" w:space="0" w:color="auto"/>
        <w:bottom w:val="none" w:sz="0" w:space="0" w:color="auto"/>
        <w:right w:val="none" w:sz="0" w:space="0" w:color="auto"/>
      </w:divBdr>
    </w:div>
    <w:div w:id="537277417">
      <w:bodyDiv w:val="1"/>
      <w:marLeft w:val="0"/>
      <w:marRight w:val="0"/>
      <w:marTop w:val="0"/>
      <w:marBottom w:val="0"/>
      <w:divBdr>
        <w:top w:val="none" w:sz="0" w:space="0" w:color="auto"/>
        <w:left w:val="none" w:sz="0" w:space="0" w:color="auto"/>
        <w:bottom w:val="none" w:sz="0" w:space="0" w:color="auto"/>
        <w:right w:val="none" w:sz="0" w:space="0" w:color="auto"/>
      </w:divBdr>
    </w:div>
    <w:div w:id="539974476">
      <w:bodyDiv w:val="1"/>
      <w:marLeft w:val="0"/>
      <w:marRight w:val="0"/>
      <w:marTop w:val="0"/>
      <w:marBottom w:val="0"/>
      <w:divBdr>
        <w:top w:val="none" w:sz="0" w:space="0" w:color="auto"/>
        <w:left w:val="none" w:sz="0" w:space="0" w:color="auto"/>
        <w:bottom w:val="none" w:sz="0" w:space="0" w:color="auto"/>
        <w:right w:val="none" w:sz="0" w:space="0" w:color="auto"/>
      </w:divBdr>
    </w:div>
    <w:div w:id="572786435">
      <w:bodyDiv w:val="1"/>
      <w:marLeft w:val="0"/>
      <w:marRight w:val="0"/>
      <w:marTop w:val="0"/>
      <w:marBottom w:val="0"/>
      <w:divBdr>
        <w:top w:val="none" w:sz="0" w:space="0" w:color="auto"/>
        <w:left w:val="none" w:sz="0" w:space="0" w:color="auto"/>
        <w:bottom w:val="none" w:sz="0" w:space="0" w:color="auto"/>
        <w:right w:val="none" w:sz="0" w:space="0" w:color="auto"/>
      </w:divBdr>
    </w:div>
    <w:div w:id="601185098">
      <w:bodyDiv w:val="1"/>
      <w:marLeft w:val="0"/>
      <w:marRight w:val="0"/>
      <w:marTop w:val="0"/>
      <w:marBottom w:val="0"/>
      <w:divBdr>
        <w:top w:val="none" w:sz="0" w:space="0" w:color="auto"/>
        <w:left w:val="none" w:sz="0" w:space="0" w:color="auto"/>
        <w:bottom w:val="none" w:sz="0" w:space="0" w:color="auto"/>
        <w:right w:val="none" w:sz="0" w:space="0" w:color="auto"/>
      </w:divBdr>
    </w:div>
    <w:div w:id="622422091">
      <w:bodyDiv w:val="1"/>
      <w:marLeft w:val="0"/>
      <w:marRight w:val="0"/>
      <w:marTop w:val="0"/>
      <w:marBottom w:val="0"/>
      <w:divBdr>
        <w:top w:val="none" w:sz="0" w:space="0" w:color="auto"/>
        <w:left w:val="none" w:sz="0" w:space="0" w:color="auto"/>
        <w:bottom w:val="none" w:sz="0" w:space="0" w:color="auto"/>
        <w:right w:val="none" w:sz="0" w:space="0" w:color="auto"/>
      </w:divBdr>
    </w:div>
    <w:div w:id="649137438">
      <w:bodyDiv w:val="1"/>
      <w:marLeft w:val="0"/>
      <w:marRight w:val="0"/>
      <w:marTop w:val="0"/>
      <w:marBottom w:val="0"/>
      <w:divBdr>
        <w:top w:val="none" w:sz="0" w:space="0" w:color="auto"/>
        <w:left w:val="none" w:sz="0" w:space="0" w:color="auto"/>
        <w:bottom w:val="none" w:sz="0" w:space="0" w:color="auto"/>
        <w:right w:val="none" w:sz="0" w:space="0" w:color="auto"/>
      </w:divBdr>
    </w:div>
    <w:div w:id="657419659">
      <w:bodyDiv w:val="1"/>
      <w:marLeft w:val="0"/>
      <w:marRight w:val="0"/>
      <w:marTop w:val="0"/>
      <w:marBottom w:val="0"/>
      <w:divBdr>
        <w:top w:val="none" w:sz="0" w:space="0" w:color="auto"/>
        <w:left w:val="none" w:sz="0" w:space="0" w:color="auto"/>
        <w:bottom w:val="none" w:sz="0" w:space="0" w:color="auto"/>
        <w:right w:val="none" w:sz="0" w:space="0" w:color="auto"/>
      </w:divBdr>
    </w:div>
    <w:div w:id="690454407">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694844713">
      <w:bodyDiv w:val="1"/>
      <w:marLeft w:val="0"/>
      <w:marRight w:val="0"/>
      <w:marTop w:val="0"/>
      <w:marBottom w:val="0"/>
      <w:divBdr>
        <w:top w:val="none" w:sz="0" w:space="0" w:color="auto"/>
        <w:left w:val="none" w:sz="0" w:space="0" w:color="auto"/>
        <w:bottom w:val="none" w:sz="0" w:space="0" w:color="auto"/>
        <w:right w:val="none" w:sz="0" w:space="0" w:color="auto"/>
      </w:divBdr>
    </w:div>
    <w:div w:id="719986609">
      <w:bodyDiv w:val="1"/>
      <w:marLeft w:val="0"/>
      <w:marRight w:val="0"/>
      <w:marTop w:val="0"/>
      <w:marBottom w:val="0"/>
      <w:divBdr>
        <w:top w:val="none" w:sz="0" w:space="0" w:color="auto"/>
        <w:left w:val="none" w:sz="0" w:space="0" w:color="auto"/>
        <w:bottom w:val="none" w:sz="0" w:space="0" w:color="auto"/>
        <w:right w:val="none" w:sz="0" w:space="0" w:color="auto"/>
      </w:divBdr>
    </w:div>
    <w:div w:id="741021491">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3212190">
      <w:bodyDiv w:val="1"/>
      <w:marLeft w:val="0"/>
      <w:marRight w:val="0"/>
      <w:marTop w:val="0"/>
      <w:marBottom w:val="0"/>
      <w:divBdr>
        <w:top w:val="none" w:sz="0" w:space="0" w:color="auto"/>
        <w:left w:val="none" w:sz="0" w:space="0" w:color="auto"/>
        <w:bottom w:val="none" w:sz="0" w:space="0" w:color="auto"/>
        <w:right w:val="none" w:sz="0" w:space="0" w:color="auto"/>
      </w:divBdr>
    </w:div>
    <w:div w:id="805468267">
      <w:bodyDiv w:val="1"/>
      <w:marLeft w:val="0"/>
      <w:marRight w:val="0"/>
      <w:marTop w:val="0"/>
      <w:marBottom w:val="0"/>
      <w:divBdr>
        <w:top w:val="none" w:sz="0" w:space="0" w:color="auto"/>
        <w:left w:val="none" w:sz="0" w:space="0" w:color="auto"/>
        <w:bottom w:val="none" w:sz="0" w:space="0" w:color="auto"/>
        <w:right w:val="none" w:sz="0" w:space="0" w:color="auto"/>
      </w:divBdr>
    </w:div>
    <w:div w:id="820082413">
      <w:bodyDiv w:val="1"/>
      <w:marLeft w:val="0"/>
      <w:marRight w:val="0"/>
      <w:marTop w:val="0"/>
      <w:marBottom w:val="0"/>
      <w:divBdr>
        <w:top w:val="none" w:sz="0" w:space="0" w:color="auto"/>
        <w:left w:val="none" w:sz="0" w:space="0" w:color="auto"/>
        <w:bottom w:val="none" w:sz="0" w:space="0" w:color="auto"/>
        <w:right w:val="none" w:sz="0" w:space="0" w:color="auto"/>
      </w:divBdr>
    </w:div>
    <w:div w:id="827132873">
      <w:bodyDiv w:val="1"/>
      <w:marLeft w:val="0"/>
      <w:marRight w:val="0"/>
      <w:marTop w:val="0"/>
      <w:marBottom w:val="0"/>
      <w:divBdr>
        <w:top w:val="none" w:sz="0" w:space="0" w:color="auto"/>
        <w:left w:val="none" w:sz="0" w:space="0" w:color="auto"/>
        <w:bottom w:val="none" w:sz="0" w:space="0" w:color="auto"/>
        <w:right w:val="none" w:sz="0" w:space="0" w:color="auto"/>
      </w:divBdr>
    </w:div>
    <w:div w:id="837186563">
      <w:bodyDiv w:val="1"/>
      <w:marLeft w:val="0"/>
      <w:marRight w:val="0"/>
      <w:marTop w:val="0"/>
      <w:marBottom w:val="0"/>
      <w:divBdr>
        <w:top w:val="none" w:sz="0" w:space="0" w:color="auto"/>
        <w:left w:val="none" w:sz="0" w:space="0" w:color="auto"/>
        <w:bottom w:val="none" w:sz="0" w:space="0" w:color="auto"/>
        <w:right w:val="none" w:sz="0" w:space="0" w:color="auto"/>
      </w:divBdr>
    </w:div>
    <w:div w:id="858012315">
      <w:bodyDiv w:val="1"/>
      <w:marLeft w:val="0"/>
      <w:marRight w:val="0"/>
      <w:marTop w:val="0"/>
      <w:marBottom w:val="0"/>
      <w:divBdr>
        <w:top w:val="none" w:sz="0" w:space="0" w:color="auto"/>
        <w:left w:val="none" w:sz="0" w:space="0" w:color="auto"/>
        <w:bottom w:val="none" w:sz="0" w:space="0" w:color="auto"/>
        <w:right w:val="none" w:sz="0" w:space="0" w:color="auto"/>
      </w:divBdr>
    </w:div>
    <w:div w:id="860584524">
      <w:bodyDiv w:val="1"/>
      <w:marLeft w:val="0"/>
      <w:marRight w:val="0"/>
      <w:marTop w:val="0"/>
      <w:marBottom w:val="0"/>
      <w:divBdr>
        <w:top w:val="none" w:sz="0" w:space="0" w:color="auto"/>
        <w:left w:val="none" w:sz="0" w:space="0" w:color="auto"/>
        <w:bottom w:val="none" w:sz="0" w:space="0" w:color="auto"/>
        <w:right w:val="none" w:sz="0" w:space="0" w:color="auto"/>
      </w:divBdr>
    </w:div>
    <w:div w:id="892740717">
      <w:bodyDiv w:val="1"/>
      <w:marLeft w:val="0"/>
      <w:marRight w:val="0"/>
      <w:marTop w:val="0"/>
      <w:marBottom w:val="0"/>
      <w:divBdr>
        <w:top w:val="none" w:sz="0" w:space="0" w:color="auto"/>
        <w:left w:val="none" w:sz="0" w:space="0" w:color="auto"/>
        <w:bottom w:val="none" w:sz="0" w:space="0" w:color="auto"/>
        <w:right w:val="none" w:sz="0" w:space="0" w:color="auto"/>
      </w:divBdr>
    </w:div>
    <w:div w:id="898593251">
      <w:bodyDiv w:val="1"/>
      <w:marLeft w:val="0"/>
      <w:marRight w:val="0"/>
      <w:marTop w:val="0"/>
      <w:marBottom w:val="0"/>
      <w:divBdr>
        <w:top w:val="none" w:sz="0" w:space="0" w:color="auto"/>
        <w:left w:val="none" w:sz="0" w:space="0" w:color="auto"/>
        <w:bottom w:val="none" w:sz="0" w:space="0" w:color="auto"/>
        <w:right w:val="none" w:sz="0" w:space="0" w:color="auto"/>
      </w:divBdr>
    </w:div>
    <w:div w:id="902180142">
      <w:bodyDiv w:val="1"/>
      <w:marLeft w:val="0"/>
      <w:marRight w:val="0"/>
      <w:marTop w:val="0"/>
      <w:marBottom w:val="0"/>
      <w:divBdr>
        <w:top w:val="none" w:sz="0" w:space="0" w:color="auto"/>
        <w:left w:val="none" w:sz="0" w:space="0" w:color="auto"/>
        <w:bottom w:val="none" w:sz="0" w:space="0" w:color="auto"/>
        <w:right w:val="none" w:sz="0" w:space="0" w:color="auto"/>
      </w:divBdr>
    </w:div>
    <w:div w:id="911626347">
      <w:bodyDiv w:val="1"/>
      <w:marLeft w:val="0"/>
      <w:marRight w:val="0"/>
      <w:marTop w:val="0"/>
      <w:marBottom w:val="0"/>
      <w:divBdr>
        <w:top w:val="none" w:sz="0" w:space="0" w:color="auto"/>
        <w:left w:val="none" w:sz="0" w:space="0" w:color="auto"/>
        <w:bottom w:val="none" w:sz="0" w:space="0" w:color="auto"/>
        <w:right w:val="none" w:sz="0" w:space="0" w:color="auto"/>
      </w:divBdr>
    </w:div>
    <w:div w:id="939337671">
      <w:bodyDiv w:val="1"/>
      <w:marLeft w:val="0"/>
      <w:marRight w:val="0"/>
      <w:marTop w:val="0"/>
      <w:marBottom w:val="0"/>
      <w:divBdr>
        <w:top w:val="none" w:sz="0" w:space="0" w:color="auto"/>
        <w:left w:val="none" w:sz="0" w:space="0" w:color="auto"/>
        <w:bottom w:val="none" w:sz="0" w:space="0" w:color="auto"/>
        <w:right w:val="none" w:sz="0" w:space="0" w:color="auto"/>
      </w:divBdr>
    </w:div>
    <w:div w:id="1000079405">
      <w:bodyDiv w:val="1"/>
      <w:marLeft w:val="0"/>
      <w:marRight w:val="0"/>
      <w:marTop w:val="0"/>
      <w:marBottom w:val="0"/>
      <w:divBdr>
        <w:top w:val="none" w:sz="0" w:space="0" w:color="auto"/>
        <w:left w:val="none" w:sz="0" w:space="0" w:color="auto"/>
        <w:bottom w:val="none" w:sz="0" w:space="0" w:color="auto"/>
        <w:right w:val="none" w:sz="0" w:space="0" w:color="auto"/>
      </w:divBdr>
    </w:div>
    <w:div w:id="1003052078">
      <w:bodyDiv w:val="1"/>
      <w:marLeft w:val="0"/>
      <w:marRight w:val="0"/>
      <w:marTop w:val="0"/>
      <w:marBottom w:val="0"/>
      <w:divBdr>
        <w:top w:val="none" w:sz="0" w:space="0" w:color="auto"/>
        <w:left w:val="none" w:sz="0" w:space="0" w:color="auto"/>
        <w:bottom w:val="none" w:sz="0" w:space="0" w:color="auto"/>
        <w:right w:val="none" w:sz="0" w:space="0" w:color="auto"/>
      </w:divBdr>
    </w:div>
    <w:div w:id="1005210245">
      <w:bodyDiv w:val="1"/>
      <w:marLeft w:val="0"/>
      <w:marRight w:val="0"/>
      <w:marTop w:val="0"/>
      <w:marBottom w:val="0"/>
      <w:divBdr>
        <w:top w:val="none" w:sz="0" w:space="0" w:color="auto"/>
        <w:left w:val="none" w:sz="0" w:space="0" w:color="auto"/>
        <w:bottom w:val="none" w:sz="0" w:space="0" w:color="auto"/>
        <w:right w:val="none" w:sz="0" w:space="0" w:color="auto"/>
      </w:divBdr>
    </w:div>
    <w:div w:id="1010334513">
      <w:bodyDiv w:val="1"/>
      <w:marLeft w:val="0"/>
      <w:marRight w:val="0"/>
      <w:marTop w:val="0"/>
      <w:marBottom w:val="0"/>
      <w:divBdr>
        <w:top w:val="none" w:sz="0" w:space="0" w:color="auto"/>
        <w:left w:val="none" w:sz="0" w:space="0" w:color="auto"/>
        <w:bottom w:val="none" w:sz="0" w:space="0" w:color="auto"/>
        <w:right w:val="none" w:sz="0" w:space="0" w:color="auto"/>
      </w:divBdr>
    </w:div>
    <w:div w:id="1044405623">
      <w:bodyDiv w:val="1"/>
      <w:marLeft w:val="0"/>
      <w:marRight w:val="0"/>
      <w:marTop w:val="0"/>
      <w:marBottom w:val="0"/>
      <w:divBdr>
        <w:top w:val="none" w:sz="0" w:space="0" w:color="auto"/>
        <w:left w:val="none" w:sz="0" w:space="0" w:color="auto"/>
        <w:bottom w:val="none" w:sz="0" w:space="0" w:color="auto"/>
        <w:right w:val="none" w:sz="0" w:space="0" w:color="auto"/>
      </w:divBdr>
    </w:div>
    <w:div w:id="1053427926">
      <w:bodyDiv w:val="1"/>
      <w:marLeft w:val="0"/>
      <w:marRight w:val="0"/>
      <w:marTop w:val="0"/>
      <w:marBottom w:val="0"/>
      <w:divBdr>
        <w:top w:val="none" w:sz="0" w:space="0" w:color="auto"/>
        <w:left w:val="none" w:sz="0" w:space="0" w:color="auto"/>
        <w:bottom w:val="none" w:sz="0" w:space="0" w:color="auto"/>
        <w:right w:val="none" w:sz="0" w:space="0" w:color="auto"/>
      </w:divBdr>
    </w:div>
    <w:div w:id="1071077162">
      <w:bodyDiv w:val="1"/>
      <w:marLeft w:val="0"/>
      <w:marRight w:val="0"/>
      <w:marTop w:val="0"/>
      <w:marBottom w:val="0"/>
      <w:divBdr>
        <w:top w:val="none" w:sz="0" w:space="0" w:color="auto"/>
        <w:left w:val="none" w:sz="0" w:space="0" w:color="auto"/>
        <w:bottom w:val="none" w:sz="0" w:space="0" w:color="auto"/>
        <w:right w:val="none" w:sz="0" w:space="0" w:color="auto"/>
      </w:divBdr>
    </w:div>
    <w:div w:id="1090587929">
      <w:bodyDiv w:val="1"/>
      <w:marLeft w:val="0"/>
      <w:marRight w:val="0"/>
      <w:marTop w:val="0"/>
      <w:marBottom w:val="0"/>
      <w:divBdr>
        <w:top w:val="none" w:sz="0" w:space="0" w:color="auto"/>
        <w:left w:val="none" w:sz="0" w:space="0" w:color="auto"/>
        <w:bottom w:val="none" w:sz="0" w:space="0" w:color="auto"/>
        <w:right w:val="none" w:sz="0" w:space="0" w:color="auto"/>
      </w:divBdr>
    </w:div>
    <w:div w:id="1109469938">
      <w:bodyDiv w:val="1"/>
      <w:marLeft w:val="0"/>
      <w:marRight w:val="0"/>
      <w:marTop w:val="0"/>
      <w:marBottom w:val="0"/>
      <w:divBdr>
        <w:top w:val="none" w:sz="0" w:space="0" w:color="auto"/>
        <w:left w:val="none" w:sz="0" w:space="0" w:color="auto"/>
        <w:bottom w:val="none" w:sz="0" w:space="0" w:color="auto"/>
        <w:right w:val="none" w:sz="0" w:space="0" w:color="auto"/>
      </w:divBdr>
    </w:div>
    <w:div w:id="1148088622">
      <w:bodyDiv w:val="1"/>
      <w:marLeft w:val="0"/>
      <w:marRight w:val="0"/>
      <w:marTop w:val="0"/>
      <w:marBottom w:val="0"/>
      <w:divBdr>
        <w:top w:val="none" w:sz="0" w:space="0" w:color="auto"/>
        <w:left w:val="none" w:sz="0" w:space="0" w:color="auto"/>
        <w:bottom w:val="none" w:sz="0" w:space="0" w:color="auto"/>
        <w:right w:val="none" w:sz="0" w:space="0" w:color="auto"/>
      </w:divBdr>
    </w:div>
    <w:div w:id="1175651014">
      <w:bodyDiv w:val="1"/>
      <w:marLeft w:val="0"/>
      <w:marRight w:val="0"/>
      <w:marTop w:val="0"/>
      <w:marBottom w:val="0"/>
      <w:divBdr>
        <w:top w:val="none" w:sz="0" w:space="0" w:color="auto"/>
        <w:left w:val="none" w:sz="0" w:space="0" w:color="auto"/>
        <w:bottom w:val="none" w:sz="0" w:space="0" w:color="auto"/>
        <w:right w:val="none" w:sz="0" w:space="0" w:color="auto"/>
      </w:divBdr>
    </w:div>
    <w:div w:id="1181510898">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27256753">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53708313">
      <w:bodyDiv w:val="1"/>
      <w:marLeft w:val="0"/>
      <w:marRight w:val="0"/>
      <w:marTop w:val="0"/>
      <w:marBottom w:val="0"/>
      <w:divBdr>
        <w:top w:val="none" w:sz="0" w:space="0" w:color="auto"/>
        <w:left w:val="none" w:sz="0" w:space="0" w:color="auto"/>
        <w:bottom w:val="none" w:sz="0" w:space="0" w:color="auto"/>
        <w:right w:val="none" w:sz="0" w:space="0" w:color="auto"/>
      </w:divBdr>
    </w:div>
    <w:div w:id="1285383459">
      <w:bodyDiv w:val="1"/>
      <w:marLeft w:val="0"/>
      <w:marRight w:val="0"/>
      <w:marTop w:val="0"/>
      <w:marBottom w:val="0"/>
      <w:divBdr>
        <w:top w:val="none" w:sz="0" w:space="0" w:color="auto"/>
        <w:left w:val="none" w:sz="0" w:space="0" w:color="auto"/>
        <w:bottom w:val="none" w:sz="0" w:space="0" w:color="auto"/>
        <w:right w:val="none" w:sz="0" w:space="0" w:color="auto"/>
      </w:divBdr>
    </w:div>
    <w:div w:id="1407456491">
      <w:bodyDiv w:val="1"/>
      <w:marLeft w:val="0"/>
      <w:marRight w:val="0"/>
      <w:marTop w:val="0"/>
      <w:marBottom w:val="0"/>
      <w:divBdr>
        <w:top w:val="none" w:sz="0" w:space="0" w:color="auto"/>
        <w:left w:val="none" w:sz="0" w:space="0" w:color="auto"/>
        <w:bottom w:val="none" w:sz="0" w:space="0" w:color="auto"/>
        <w:right w:val="none" w:sz="0" w:space="0" w:color="auto"/>
      </w:divBdr>
    </w:div>
    <w:div w:id="1408920886">
      <w:bodyDiv w:val="1"/>
      <w:marLeft w:val="0"/>
      <w:marRight w:val="0"/>
      <w:marTop w:val="0"/>
      <w:marBottom w:val="0"/>
      <w:divBdr>
        <w:top w:val="none" w:sz="0" w:space="0" w:color="auto"/>
        <w:left w:val="none" w:sz="0" w:space="0" w:color="auto"/>
        <w:bottom w:val="none" w:sz="0" w:space="0" w:color="auto"/>
        <w:right w:val="none" w:sz="0" w:space="0" w:color="auto"/>
      </w:divBdr>
    </w:div>
    <w:div w:id="1463384386">
      <w:bodyDiv w:val="1"/>
      <w:marLeft w:val="0"/>
      <w:marRight w:val="0"/>
      <w:marTop w:val="0"/>
      <w:marBottom w:val="0"/>
      <w:divBdr>
        <w:top w:val="none" w:sz="0" w:space="0" w:color="auto"/>
        <w:left w:val="none" w:sz="0" w:space="0" w:color="auto"/>
        <w:bottom w:val="none" w:sz="0" w:space="0" w:color="auto"/>
        <w:right w:val="none" w:sz="0" w:space="0" w:color="auto"/>
      </w:divBdr>
    </w:div>
    <w:div w:id="146384336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16655673">
      <w:bodyDiv w:val="1"/>
      <w:marLeft w:val="0"/>
      <w:marRight w:val="0"/>
      <w:marTop w:val="0"/>
      <w:marBottom w:val="0"/>
      <w:divBdr>
        <w:top w:val="none" w:sz="0" w:space="0" w:color="auto"/>
        <w:left w:val="none" w:sz="0" w:space="0" w:color="auto"/>
        <w:bottom w:val="none" w:sz="0" w:space="0" w:color="auto"/>
        <w:right w:val="none" w:sz="0" w:space="0" w:color="auto"/>
      </w:divBdr>
    </w:div>
    <w:div w:id="1520508942">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55040461">
      <w:bodyDiv w:val="1"/>
      <w:marLeft w:val="0"/>
      <w:marRight w:val="0"/>
      <w:marTop w:val="0"/>
      <w:marBottom w:val="0"/>
      <w:divBdr>
        <w:top w:val="none" w:sz="0" w:space="0" w:color="auto"/>
        <w:left w:val="none" w:sz="0" w:space="0" w:color="auto"/>
        <w:bottom w:val="none" w:sz="0" w:space="0" w:color="auto"/>
        <w:right w:val="none" w:sz="0" w:space="0" w:color="auto"/>
      </w:divBdr>
    </w:div>
    <w:div w:id="1565946362">
      <w:bodyDiv w:val="1"/>
      <w:marLeft w:val="0"/>
      <w:marRight w:val="0"/>
      <w:marTop w:val="0"/>
      <w:marBottom w:val="0"/>
      <w:divBdr>
        <w:top w:val="none" w:sz="0" w:space="0" w:color="auto"/>
        <w:left w:val="none" w:sz="0" w:space="0" w:color="auto"/>
        <w:bottom w:val="none" w:sz="0" w:space="0" w:color="auto"/>
        <w:right w:val="none" w:sz="0" w:space="0" w:color="auto"/>
      </w:divBdr>
    </w:div>
    <w:div w:id="1592201751">
      <w:bodyDiv w:val="1"/>
      <w:marLeft w:val="0"/>
      <w:marRight w:val="0"/>
      <w:marTop w:val="0"/>
      <w:marBottom w:val="0"/>
      <w:divBdr>
        <w:top w:val="none" w:sz="0" w:space="0" w:color="auto"/>
        <w:left w:val="none" w:sz="0" w:space="0" w:color="auto"/>
        <w:bottom w:val="none" w:sz="0" w:space="0" w:color="auto"/>
        <w:right w:val="none" w:sz="0" w:space="0" w:color="auto"/>
      </w:divBdr>
    </w:div>
    <w:div w:id="1604798394">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13323558">
      <w:bodyDiv w:val="1"/>
      <w:marLeft w:val="0"/>
      <w:marRight w:val="0"/>
      <w:marTop w:val="0"/>
      <w:marBottom w:val="0"/>
      <w:divBdr>
        <w:top w:val="none" w:sz="0" w:space="0" w:color="auto"/>
        <w:left w:val="none" w:sz="0" w:space="0" w:color="auto"/>
        <w:bottom w:val="none" w:sz="0" w:space="0" w:color="auto"/>
        <w:right w:val="none" w:sz="0" w:space="0" w:color="auto"/>
      </w:divBdr>
    </w:div>
    <w:div w:id="1620334955">
      <w:bodyDiv w:val="1"/>
      <w:marLeft w:val="0"/>
      <w:marRight w:val="0"/>
      <w:marTop w:val="0"/>
      <w:marBottom w:val="0"/>
      <w:divBdr>
        <w:top w:val="none" w:sz="0" w:space="0" w:color="auto"/>
        <w:left w:val="none" w:sz="0" w:space="0" w:color="auto"/>
        <w:bottom w:val="none" w:sz="0" w:space="0" w:color="auto"/>
        <w:right w:val="none" w:sz="0" w:space="0" w:color="auto"/>
      </w:divBdr>
    </w:div>
    <w:div w:id="1666392947">
      <w:bodyDiv w:val="1"/>
      <w:marLeft w:val="0"/>
      <w:marRight w:val="0"/>
      <w:marTop w:val="0"/>
      <w:marBottom w:val="0"/>
      <w:divBdr>
        <w:top w:val="none" w:sz="0" w:space="0" w:color="auto"/>
        <w:left w:val="none" w:sz="0" w:space="0" w:color="auto"/>
        <w:bottom w:val="none" w:sz="0" w:space="0" w:color="auto"/>
        <w:right w:val="none" w:sz="0" w:space="0" w:color="auto"/>
      </w:divBdr>
    </w:div>
    <w:div w:id="1678115861">
      <w:bodyDiv w:val="1"/>
      <w:marLeft w:val="0"/>
      <w:marRight w:val="0"/>
      <w:marTop w:val="0"/>
      <w:marBottom w:val="0"/>
      <w:divBdr>
        <w:top w:val="none" w:sz="0" w:space="0" w:color="auto"/>
        <w:left w:val="none" w:sz="0" w:space="0" w:color="auto"/>
        <w:bottom w:val="none" w:sz="0" w:space="0" w:color="auto"/>
        <w:right w:val="none" w:sz="0" w:space="0" w:color="auto"/>
      </w:divBdr>
    </w:div>
    <w:div w:id="1689257811">
      <w:bodyDiv w:val="1"/>
      <w:marLeft w:val="0"/>
      <w:marRight w:val="0"/>
      <w:marTop w:val="0"/>
      <w:marBottom w:val="0"/>
      <w:divBdr>
        <w:top w:val="none" w:sz="0" w:space="0" w:color="auto"/>
        <w:left w:val="none" w:sz="0" w:space="0" w:color="auto"/>
        <w:bottom w:val="none" w:sz="0" w:space="0" w:color="auto"/>
        <w:right w:val="none" w:sz="0" w:space="0" w:color="auto"/>
      </w:divBdr>
    </w:div>
    <w:div w:id="1694111664">
      <w:bodyDiv w:val="1"/>
      <w:marLeft w:val="0"/>
      <w:marRight w:val="0"/>
      <w:marTop w:val="0"/>
      <w:marBottom w:val="0"/>
      <w:divBdr>
        <w:top w:val="none" w:sz="0" w:space="0" w:color="auto"/>
        <w:left w:val="none" w:sz="0" w:space="0" w:color="auto"/>
        <w:bottom w:val="none" w:sz="0" w:space="0" w:color="auto"/>
        <w:right w:val="none" w:sz="0" w:space="0" w:color="auto"/>
      </w:divBdr>
    </w:div>
    <w:div w:id="1747453552">
      <w:bodyDiv w:val="1"/>
      <w:marLeft w:val="0"/>
      <w:marRight w:val="0"/>
      <w:marTop w:val="0"/>
      <w:marBottom w:val="0"/>
      <w:divBdr>
        <w:top w:val="none" w:sz="0" w:space="0" w:color="auto"/>
        <w:left w:val="none" w:sz="0" w:space="0" w:color="auto"/>
        <w:bottom w:val="none" w:sz="0" w:space="0" w:color="auto"/>
        <w:right w:val="none" w:sz="0" w:space="0" w:color="auto"/>
      </w:divBdr>
    </w:div>
    <w:div w:id="1751386005">
      <w:bodyDiv w:val="1"/>
      <w:marLeft w:val="0"/>
      <w:marRight w:val="0"/>
      <w:marTop w:val="0"/>
      <w:marBottom w:val="0"/>
      <w:divBdr>
        <w:top w:val="none" w:sz="0" w:space="0" w:color="auto"/>
        <w:left w:val="none" w:sz="0" w:space="0" w:color="auto"/>
        <w:bottom w:val="none" w:sz="0" w:space="0" w:color="auto"/>
        <w:right w:val="none" w:sz="0" w:space="0" w:color="auto"/>
      </w:divBdr>
    </w:div>
    <w:div w:id="1793941414">
      <w:bodyDiv w:val="1"/>
      <w:marLeft w:val="0"/>
      <w:marRight w:val="0"/>
      <w:marTop w:val="0"/>
      <w:marBottom w:val="0"/>
      <w:divBdr>
        <w:top w:val="none" w:sz="0" w:space="0" w:color="auto"/>
        <w:left w:val="none" w:sz="0" w:space="0" w:color="auto"/>
        <w:bottom w:val="none" w:sz="0" w:space="0" w:color="auto"/>
        <w:right w:val="none" w:sz="0" w:space="0" w:color="auto"/>
      </w:divBdr>
    </w:div>
    <w:div w:id="1797022471">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76850761">
      <w:bodyDiv w:val="1"/>
      <w:marLeft w:val="0"/>
      <w:marRight w:val="0"/>
      <w:marTop w:val="0"/>
      <w:marBottom w:val="0"/>
      <w:divBdr>
        <w:top w:val="none" w:sz="0" w:space="0" w:color="auto"/>
        <w:left w:val="none" w:sz="0" w:space="0" w:color="auto"/>
        <w:bottom w:val="none" w:sz="0" w:space="0" w:color="auto"/>
        <w:right w:val="none" w:sz="0" w:space="0" w:color="auto"/>
      </w:divBdr>
    </w:div>
    <w:div w:id="1896355639">
      <w:bodyDiv w:val="1"/>
      <w:marLeft w:val="0"/>
      <w:marRight w:val="0"/>
      <w:marTop w:val="0"/>
      <w:marBottom w:val="0"/>
      <w:divBdr>
        <w:top w:val="none" w:sz="0" w:space="0" w:color="auto"/>
        <w:left w:val="none" w:sz="0" w:space="0" w:color="auto"/>
        <w:bottom w:val="none" w:sz="0" w:space="0" w:color="auto"/>
        <w:right w:val="none" w:sz="0" w:space="0" w:color="auto"/>
      </w:divBdr>
    </w:div>
    <w:div w:id="1900744785">
      <w:bodyDiv w:val="1"/>
      <w:marLeft w:val="0"/>
      <w:marRight w:val="0"/>
      <w:marTop w:val="0"/>
      <w:marBottom w:val="0"/>
      <w:divBdr>
        <w:top w:val="none" w:sz="0" w:space="0" w:color="auto"/>
        <w:left w:val="none" w:sz="0" w:space="0" w:color="auto"/>
        <w:bottom w:val="none" w:sz="0" w:space="0" w:color="auto"/>
        <w:right w:val="none" w:sz="0" w:space="0" w:color="auto"/>
      </w:divBdr>
    </w:div>
    <w:div w:id="1928730069">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70285509">
      <w:bodyDiv w:val="1"/>
      <w:marLeft w:val="0"/>
      <w:marRight w:val="0"/>
      <w:marTop w:val="0"/>
      <w:marBottom w:val="0"/>
      <w:divBdr>
        <w:top w:val="none" w:sz="0" w:space="0" w:color="auto"/>
        <w:left w:val="none" w:sz="0" w:space="0" w:color="auto"/>
        <w:bottom w:val="none" w:sz="0" w:space="0" w:color="auto"/>
        <w:right w:val="none" w:sz="0" w:space="0" w:color="auto"/>
      </w:divBdr>
    </w:div>
    <w:div w:id="2010790238">
      <w:bodyDiv w:val="1"/>
      <w:marLeft w:val="0"/>
      <w:marRight w:val="0"/>
      <w:marTop w:val="0"/>
      <w:marBottom w:val="0"/>
      <w:divBdr>
        <w:top w:val="none" w:sz="0" w:space="0" w:color="auto"/>
        <w:left w:val="none" w:sz="0" w:space="0" w:color="auto"/>
        <w:bottom w:val="none" w:sz="0" w:space="0" w:color="auto"/>
        <w:right w:val="none" w:sz="0" w:space="0" w:color="auto"/>
      </w:divBdr>
    </w:div>
    <w:div w:id="2013484702">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20961934">
      <w:bodyDiv w:val="1"/>
      <w:marLeft w:val="0"/>
      <w:marRight w:val="0"/>
      <w:marTop w:val="0"/>
      <w:marBottom w:val="0"/>
      <w:divBdr>
        <w:top w:val="none" w:sz="0" w:space="0" w:color="auto"/>
        <w:left w:val="none" w:sz="0" w:space="0" w:color="auto"/>
        <w:bottom w:val="none" w:sz="0" w:space="0" w:color="auto"/>
        <w:right w:val="none" w:sz="0" w:space="0" w:color="auto"/>
      </w:divBdr>
    </w:div>
    <w:div w:id="2025784381">
      <w:bodyDiv w:val="1"/>
      <w:marLeft w:val="0"/>
      <w:marRight w:val="0"/>
      <w:marTop w:val="0"/>
      <w:marBottom w:val="0"/>
      <w:divBdr>
        <w:top w:val="none" w:sz="0" w:space="0" w:color="auto"/>
        <w:left w:val="none" w:sz="0" w:space="0" w:color="auto"/>
        <w:bottom w:val="none" w:sz="0" w:space="0" w:color="auto"/>
        <w:right w:val="none" w:sz="0" w:space="0" w:color="auto"/>
      </w:divBdr>
    </w:div>
    <w:div w:id="2051147480">
      <w:bodyDiv w:val="1"/>
      <w:marLeft w:val="0"/>
      <w:marRight w:val="0"/>
      <w:marTop w:val="0"/>
      <w:marBottom w:val="0"/>
      <w:divBdr>
        <w:top w:val="none" w:sz="0" w:space="0" w:color="auto"/>
        <w:left w:val="none" w:sz="0" w:space="0" w:color="auto"/>
        <w:bottom w:val="none" w:sz="0" w:space="0" w:color="auto"/>
        <w:right w:val="none" w:sz="0" w:space="0" w:color="auto"/>
      </w:divBdr>
    </w:div>
    <w:div w:id="2057971031">
      <w:bodyDiv w:val="1"/>
      <w:marLeft w:val="0"/>
      <w:marRight w:val="0"/>
      <w:marTop w:val="0"/>
      <w:marBottom w:val="0"/>
      <w:divBdr>
        <w:top w:val="none" w:sz="0" w:space="0" w:color="auto"/>
        <w:left w:val="none" w:sz="0" w:space="0" w:color="auto"/>
        <w:bottom w:val="none" w:sz="0" w:space="0" w:color="auto"/>
        <w:right w:val="none" w:sz="0" w:space="0" w:color="auto"/>
      </w:divBdr>
    </w:div>
    <w:div w:id="208745687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deeresources.com" TargetMode="External"/><Relationship Id="rId3" Type="http://schemas.openxmlformats.org/officeDocument/2006/relationships/customXml" Target="../customXml/item3.xml"/><Relationship Id="rId21" Type="http://schemas.openxmlformats.org/officeDocument/2006/relationships/image" Target="media/image2.w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oleObject" Target="embeddings/oleObject2.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1F427D-EF96-4A6C-B588-FB258E2A4265}"/>
</file>

<file path=customXml/itemProps2.xml><?xml version="1.0" encoding="utf-8"?>
<ds:datastoreItem xmlns:ds="http://schemas.openxmlformats.org/officeDocument/2006/customXml" ds:itemID="{F1ED2296-2887-4A80-BF18-BE3CC0A90123}"/>
</file>

<file path=customXml/itemProps3.xml><?xml version="1.0" encoding="utf-8"?>
<ds:datastoreItem xmlns:ds="http://schemas.openxmlformats.org/officeDocument/2006/customXml" ds:itemID="{7CC2CFD9-3A99-496E-A43B-D863461AD001}"/>
</file>

<file path=customXml/itemProps4.xml><?xml version="1.0" encoding="utf-8"?>
<ds:datastoreItem xmlns:ds="http://schemas.openxmlformats.org/officeDocument/2006/customXml" ds:itemID="{B205DFB4-3D78-4672-AA6B-EAF8BC8E4F85}"/>
</file>

<file path=docProps/app.xml><?xml version="1.0" encoding="utf-8"?>
<Properties xmlns="http://schemas.openxmlformats.org/officeDocument/2006/extended-properties" xmlns:vt="http://schemas.openxmlformats.org/officeDocument/2006/docPropsVTypes">
  <Template>SCE Work Paper Template - Final.dot</Template>
  <TotalTime>350</TotalTime>
  <Pages>11</Pages>
  <Words>2345</Words>
  <Characters>15429</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17739</CharactersWithSpaces>
  <SharedDoc>false</SharedDoc>
  <HLinks>
    <vt:vector size="102" baseType="variant">
      <vt:variant>
        <vt:i4>5832799</vt:i4>
      </vt:variant>
      <vt:variant>
        <vt:i4>99</vt:i4>
      </vt:variant>
      <vt:variant>
        <vt:i4>0</vt:i4>
      </vt:variant>
      <vt:variant>
        <vt:i4>5</vt:i4>
      </vt:variant>
      <vt:variant>
        <vt:lpwstr>http://www.deeresources.com/</vt:lpwstr>
      </vt:variant>
      <vt:variant>
        <vt:lpwstr/>
      </vt:variant>
      <vt:variant>
        <vt:i4>1048627</vt:i4>
      </vt:variant>
      <vt:variant>
        <vt:i4>92</vt:i4>
      </vt:variant>
      <vt:variant>
        <vt:i4>0</vt:i4>
      </vt:variant>
      <vt:variant>
        <vt:i4>5</vt:i4>
      </vt:variant>
      <vt:variant>
        <vt:lpwstr/>
      </vt:variant>
      <vt:variant>
        <vt:lpwstr>_Toc326835584</vt:lpwstr>
      </vt:variant>
      <vt:variant>
        <vt:i4>1048627</vt:i4>
      </vt:variant>
      <vt:variant>
        <vt:i4>86</vt:i4>
      </vt:variant>
      <vt:variant>
        <vt:i4>0</vt:i4>
      </vt:variant>
      <vt:variant>
        <vt:i4>5</vt:i4>
      </vt:variant>
      <vt:variant>
        <vt:lpwstr/>
      </vt:variant>
      <vt:variant>
        <vt:lpwstr>_Toc326835583</vt:lpwstr>
      </vt:variant>
      <vt:variant>
        <vt:i4>1048627</vt:i4>
      </vt:variant>
      <vt:variant>
        <vt:i4>80</vt:i4>
      </vt:variant>
      <vt:variant>
        <vt:i4>0</vt:i4>
      </vt:variant>
      <vt:variant>
        <vt:i4>5</vt:i4>
      </vt:variant>
      <vt:variant>
        <vt:lpwstr/>
      </vt:variant>
      <vt:variant>
        <vt:lpwstr>_Toc326835582</vt:lpwstr>
      </vt:variant>
      <vt:variant>
        <vt:i4>1048627</vt:i4>
      </vt:variant>
      <vt:variant>
        <vt:i4>74</vt:i4>
      </vt:variant>
      <vt:variant>
        <vt:i4>0</vt:i4>
      </vt:variant>
      <vt:variant>
        <vt:i4>5</vt:i4>
      </vt:variant>
      <vt:variant>
        <vt:lpwstr/>
      </vt:variant>
      <vt:variant>
        <vt:lpwstr>_Toc326835581</vt:lpwstr>
      </vt:variant>
      <vt:variant>
        <vt:i4>1048627</vt:i4>
      </vt:variant>
      <vt:variant>
        <vt:i4>68</vt:i4>
      </vt:variant>
      <vt:variant>
        <vt:i4>0</vt:i4>
      </vt:variant>
      <vt:variant>
        <vt:i4>5</vt:i4>
      </vt:variant>
      <vt:variant>
        <vt:lpwstr/>
      </vt:variant>
      <vt:variant>
        <vt:lpwstr>_Toc326835580</vt:lpwstr>
      </vt:variant>
      <vt:variant>
        <vt:i4>2031667</vt:i4>
      </vt:variant>
      <vt:variant>
        <vt:i4>62</vt:i4>
      </vt:variant>
      <vt:variant>
        <vt:i4>0</vt:i4>
      </vt:variant>
      <vt:variant>
        <vt:i4>5</vt:i4>
      </vt:variant>
      <vt:variant>
        <vt:lpwstr/>
      </vt:variant>
      <vt:variant>
        <vt:lpwstr>_Toc326835579</vt:lpwstr>
      </vt:variant>
      <vt:variant>
        <vt:i4>2031667</vt:i4>
      </vt:variant>
      <vt:variant>
        <vt:i4>56</vt:i4>
      </vt:variant>
      <vt:variant>
        <vt:i4>0</vt:i4>
      </vt:variant>
      <vt:variant>
        <vt:i4>5</vt:i4>
      </vt:variant>
      <vt:variant>
        <vt:lpwstr/>
      </vt:variant>
      <vt:variant>
        <vt:lpwstr>_Toc326835578</vt:lpwstr>
      </vt:variant>
      <vt:variant>
        <vt:i4>2031667</vt:i4>
      </vt:variant>
      <vt:variant>
        <vt:i4>50</vt:i4>
      </vt:variant>
      <vt:variant>
        <vt:i4>0</vt:i4>
      </vt:variant>
      <vt:variant>
        <vt:i4>5</vt:i4>
      </vt:variant>
      <vt:variant>
        <vt:lpwstr/>
      </vt:variant>
      <vt:variant>
        <vt:lpwstr>_Toc326835577</vt:lpwstr>
      </vt:variant>
      <vt:variant>
        <vt:i4>2031667</vt:i4>
      </vt:variant>
      <vt:variant>
        <vt:i4>44</vt:i4>
      </vt:variant>
      <vt:variant>
        <vt:i4>0</vt:i4>
      </vt:variant>
      <vt:variant>
        <vt:i4>5</vt:i4>
      </vt:variant>
      <vt:variant>
        <vt:lpwstr/>
      </vt:variant>
      <vt:variant>
        <vt:lpwstr>_Toc326835576</vt:lpwstr>
      </vt:variant>
      <vt:variant>
        <vt:i4>2031667</vt:i4>
      </vt:variant>
      <vt:variant>
        <vt:i4>38</vt:i4>
      </vt:variant>
      <vt:variant>
        <vt:i4>0</vt:i4>
      </vt:variant>
      <vt:variant>
        <vt:i4>5</vt:i4>
      </vt:variant>
      <vt:variant>
        <vt:lpwstr/>
      </vt:variant>
      <vt:variant>
        <vt:lpwstr>_Toc326835575</vt:lpwstr>
      </vt:variant>
      <vt:variant>
        <vt:i4>2031667</vt:i4>
      </vt:variant>
      <vt:variant>
        <vt:i4>32</vt:i4>
      </vt:variant>
      <vt:variant>
        <vt:i4>0</vt:i4>
      </vt:variant>
      <vt:variant>
        <vt:i4>5</vt:i4>
      </vt:variant>
      <vt:variant>
        <vt:lpwstr/>
      </vt:variant>
      <vt:variant>
        <vt:lpwstr>_Toc326835574</vt:lpwstr>
      </vt:variant>
      <vt:variant>
        <vt:i4>2031667</vt:i4>
      </vt:variant>
      <vt:variant>
        <vt:i4>26</vt:i4>
      </vt:variant>
      <vt:variant>
        <vt:i4>0</vt:i4>
      </vt:variant>
      <vt:variant>
        <vt:i4>5</vt:i4>
      </vt:variant>
      <vt:variant>
        <vt:lpwstr/>
      </vt:variant>
      <vt:variant>
        <vt:lpwstr>_Toc326835573</vt:lpwstr>
      </vt:variant>
      <vt:variant>
        <vt:i4>2031667</vt:i4>
      </vt:variant>
      <vt:variant>
        <vt:i4>20</vt:i4>
      </vt:variant>
      <vt:variant>
        <vt:i4>0</vt:i4>
      </vt:variant>
      <vt:variant>
        <vt:i4>5</vt:i4>
      </vt:variant>
      <vt:variant>
        <vt:lpwstr/>
      </vt:variant>
      <vt:variant>
        <vt:lpwstr>_Toc326835572</vt:lpwstr>
      </vt:variant>
      <vt:variant>
        <vt:i4>2031667</vt:i4>
      </vt:variant>
      <vt:variant>
        <vt:i4>14</vt:i4>
      </vt:variant>
      <vt:variant>
        <vt:i4>0</vt:i4>
      </vt:variant>
      <vt:variant>
        <vt:i4>5</vt:i4>
      </vt:variant>
      <vt:variant>
        <vt:lpwstr/>
      </vt:variant>
      <vt:variant>
        <vt:lpwstr>_Toc326835571</vt:lpwstr>
      </vt:variant>
      <vt:variant>
        <vt:i4>2031667</vt:i4>
      </vt:variant>
      <vt:variant>
        <vt:i4>8</vt:i4>
      </vt:variant>
      <vt:variant>
        <vt:i4>0</vt:i4>
      </vt:variant>
      <vt:variant>
        <vt:i4>5</vt:i4>
      </vt:variant>
      <vt:variant>
        <vt:lpwstr/>
      </vt:variant>
      <vt:variant>
        <vt:lpwstr>_Toc326835570</vt:lpwstr>
      </vt:variant>
      <vt:variant>
        <vt:i4>1966131</vt:i4>
      </vt:variant>
      <vt:variant>
        <vt:i4>2</vt:i4>
      </vt:variant>
      <vt:variant>
        <vt:i4>0</vt:i4>
      </vt:variant>
      <vt:variant>
        <vt:i4>5</vt:i4>
      </vt:variant>
      <vt:variant>
        <vt:lpwstr/>
      </vt:variant>
      <vt:variant>
        <vt:lpwstr>_Toc326835569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19</cp:revision>
  <cp:lastPrinted>2012-06-26T20:41:00Z</cp:lastPrinted>
  <dcterms:created xsi:type="dcterms:W3CDTF">2015-10-12T16:40:00Z</dcterms:created>
  <dcterms:modified xsi:type="dcterms:W3CDTF">2015-12-22T18:23:00Z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