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Pr="004D2BCB" w:rsidRDefault="003129E8" w:rsidP="00DD6B5E">
      <w:pPr>
        <w:jc w:val="right"/>
        <w:rPr>
          <w:rFonts w:ascii="Arial" w:hAnsi="Arial" w:cs="Arial"/>
          <w:b/>
          <w:sz w:val="48"/>
          <w:szCs w:val="48"/>
        </w:rPr>
      </w:pPr>
      <w:bookmarkStart w:id="0" w:name="_Toc153189646"/>
      <w:r w:rsidRPr="004D2BCB">
        <w:rPr>
          <w:rFonts w:ascii="Arial" w:hAnsi="Arial" w:cs="Arial"/>
          <w:b/>
          <w:sz w:val="48"/>
          <w:szCs w:val="48"/>
        </w:rPr>
        <w:t xml:space="preserve">Work Paper </w:t>
      </w:r>
      <w:bookmarkEnd w:id="0"/>
      <w:r w:rsidR="00986BAF" w:rsidRPr="004D2BCB">
        <w:rPr>
          <w:rFonts w:ascii="Arial" w:hAnsi="Arial" w:cs="Arial"/>
          <w:b/>
          <w:sz w:val="48"/>
          <w:szCs w:val="48"/>
        </w:rPr>
        <w:t>PGE3PLTG171</w:t>
      </w:r>
    </w:p>
    <w:p w:rsidR="00A167EC" w:rsidRPr="004D2BCB" w:rsidRDefault="00F10A99" w:rsidP="00A167EC">
      <w:pPr>
        <w:jc w:val="right"/>
        <w:rPr>
          <w:rFonts w:ascii="Arial" w:hAnsi="Arial" w:cs="Arial"/>
          <w:b/>
          <w:sz w:val="48"/>
          <w:szCs w:val="48"/>
        </w:rPr>
      </w:pPr>
      <w:r w:rsidRPr="004D2BCB">
        <w:rPr>
          <w:rFonts w:ascii="Arial" w:hAnsi="Arial" w:cs="Arial"/>
          <w:b/>
          <w:sz w:val="48"/>
          <w:szCs w:val="48"/>
        </w:rPr>
        <w:t xml:space="preserve"> </w:t>
      </w:r>
      <w:r w:rsidR="00986BAF" w:rsidRPr="004D2BCB">
        <w:rPr>
          <w:rFonts w:ascii="Arial" w:hAnsi="Arial" w:cs="Arial"/>
          <w:b/>
          <w:sz w:val="48"/>
          <w:szCs w:val="48"/>
        </w:rPr>
        <w:t>Walk-In LED</w:t>
      </w:r>
    </w:p>
    <w:p w:rsidR="003129E8" w:rsidRPr="004D2BCB" w:rsidRDefault="003129E8" w:rsidP="002E0043">
      <w:pPr>
        <w:jc w:val="right"/>
        <w:rPr>
          <w:rFonts w:ascii="Arial" w:hAnsi="Arial" w:cs="Arial"/>
          <w:b/>
          <w:sz w:val="48"/>
          <w:szCs w:val="48"/>
        </w:rPr>
      </w:pPr>
      <w:bookmarkStart w:id="1" w:name="_Toc153189647"/>
      <w:r w:rsidRPr="004D2BCB">
        <w:rPr>
          <w:rFonts w:ascii="Arial" w:hAnsi="Arial" w:cs="Arial"/>
          <w:b/>
          <w:sz w:val="48"/>
          <w:szCs w:val="48"/>
        </w:rPr>
        <w:t>Revision #</w:t>
      </w:r>
      <w:bookmarkEnd w:id="1"/>
      <w:r w:rsidR="00D7047A" w:rsidRPr="004D2BCB">
        <w:rPr>
          <w:rFonts w:ascii="Arial" w:hAnsi="Arial" w:cs="Arial"/>
          <w:b/>
          <w:sz w:val="48"/>
          <w:szCs w:val="48"/>
        </w:rPr>
        <w:t xml:space="preserve"> </w:t>
      </w:r>
      <w:r w:rsidR="006874E0" w:rsidRPr="004D2BCB">
        <w:rPr>
          <w:rFonts w:ascii="Arial" w:hAnsi="Arial" w:cs="Arial"/>
          <w:b/>
          <w:sz w:val="48"/>
          <w:szCs w:val="48"/>
        </w:rPr>
        <w:t>2</w:t>
      </w:r>
    </w:p>
    <w:p w:rsidR="003129E8" w:rsidRPr="004D2BCB" w:rsidRDefault="003129E8" w:rsidP="003129E8">
      <w:pPr>
        <w:rPr>
          <w:rFonts w:ascii="Arial" w:hAnsi="Arial" w:cs="Arial"/>
        </w:rPr>
      </w:pPr>
    </w:p>
    <w:p w:rsidR="00D7047A" w:rsidRPr="004D2BCB" w:rsidRDefault="0056016B" w:rsidP="00D7047A">
      <w:pPr>
        <w:pBdr>
          <w:bottom w:val="single" w:sz="4" w:space="1" w:color="auto"/>
        </w:pBdr>
        <w:rPr>
          <w:rFonts w:ascii="Arial" w:hAnsi="Arial" w:cs="Arial"/>
          <w:b/>
          <w:sz w:val="36"/>
          <w:szCs w:val="36"/>
        </w:rPr>
      </w:pPr>
      <w:r w:rsidRPr="004D2BCB">
        <w:rPr>
          <w:rFonts w:ascii="Arial" w:hAnsi="Arial" w:cs="Arial"/>
          <w:b/>
          <w:sz w:val="36"/>
          <w:szCs w:val="36"/>
        </w:rPr>
        <w:t>Pacific Gas &amp; Electric Company</w:t>
      </w:r>
    </w:p>
    <w:p w:rsidR="00D7047A" w:rsidRPr="004D2BCB" w:rsidRDefault="0056016B" w:rsidP="00D7047A">
      <w:pPr>
        <w:rPr>
          <w:rFonts w:ascii="Arial" w:hAnsi="Arial" w:cs="Arial"/>
          <w:b/>
          <w:sz w:val="32"/>
          <w:szCs w:val="32"/>
        </w:rPr>
      </w:pPr>
      <w:r w:rsidRPr="004D2BCB">
        <w:rPr>
          <w:rFonts w:ascii="Arial" w:hAnsi="Arial" w:cs="Arial"/>
          <w:b/>
          <w:sz w:val="32"/>
          <w:szCs w:val="32"/>
        </w:rPr>
        <w:t xml:space="preserve">PECI </w:t>
      </w:r>
      <w:proofErr w:type="spellStart"/>
      <w:r w:rsidR="00C15B84" w:rsidRPr="004D2BCB">
        <w:rPr>
          <w:rFonts w:ascii="Arial" w:hAnsi="Arial" w:cs="Arial"/>
          <w:b/>
          <w:sz w:val="32"/>
          <w:szCs w:val="32"/>
        </w:rPr>
        <w:t>EnergySmart</w:t>
      </w:r>
      <w:proofErr w:type="spellEnd"/>
      <w:r w:rsidR="00C15B84" w:rsidRPr="004D2BCB">
        <w:rPr>
          <w:rFonts w:ascii="Arial" w:hAnsi="Arial" w:cs="Arial"/>
          <w:b/>
          <w:sz w:val="32"/>
          <w:szCs w:val="32"/>
        </w:rPr>
        <w:t xml:space="preserve"> Grocer</w:t>
      </w:r>
    </w:p>
    <w:p w:rsidR="00986BAF" w:rsidRPr="004D2BCB" w:rsidRDefault="00986BAF" w:rsidP="00A167EC">
      <w:pPr>
        <w:ind w:right="-720"/>
        <w:rPr>
          <w:rFonts w:ascii="Arial" w:hAnsi="Arial" w:cs="Arial"/>
          <w:b/>
          <w:sz w:val="72"/>
          <w:szCs w:val="72"/>
        </w:rPr>
      </w:pPr>
    </w:p>
    <w:p w:rsidR="00986BAF" w:rsidRPr="004D2BCB" w:rsidRDefault="00986BAF" w:rsidP="00A167EC">
      <w:pPr>
        <w:ind w:right="-720"/>
        <w:rPr>
          <w:rFonts w:ascii="Arial" w:hAnsi="Arial" w:cs="Arial"/>
          <w:b/>
          <w:sz w:val="72"/>
          <w:szCs w:val="72"/>
        </w:rPr>
      </w:pPr>
    </w:p>
    <w:p w:rsidR="00324D0F" w:rsidRPr="004D2BCB" w:rsidRDefault="00C15B84" w:rsidP="00A167EC">
      <w:pPr>
        <w:ind w:right="-720"/>
        <w:rPr>
          <w:rFonts w:ascii="Arial" w:hAnsi="Arial" w:cs="Arial"/>
          <w:b/>
        </w:rPr>
      </w:pPr>
      <w:r w:rsidRPr="004D2BCB">
        <w:rPr>
          <w:rFonts w:ascii="Arial" w:hAnsi="Arial" w:cs="Arial"/>
          <w:b/>
          <w:sz w:val="72"/>
          <w:szCs w:val="72"/>
        </w:rPr>
        <w:t>LED Lighting in Walk-in Coolers and Freezers</w:t>
      </w:r>
    </w:p>
    <w:p w:rsidR="00B421F2" w:rsidRPr="004D2BCB" w:rsidRDefault="00A167EC" w:rsidP="002D4621">
      <w:pPr>
        <w:ind w:right="-720"/>
        <w:rPr>
          <w:rFonts w:ascii="Arial" w:hAnsi="Arial" w:cs="Arial"/>
          <w:b/>
        </w:rPr>
      </w:pPr>
      <w:r w:rsidRPr="004D2BCB">
        <w:rPr>
          <w:rFonts w:ascii="Arial" w:hAnsi="Arial" w:cs="Arial"/>
          <w:b/>
        </w:rPr>
        <w:t xml:space="preserve">Measure Code </w:t>
      </w:r>
      <w:r w:rsidR="00121ADD" w:rsidRPr="004D2BCB">
        <w:rPr>
          <w:rFonts w:ascii="Arial" w:hAnsi="Arial" w:cs="Arial"/>
          <w:b/>
        </w:rPr>
        <w:t>LC109, LL5</w:t>
      </w:r>
      <w:r w:rsidR="002A5CDC" w:rsidRPr="004D2BCB">
        <w:rPr>
          <w:rFonts w:ascii="Arial" w:hAnsi="Arial" w:cs="Arial"/>
          <w:b/>
        </w:rPr>
        <w:t>1</w:t>
      </w:r>
      <w:r w:rsidR="00121ADD" w:rsidRPr="004D2BCB">
        <w:rPr>
          <w:rFonts w:ascii="Arial" w:hAnsi="Arial" w:cs="Arial"/>
          <w:b/>
        </w:rPr>
        <w:t>-59</w:t>
      </w:r>
    </w:p>
    <w:p w:rsidR="002D4621" w:rsidRPr="004D2BCB" w:rsidRDefault="00986BAF" w:rsidP="002D4621">
      <w:pPr>
        <w:ind w:right="-720"/>
        <w:rPr>
          <w:rFonts w:ascii="Arial" w:hAnsi="Arial" w:cs="Arial"/>
          <w:b/>
        </w:rPr>
      </w:pPr>
      <w:r w:rsidRPr="004D2BCB">
        <w:rPr>
          <w:rFonts w:ascii="Arial" w:hAnsi="Arial" w:cs="Arial"/>
          <w:b/>
        </w:rPr>
        <w:t>PECI</w:t>
      </w:r>
    </w:p>
    <w:p w:rsidR="00CB3583" w:rsidRPr="004D2BCB" w:rsidRDefault="00CB3583" w:rsidP="002E0043">
      <w:pPr>
        <w:rPr>
          <w:rFonts w:ascii="Arial" w:hAnsi="Arial" w:cs="Arial"/>
          <w:b/>
          <w:highlight w:val="cyan"/>
        </w:rPr>
      </w:pPr>
    </w:p>
    <w:p w:rsidR="001C44D0" w:rsidRPr="004D2BCB" w:rsidRDefault="001C44D0" w:rsidP="002E0043">
      <w:pPr>
        <w:rPr>
          <w:rFonts w:ascii="Arial" w:hAnsi="Arial" w:cs="Arial"/>
          <w:b/>
          <w:highlight w:val="cyan"/>
        </w:rPr>
      </w:pPr>
    </w:p>
    <w:p w:rsidR="001C44D0" w:rsidRPr="004D2BCB" w:rsidRDefault="001C44D0" w:rsidP="002E0043">
      <w:pPr>
        <w:rPr>
          <w:rFonts w:ascii="Arial" w:hAnsi="Arial" w:cs="Arial"/>
          <w:b/>
          <w:highlight w:val="cyan"/>
        </w:rPr>
      </w:pPr>
    </w:p>
    <w:p w:rsidR="001C44D0" w:rsidRPr="004D2BCB" w:rsidRDefault="001C44D0" w:rsidP="002E0043">
      <w:pPr>
        <w:rPr>
          <w:rFonts w:ascii="Arial" w:hAnsi="Arial" w:cs="Arial"/>
          <w:b/>
          <w:highlight w:val="cyan"/>
        </w:rPr>
      </w:pPr>
    </w:p>
    <w:p w:rsidR="001C44D0" w:rsidRPr="004D2BCB" w:rsidRDefault="001C44D0" w:rsidP="002E0043">
      <w:pPr>
        <w:rPr>
          <w:rFonts w:ascii="Arial" w:hAnsi="Arial" w:cs="Arial"/>
          <w:b/>
          <w:highlight w:val="cyan"/>
        </w:rPr>
      </w:pPr>
    </w:p>
    <w:p w:rsidR="001C44D0" w:rsidRPr="004D2BCB" w:rsidRDefault="001C44D0" w:rsidP="002E0043">
      <w:pPr>
        <w:rPr>
          <w:rFonts w:ascii="Arial" w:hAnsi="Arial" w:cs="Arial"/>
          <w:b/>
          <w:highlight w:val="cyan"/>
        </w:rPr>
      </w:pPr>
    </w:p>
    <w:p w:rsidR="001C44D0" w:rsidRPr="004D2BCB" w:rsidRDefault="001C44D0" w:rsidP="002E0043">
      <w:pPr>
        <w:rPr>
          <w:rFonts w:ascii="Arial" w:hAnsi="Arial" w:cs="Arial"/>
          <w:b/>
          <w:highlight w:val="cyan"/>
        </w:rPr>
      </w:pPr>
    </w:p>
    <w:p w:rsidR="00282F89" w:rsidRPr="004D2BCB" w:rsidRDefault="00282F89" w:rsidP="00E71EF1">
      <w:pPr>
        <w:pStyle w:val="Heading1"/>
      </w:pPr>
      <w:r w:rsidRPr="004D2BCB">
        <w:br w:type="page"/>
      </w:r>
    </w:p>
    <w:p w:rsidR="00E71EF1" w:rsidRPr="004D2BCB" w:rsidRDefault="00E731C6" w:rsidP="00E71EF1">
      <w:pPr>
        <w:pStyle w:val="Heading1"/>
      </w:pPr>
      <w:bookmarkStart w:id="2" w:name="_Toc438047451"/>
      <w:r w:rsidRPr="004D2BCB">
        <w:lastRenderedPageBreak/>
        <w:t>At-</w:t>
      </w:r>
      <w:r w:rsidR="00E71EF1" w:rsidRPr="004D2BCB">
        <w:t>a</w:t>
      </w:r>
      <w:r w:rsidRPr="004D2BCB">
        <w:t>-</w:t>
      </w:r>
      <w:r w:rsidR="00E71EF1" w:rsidRPr="004D2BCB">
        <w:t>Glance Summary</w:t>
      </w:r>
      <w:bookmarkEnd w:id="2"/>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802368" w:rsidRPr="004D2BCB" w:rsidTr="000B6CB4">
        <w:trPr>
          <w:trHeight w:val="387"/>
        </w:trPr>
        <w:tc>
          <w:tcPr>
            <w:tcW w:w="4161" w:type="dxa"/>
            <w:shd w:val="pct20" w:color="000000" w:fill="FFFFFF"/>
          </w:tcPr>
          <w:p w:rsidR="00802368" w:rsidRPr="004D2BCB" w:rsidRDefault="00802368" w:rsidP="0028709C">
            <w:pPr>
              <w:rPr>
                <w:rFonts w:ascii="Arial" w:hAnsi="Arial" w:cs="Arial"/>
                <w:b/>
                <w:bCs/>
              </w:rPr>
            </w:pPr>
            <w:r w:rsidRPr="004D2BCB">
              <w:rPr>
                <w:rFonts w:ascii="Arial" w:hAnsi="Arial" w:cs="Arial"/>
                <w:b/>
                <w:bCs/>
              </w:rPr>
              <w:t>Applicable Measure Codes:</w:t>
            </w:r>
          </w:p>
        </w:tc>
        <w:tc>
          <w:tcPr>
            <w:tcW w:w="5487" w:type="dxa"/>
            <w:shd w:val="pct20" w:color="000000" w:fill="FFFFFF"/>
          </w:tcPr>
          <w:p w:rsidR="00802368" w:rsidRPr="004D2BCB" w:rsidRDefault="00121ADD" w:rsidP="0028709C">
            <w:pPr>
              <w:rPr>
                <w:rFonts w:ascii="Arial" w:hAnsi="Arial" w:cs="Arial"/>
                <w:b/>
                <w:bCs/>
                <w:sz w:val="20"/>
                <w:szCs w:val="20"/>
              </w:rPr>
            </w:pPr>
            <w:r w:rsidRPr="004D2BCB">
              <w:rPr>
                <w:rFonts w:ascii="Arial" w:hAnsi="Arial" w:cs="Arial"/>
                <w:sz w:val="20"/>
                <w:szCs w:val="20"/>
              </w:rPr>
              <w:t xml:space="preserve">LC109, </w:t>
            </w:r>
            <w:r w:rsidR="002A5CDC" w:rsidRPr="004D2BCB">
              <w:rPr>
                <w:rFonts w:ascii="Arial" w:hAnsi="Arial" w:cs="Arial"/>
                <w:sz w:val="20"/>
                <w:szCs w:val="20"/>
              </w:rPr>
              <w:t xml:space="preserve">LL51, </w:t>
            </w:r>
            <w:r w:rsidRPr="004D2BCB">
              <w:rPr>
                <w:rFonts w:ascii="Arial" w:hAnsi="Arial" w:cs="Arial"/>
                <w:sz w:val="20"/>
                <w:szCs w:val="20"/>
              </w:rPr>
              <w:t>LL52, LL53, LL54, LL55, LL56, LL57, LL58, LL59</w:t>
            </w:r>
          </w:p>
        </w:tc>
      </w:tr>
      <w:tr w:rsidR="000571F6" w:rsidRPr="004D2BCB" w:rsidTr="00783DAC">
        <w:trPr>
          <w:trHeight w:val="465"/>
        </w:trPr>
        <w:tc>
          <w:tcPr>
            <w:tcW w:w="4161" w:type="dxa"/>
            <w:shd w:val="pct5" w:color="000000" w:fill="FFFFFF"/>
          </w:tcPr>
          <w:p w:rsidR="000571F6" w:rsidRPr="004D2BCB" w:rsidRDefault="00C63D95" w:rsidP="0028709C">
            <w:pPr>
              <w:rPr>
                <w:rFonts w:ascii="Arial" w:hAnsi="Arial" w:cs="Arial"/>
                <w:b/>
              </w:rPr>
            </w:pPr>
            <w:r w:rsidRPr="004D2BCB">
              <w:rPr>
                <w:rFonts w:ascii="Arial" w:hAnsi="Arial" w:cs="Arial"/>
                <w:b/>
              </w:rPr>
              <w:t>Measure Description</w:t>
            </w:r>
            <w:r w:rsidR="000571F6" w:rsidRPr="004D2BCB">
              <w:rPr>
                <w:rFonts w:ascii="Arial" w:hAnsi="Arial" w:cs="Arial"/>
                <w:b/>
              </w:rPr>
              <w:t xml:space="preserve">: </w:t>
            </w:r>
          </w:p>
        </w:tc>
        <w:tc>
          <w:tcPr>
            <w:tcW w:w="5487" w:type="dxa"/>
            <w:shd w:val="pct5" w:color="000000" w:fill="FFFFFF"/>
          </w:tcPr>
          <w:p w:rsidR="000571F6" w:rsidRPr="004D2BCB" w:rsidRDefault="00C15B84" w:rsidP="0028709C">
            <w:pPr>
              <w:rPr>
                <w:rFonts w:ascii="Arial" w:hAnsi="Arial" w:cs="Arial"/>
                <w:sz w:val="20"/>
                <w:szCs w:val="20"/>
              </w:rPr>
            </w:pPr>
            <w:r w:rsidRPr="004D2BCB">
              <w:rPr>
                <w:rFonts w:ascii="Arial" w:hAnsi="Arial" w:cs="Arial"/>
                <w:sz w:val="20"/>
                <w:szCs w:val="20"/>
              </w:rPr>
              <w:t>Retrofit LED Lighting in Walk-in Coolers and Freezers.</w:t>
            </w:r>
          </w:p>
        </w:tc>
      </w:tr>
      <w:tr w:rsidR="000571F6" w:rsidRPr="004D2BCB" w:rsidTr="00783DAC">
        <w:trPr>
          <w:trHeight w:val="465"/>
        </w:trPr>
        <w:tc>
          <w:tcPr>
            <w:tcW w:w="4161" w:type="dxa"/>
            <w:shd w:val="pct20" w:color="000000" w:fill="FFFFFF"/>
          </w:tcPr>
          <w:p w:rsidR="000571F6" w:rsidRPr="004D2BCB" w:rsidRDefault="00721C75" w:rsidP="0028709C">
            <w:pPr>
              <w:rPr>
                <w:rFonts w:ascii="Arial" w:hAnsi="Arial" w:cs="Arial"/>
                <w:b/>
              </w:rPr>
            </w:pPr>
            <w:r w:rsidRPr="004D2BCB">
              <w:rPr>
                <w:rFonts w:ascii="Arial" w:hAnsi="Arial" w:cs="Arial"/>
                <w:b/>
              </w:rPr>
              <w:t>Energy Impact</w:t>
            </w:r>
            <w:r w:rsidR="000571F6" w:rsidRPr="004D2BCB">
              <w:rPr>
                <w:rFonts w:ascii="Arial" w:hAnsi="Arial" w:cs="Arial"/>
                <w:b/>
              </w:rPr>
              <w:t xml:space="preserve"> Common Units: </w:t>
            </w:r>
          </w:p>
        </w:tc>
        <w:tc>
          <w:tcPr>
            <w:tcW w:w="5487" w:type="dxa"/>
            <w:shd w:val="pct20" w:color="000000" w:fill="FFFFFF"/>
          </w:tcPr>
          <w:p w:rsidR="000571F6" w:rsidRPr="004D2BCB" w:rsidRDefault="00C15B84" w:rsidP="0028709C">
            <w:pPr>
              <w:rPr>
                <w:rFonts w:ascii="Arial" w:hAnsi="Arial" w:cs="Arial"/>
                <w:sz w:val="20"/>
                <w:szCs w:val="20"/>
              </w:rPr>
            </w:pPr>
            <w:r w:rsidRPr="004D2BCB">
              <w:rPr>
                <w:rFonts w:ascii="Arial" w:hAnsi="Arial" w:cs="Arial"/>
                <w:sz w:val="20"/>
                <w:szCs w:val="20"/>
              </w:rPr>
              <w:t>Per luminaire.</w:t>
            </w:r>
          </w:p>
        </w:tc>
      </w:tr>
      <w:tr w:rsidR="000571F6" w:rsidRPr="004D2BCB" w:rsidTr="00783DAC">
        <w:trPr>
          <w:trHeight w:val="465"/>
        </w:trPr>
        <w:tc>
          <w:tcPr>
            <w:tcW w:w="4161" w:type="dxa"/>
            <w:shd w:val="pct5" w:color="000000" w:fill="FFFFFF"/>
          </w:tcPr>
          <w:p w:rsidR="000571F6" w:rsidRPr="004D2BCB" w:rsidRDefault="00EB367C" w:rsidP="0028709C">
            <w:pPr>
              <w:rPr>
                <w:rFonts w:ascii="Arial" w:hAnsi="Arial" w:cs="Arial"/>
                <w:b/>
              </w:rPr>
            </w:pPr>
            <w:r w:rsidRPr="004D2BCB">
              <w:rPr>
                <w:rFonts w:ascii="Arial" w:hAnsi="Arial" w:cs="Arial"/>
                <w:b/>
              </w:rPr>
              <w:t>Base Case Description:</w:t>
            </w:r>
          </w:p>
        </w:tc>
        <w:tc>
          <w:tcPr>
            <w:tcW w:w="5487" w:type="dxa"/>
            <w:shd w:val="pct5" w:color="000000" w:fill="FFFFFF"/>
          </w:tcPr>
          <w:p w:rsidR="00D210F0" w:rsidRPr="004D2BCB" w:rsidRDefault="00DF7681" w:rsidP="00C15B84">
            <w:pPr>
              <w:rPr>
                <w:rFonts w:ascii="Arial" w:hAnsi="Arial" w:cs="Arial"/>
                <w:sz w:val="20"/>
                <w:szCs w:val="20"/>
              </w:rPr>
            </w:pPr>
            <w:r w:rsidRPr="004D2BCB">
              <w:rPr>
                <w:rFonts w:ascii="Arial" w:hAnsi="Arial" w:cs="Arial"/>
                <w:sz w:val="20"/>
                <w:szCs w:val="20"/>
              </w:rPr>
              <w:t xml:space="preserve">Source:  </w:t>
            </w:r>
            <w:r w:rsidR="00D210F0" w:rsidRPr="004D2BCB">
              <w:rPr>
                <w:rFonts w:ascii="Arial" w:hAnsi="Arial" w:cs="Arial"/>
                <w:sz w:val="20"/>
                <w:szCs w:val="20"/>
              </w:rPr>
              <w:t>PECI Calculation.</w:t>
            </w:r>
          </w:p>
          <w:p w:rsidR="005F57B5" w:rsidRPr="004D2BCB" w:rsidRDefault="00C15B84" w:rsidP="00C15B84">
            <w:pPr>
              <w:rPr>
                <w:rFonts w:ascii="Arial" w:hAnsi="Arial" w:cs="Arial"/>
                <w:sz w:val="20"/>
                <w:szCs w:val="20"/>
              </w:rPr>
            </w:pPr>
            <w:r w:rsidRPr="004D2BCB">
              <w:rPr>
                <w:rFonts w:ascii="Arial" w:hAnsi="Arial" w:cs="Arial"/>
                <w:sz w:val="20"/>
                <w:szCs w:val="20"/>
              </w:rPr>
              <w:t>Incandescent or Linear Fluorescent Luminaires</w:t>
            </w:r>
          </w:p>
        </w:tc>
      </w:tr>
      <w:tr w:rsidR="000571F6" w:rsidRPr="004D2BCB" w:rsidTr="00783DAC">
        <w:trPr>
          <w:trHeight w:val="465"/>
        </w:trPr>
        <w:tc>
          <w:tcPr>
            <w:tcW w:w="4161" w:type="dxa"/>
            <w:shd w:val="pct20" w:color="000000" w:fill="FFFFFF"/>
          </w:tcPr>
          <w:p w:rsidR="000571F6" w:rsidRPr="004D2BCB" w:rsidRDefault="00EE4094" w:rsidP="0028709C">
            <w:pPr>
              <w:rPr>
                <w:rFonts w:ascii="Arial" w:hAnsi="Arial" w:cs="Arial"/>
                <w:b/>
              </w:rPr>
            </w:pPr>
            <w:r w:rsidRPr="004D2BCB">
              <w:rPr>
                <w:rFonts w:ascii="Arial" w:hAnsi="Arial" w:cs="Arial"/>
                <w:b/>
              </w:rPr>
              <w:t xml:space="preserve">Base Case </w:t>
            </w:r>
            <w:r w:rsidR="00EB367C" w:rsidRPr="004D2BCB">
              <w:rPr>
                <w:rFonts w:ascii="Arial" w:hAnsi="Arial" w:cs="Arial"/>
                <w:b/>
              </w:rPr>
              <w:t>Energy Consumption</w:t>
            </w:r>
            <w:r w:rsidR="000571F6" w:rsidRPr="004D2BCB">
              <w:rPr>
                <w:rFonts w:ascii="Arial" w:hAnsi="Arial" w:cs="Arial"/>
                <w:b/>
              </w:rPr>
              <w:t xml:space="preserve">: </w:t>
            </w:r>
          </w:p>
        </w:tc>
        <w:tc>
          <w:tcPr>
            <w:tcW w:w="5487" w:type="dxa"/>
            <w:shd w:val="pct20" w:color="000000" w:fill="FFFFFF"/>
          </w:tcPr>
          <w:p w:rsidR="00D210F0" w:rsidRPr="004D2BCB" w:rsidRDefault="00D210F0" w:rsidP="00D210F0">
            <w:pPr>
              <w:rPr>
                <w:rFonts w:ascii="Arial" w:hAnsi="Arial" w:cs="Arial"/>
                <w:sz w:val="20"/>
                <w:szCs w:val="20"/>
              </w:rPr>
            </w:pPr>
            <w:r w:rsidRPr="004D2BCB">
              <w:rPr>
                <w:rFonts w:ascii="Arial" w:hAnsi="Arial" w:cs="Arial"/>
                <w:sz w:val="20"/>
                <w:szCs w:val="20"/>
              </w:rPr>
              <w:t>Source:  PECI Calculation.</w:t>
            </w:r>
          </w:p>
          <w:p w:rsidR="000571F6" w:rsidRPr="004D2BCB" w:rsidRDefault="00A125E7">
            <w:pPr>
              <w:rPr>
                <w:rFonts w:ascii="Arial" w:hAnsi="Arial" w:cs="Arial"/>
                <w:sz w:val="20"/>
                <w:szCs w:val="20"/>
              </w:rPr>
            </w:pPr>
            <w:r w:rsidRPr="004D2BCB">
              <w:rPr>
                <w:rFonts w:ascii="Arial" w:hAnsi="Arial" w:cs="Arial"/>
                <w:sz w:val="20"/>
                <w:szCs w:val="20"/>
              </w:rPr>
              <w:t>Varies: See Measure List</w:t>
            </w:r>
          </w:p>
        </w:tc>
      </w:tr>
      <w:tr w:rsidR="002C4F1C" w:rsidRPr="004D2BCB" w:rsidTr="00783DAC">
        <w:trPr>
          <w:trHeight w:val="465"/>
        </w:trPr>
        <w:tc>
          <w:tcPr>
            <w:tcW w:w="4161" w:type="dxa"/>
            <w:shd w:val="pct5" w:color="000000" w:fill="FFFFFF"/>
          </w:tcPr>
          <w:p w:rsidR="002C4F1C" w:rsidRPr="004D2BCB" w:rsidRDefault="002C4F1C" w:rsidP="0028709C">
            <w:pPr>
              <w:rPr>
                <w:rFonts w:ascii="Arial" w:hAnsi="Arial" w:cs="Arial"/>
                <w:b/>
              </w:rPr>
            </w:pPr>
            <w:r w:rsidRPr="004D2BCB">
              <w:rPr>
                <w:rFonts w:ascii="Arial" w:hAnsi="Arial" w:cs="Arial"/>
                <w:b/>
              </w:rPr>
              <w:t>Measure Energy Consumption:</w:t>
            </w:r>
          </w:p>
          <w:p w:rsidR="00806EE8" w:rsidRPr="004D2BCB" w:rsidRDefault="00806EE8" w:rsidP="0028709C">
            <w:pPr>
              <w:rPr>
                <w:rFonts w:ascii="Arial" w:hAnsi="Arial" w:cs="Arial"/>
                <w:b/>
                <w:sz w:val="20"/>
                <w:szCs w:val="20"/>
              </w:rPr>
            </w:pPr>
          </w:p>
        </w:tc>
        <w:tc>
          <w:tcPr>
            <w:tcW w:w="5487" w:type="dxa"/>
            <w:shd w:val="pct5" w:color="000000" w:fill="FFFFFF"/>
          </w:tcPr>
          <w:p w:rsidR="00D210F0" w:rsidRPr="004D2BCB" w:rsidRDefault="00D210F0" w:rsidP="00D210F0">
            <w:pPr>
              <w:rPr>
                <w:rFonts w:ascii="Arial" w:hAnsi="Arial" w:cs="Arial"/>
                <w:sz w:val="20"/>
                <w:szCs w:val="20"/>
              </w:rPr>
            </w:pPr>
            <w:r w:rsidRPr="004D2BCB">
              <w:rPr>
                <w:rFonts w:ascii="Arial" w:hAnsi="Arial" w:cs="Arial"/>
                <w:sz w:val="20"/>
                <w:szCs w:val="20"/>
              </w:rPr>
              <w:t>Source:  PECI Calculation.</w:t>
            </w:r>
          </w:p>
          <w:p w:rsidR="002C4F1C" w:rsidRPr="004D2BCB" w:rsidRDefault="00A125E7">
            <w:pPr>
              <w:rPr>
                <w:rFonts w:ascii="Arial" w:hAnsi="Arial" w:cs="Arial"/>
                <w:sz w:val="20"/>
                <w:szCs w:val="20"/>
              </w:rPr>
            </w:pPr>
            <w:r w:rsidRPr="004D2BCB">
              <w:rPr>
                <w:rFonts w:ascii="Arial" w:hAnsi="Arial" w:cs="Arial"/>
                <w:sz w:val="20"/>
                <w:szCs w:val="20"/>
              </w:rPr>
              <w:t>Varies: See Measure List.</w:t>
            </w:r>
          </w:p>
        </w:tc>
      </w:tr>
      <w:tr w:rsidR="002C4F1C" w:rsidRPr="004D2BCB" w:rsidTr="00783DAC">
        <w:trPr>
          <w:trHeight w:val="465"/>
        </w:trPr>
        <w:tc>
          <w:tcPr>
            <w:tcW w:w="4161" w:type="dxa"/>
            <w:shd w:val="pct20" w:color="000000" w:fill="FFFFFF"/>
          </w:tcPr>
          <w:p w:rsidR="002C4F1C" w:rsidRPr="004D2BCB" w:rsidRDefault="002C4F1C" w:rsidP="0028709C">
            <w:pPr>
              <w:rPr>
                <w:rFonts w:ascii="Arial" w:hAnsi="Arial" w:cs="Arial"/>
                <w:b/>
              </w:rPr>
            </w:pPr>
            <w:r w:rsidRPr="004D2BCB">
              <w:rPr>
                <w:rFonts w:ascii="Arial" w:hAnsi="Arial" w:cs="Arial"/>
                <w:b/>
              </w:rPr>
              <w:t>Energy Savings (Base Case – Measure)</w:t>
            </w:r>
          </w:p>
        </w:tc>
        <w:tc>
          <w:tcPr>
            <w:tcW w:w="5487" w:type="dxa"/>
            <w:shd w:val="pct20" w:color="000000" w:fill="FFFFFF"/>
          </w:tcPr>
          <w:p w:rsidR="00D210F0" w:rsidRPr="004D2BCB" w:rsidRDefault="00D210F0" w:rsidP="00D210F0">
            <w:pPr>
              <w:rPr>
                <w:rFonts w:ascii="Arial" w:hAnsi="Arial" w:cs="Arial"/>
                <w:sz w:val="20"/>
                <w:szCs w:val="20"/>
              </w:rPr>
            </w:pPr>
            <w:r w:rsidRPr="004D2BCB">
              <w:rPr>
                <w:rFonts w:ascii="Arial" w:hAnsi="Arial" w:cs="Arial"/>
                <w:sz w:val="20"/>
                <w:szCs w:val="20"/>
              </w:rPr>
              <w:t>Source:  PECI Calculation.</w:t>
            </w:r>
          </w:p>
          <w:p w:rsidR="002C4F1C" w:rsidRPr="004D2BCB" w:rsidRDefault="00A125E7">
            <w:pPr>
              <w:rPr>
                <w:rFonts w:ascii="Arial" w:hAnsi="Arial" w:cs="Arial"/>
                <w:sz w:val="20"/>
                <w:szCs w:val="20"/>
              </w:rPr>
            </w:pPr>
            <w:r w:rsidRPr="004D2BCB">
              <w:rPr>
                <w:rFonts w:ascii="Arial" w:hAnsi="Arial" w:cs="Arial"/>
                <w:sz w:val="20"/>
                <w:szCs w:val="20"/>
              </w:rPr>
              <w:t>Varies: See Measure List</w:t>
            </w:r>
          </w:p>
        </w:tc>
      </w:tr>
      <w:tr w:rsidR="000571F6" w:rsidRPr="004D2BCB" w:rsidTr="00783DAC">
        <w:trPr>
          <w:trHeight w:val="465"/>
        </w:trPr>
        <w:tc>
          <w:tcPr>
            <w:tcW w:w="4161" w:type="dxa"/>
            <w:shd w:val="pct5" w:color="000000" w:fill="FFFFFF"/>
          </w:tcPr>
          <w:p w:rsidR="000571F6" w:rsidRPr="004D2BCB" w:rsidRDefault="000571F6" w:rsidP="0028709C">
            <w:pPr>
              <w:rPr>
                <w:rFonts w:ascii="Arial" w:hAnsi="Arial" w:cs="Arial"/>
                <w:b/>
              </w:rPr>
            </w:pPr>
            <w:r w:rsidRPr="004D2BCB">
              <w:rPr>
                <w:rFonts w:ascii="Arial" w:hAnsi="Arial" w:cs="Arial"/>
                <w:b/>
              </w:rPr>
              <w:t xml:space="preserve">Costs Common Units: </w:t>
            </w:r>
          </w:p>
        </w:tc>
        <w:tc>
          <w:tcPr>
            <w:tcW w:w="5487" w:type="dxa"/>
            <w:shd w:val="pct5" w:color="000000" w:fill="FFFFFF"/>
          </w:tcPr>
          <w:p w:rsidR="000571F6" w:rsidRPr="004D2BCB" w:rsidRDefault="00D210F0" w:rsidP="0028709C">
            <w:pPr>
              <w:rPr>
                <w:rFonts w:ascii="Arial" w:hAnsi="Arial" w:cs="Arial"/>
                <w:sz w:val="20"/>
                <w:szCs w:val="20"/>
              </w:rPr>
            </w:pPr>
            <w:r w:rsidRPr="004D2BCB">
              <w:rPr>
                <w:rFonts w:ascii="Arial" w:hAnsi="Arial" w:cs="Arial"/>
                <w:sz w:val="20"/>
                <w:szCs w:val="20"/>
              </w:rPr>
              <w:t>$ per luminaire</w:t>
            </w:r>
          </w:p>
        </w:tc>
      </w:tr>
      <w:tr w:rsidR="007B44FB" w:rsidRPr="004D2BCB" w:rsidTr="00783DAC">
        <w:trPr>
          <w:trHeight w:val="465"/>
        </w:trPr>
        <w:tc>
          <w:tcPr>
            <w:tcW w:w="4161" w:type="dxa"/>
            <w:shd w:val="pct20" w:color="000000" w:fill="FFFFFF"/>
          </w:tcPr>
          <w:p w:rsidR="00806EE8" w:rsidRPr="004D2BCB" w:rsidRDefault="007B44FB" w:rsidP="0028709C">
            <w:pPr>
              <w:rPr>
                <w:rFonts w:ascii="Arial" w:hAnsi="Arial" w:cs="Arial"/>
                <w:b/>
                <w:highlight w:val="cyan"/>
              </w:rPr>
            </w:pPr>
            <w:r w:rsidRPr="004D2BCB">
              <w:rPr>
                <w:rFonts w:ascii="Arial" w:hAnsi="Arial" w:cs="Arial"/>
                <w:b/>
              </w:rPr>
              <w:t>Base Case Equipment Cost ($/unit):</w:t>
            </w:r>
          </w:p>
        </w:tc>
        <w:tc>
          <w:tcPr>
            <w:tcW w:w="5487" w:type="dxa"/>
            <w:shd w:val="pct20" w:color="000000" w:fill="FFFFFF"/>
          </w:tcPr>
          <w:p w:rsidR="00683C25" w:rsidRPr="004D2BCB" w:rsidRDefault="00683C25" w:rsidP="00683C25">
            <w:pPr>
              <w:rPr>
                <w:rFonts w:ascii="Arial" w:hAnsi="Arial" w:cs="Arial"/>
                <w:sz w:val="20"/>
                <w:szCs w:val="20"/>
              </w:rPr>
            </w:pPr>
            <w:r w:rsidRPr="004D2BCB">
              <w:rPr>
                <w:rFonts w:ascii="Arial" w:hAnsi="Arial" w:cs="Arial"/>
                <w:sz w:val="20"/>
                <w:szCs w:val="20"/>
              </w:rPr>
              <w:t>Varies: See Measure List</w:t>
            </w:r>
          </w:p>
          <w:p w:rsidR="00D210F0" w:rsidRPr="004D2BCB" w:rsidRDefault="00683C25" w:rsidP="00683C25">
            <w:pPr>
              <w:rPr>
                <w:rFonts w:ascii="Arial" w:hAnsi="Arial" w:cs="Arial"/>
                <w:sz w:val="20"/>
                <w:szCs w:val="20"/>
              </w:rPr>
            </w:pPr>
            <w:r w:rsidRPr="004D2BCB">
              <w:rPr>
                <w:rFonts w:ascii="Arial" w:hAnsi="Arial" w:cs="Arial"/>
                <w:sz w:val="20"/>
                <w:szCs w:val="20"/>
              </w:rPr>
              <w:t>Source: Pricing from Vendor Quotes.</w:t>
            </w:r>
          </w:p>
        </w:tc>
      </w:tr>
      <w:tr w:rsidR="000571F6" w:rsidRPr="004D2BCB" w:rsidTr="00783DAC">
        <w:trPr>
          <w:trHeight w:val="465"/>
        </w:trPr>
        <w:tc>
          <w:tcPr>
            <w:tcW w:w="4161" w:type="dxa"/>
            <w:shd w:val="pct5" w:color="000000" w:fill="FFFFFF"/>
          </w:tcPr>
          <w:p w:rsidR="000571F6" w:rsidRPr="004D2BCB" w:rsidRDefault="000571F6" w:rsidP="0028709C">
            <w:pPr>
              <w:rPr>
                <w:rFonts w:ascii="Arial" w:hAnsi="Arial" w:cs="Arial"/>
                <w:b/>
              </w:rPr>
            </w:pPr>
            <w:r w:rsidRPr="004D2BCB">
              <w:rPr>
                <w:rFonts w:ascii="Arial" w:hAnsi="Arial" w:cs="Arial"/>
                <w:b/>
              </w:rPr>
              <w:t xml:space="preserve">Measure Equipment Cost ($/unit): </w:t>
            </w:r>
          </w:p>
        </w:tc>
        <w:tc>
          <w:tcPr>
            <w:tcW w:w="5487" w:type="dxa"/>
            <w:shd w:val="pct5" w:color="000000" w:fill="FFFFFF"/>
          </w:tcPr>
          <w:p w:rsidR="000571F6" w:rsidRPr="004D2BCB" w:rsidRDefault="00D210F0" w:rsidP="0028709C">
            <w:pPr>
              <w:rPr>
                <w:rFonts w:ascii="Arial" w:hAnsi="Arial" w:cs="Arial"/>
                <w:sz w:val="20"/>
                <w:szCs w:val="20"/>
              </w:rPr>
            </w:pPr>
            <w:r w:rsidRPr="004D2BCB">
              <w:rPr>
                <w:rFonts w:ascii="Arial" w:hAnsi="Arial" w:cs="Arial"/>
                <w:sz w:val="20"/>
                <w:szCs w:val="20"/>
              </w:rPr>
              <w:t>Varies: See Measure List</w:t>
            </w:r>
          </w:p>
          <w:p w:rsidR="00D210F0" w:rsidRPr="004D2BCB" w:rsidRDefault="00D210F0" w:rsidP="0028709C">
            <w:pPr>
              <w:rPr>
                <w:rFonts w:ascii="Arial" w:hAnsi="Arial" w:cs="Arial"/>
                <w:sz w:val="20"/>
                <w:szCs w:val="20"/>
              </w:rPr>
            </w:pPr>
            <w:r w:rsidRPr="004D2BCB">
              <w:rPr>
                <w:rFonts w:ascii="Arial" w:hAnsi="Arial" w:cs="Arial"/>
                <w:sz w:val="20"/>
                <w:szCs w:val="20"/>
              </w:rPr>
              <w:t>Source: Pricing from Vendor Quotes.</w:t>
            </w:r>
          </w:p>
        </w:tc>
      </w:tr>
      <w:tr w:rsidR="001E7CA0" w:rsidRPr="004D2BCB" w:rsidTr="00783DAC">
        <w:trPr>
          <w:trHeight w:val="465"/>
        </w:trPr>
        <w:tc>
          <w:tcPr>
            <w:tcW w:w="4161" w:type="dxa"/>
            <w:shd w:val="pct20" w:color="000000" w:fill="FFFFFF"/>
          </w:tcPr>
          <w:p w:rsidR="001E7CA0" w:rsidRPr="004D2BCB" w:rsidRDefault="001E7CA0" w:rsidP="0028709C">
            <w:pPr>
              <w:rPr>
                <w:rFonts w:ascii="Arial" w:hAnsi="Arial" w:cs="Arial"/>
                <w:b/>
              </w:rPr>
            </w:pPr>
            <w:r w:rsidRPr="004D2BCB">
              <w:rPr>
                <w:rFonts w:ascii="Arial" w:hAnsi="Arial" w:cs="Arial"/>
                <w:b/>
              </w:rPr>
              <w:t>Gross Measure Cost ($/unit)</w:t>
            </w:r>
          </w:p>
        </w:tc>
        <w:tc>
          <w:tcPr>
            <w:tcW w:w="5487" w:type="dxa"/>
            <w:shd w:val="pct20" w:color="000000" w:fill="FFFFFF"/>
          </w:tcPr>
          <w:p w:rsidR="0052431C" w:rsidRPr="004D2BCB" w:rsidRDefault="0052431C" w:rsidP="0052431C">
            <w:pPr>
              <w:rPr>
                <w:rFonts w:ascii="Arial" w:hAnsi="Arial" w:cs="Arial"/>
                <w:sz w:val="20"/>
                <w:szCs w:val="20"/>
              </w:rPr>
            </w:pPr>
            <w:r w:rsidRPr="004D2BCB">
              <w:rPr>
                <w:rFonts w:ascii="Arial" w:hAnsi="Arial" w:cs="Arial"/>
                <w:sz w:val="20"/>
                <w:szCs w:val="20"/>
              </w:rPr>
              <w:t>Varies: See Measure List</w:t>
            </w:r>
          </w:p>
          <w:p w:rsidR="001E7CA0" w:rsidRPr="004D2BCB" w:rsidRDefault="0052431C" w:rsidP="0052431C">
            <w:pPr>
              <w:rPr>
                <w:rFonts w:ascii="Arial" w:hAnsi="Arial" w:cs="Arial"/>
                <w:sz w:val="20"/>
                <w:szCs w:val="20"/>
              </w:rPr>
            </w:pPr>
            <w:r w:rsidRPr="004D2BCB">
              <w:rPr>
                <w:rFonts w:ascii="Arial" w:hAnsi="Arial" w:cs="Arial"/>
                <w:sz w:val="20"/>
                <w:szCs w:val="20"/>
              </w:rPr>
              <w:t>Source: Pricing from Vendor Quotes.</w:t>
            </w:r>
          </w:p>
        </w:tc>
      </w:tr>
      <w:tr w:rsidR="000571F6" w:rsidRPr="004D2BCB" w:rsidTr="00783DAC">
        <w:trPr>
          <w:trHeight w:val="465"/>
        </w:trPr>
        <w:tc>
          <w:tcPr>
            <w:tcW w:w="4161" w:type="dxa"/>
            <w:shd w:val="pct20" w:color="000000" w:fill="FFFFFF"/>
          </w:tcPr>
          <w:p w:rsidR="000571F6" w:rsidRPr="004D2BCB" w:rsidRDefault="000571F6" w:rsidP="0028709C">
            <w:pPr>
              <w:rPr>
                <w:rFonts w:ascii="Arial" w:hAnsi="Arial" w:cs="Arial"/>
                <w:b/>
              </w:rPr>
            </w:pPr>
            <w:bookmarkStart w:id="3" w:name="OLE_LINK1"/>
            <w:r w:rsidRPr="004D2BCB">
              <w:rPr>
                <w:rFonts w:ascii="Arial" w:hAnsi="Arial" w:cs="Arial"/>
                <w:b/>
              </w:rPr>
              <w:t xml:space="preserve">Measure Incremental Cost ($/unit): </w:t>
            </w:r>
            <w:bookmarkEnd w:id="3"/>
          </w:p>
        </w:tc>
        <w:tc>
          <w:tcPr>
            <w:tcW w:w="5487" w:type="dxa"/>
            <w:shd w:val="pct20" w:color="000000" w:fill="FFFFFF"/>
          </w:tcPr>
          <w:p w:rsidR="00121ADD" w:rsidRPr="004D2BCB" w:rsidRDefault="00121ADD" w:rsidP="0028709C">
            <w:pPr>
              <w:rPr>
                <w:rFonts w:ascii="Arial" w:hAnsi="Arial" w:cs="Arial"/>
                <w:sz w:val="20"/>
                <w:szCs w:val="20"/>
              </w:rPr>
            </w:pPr>
            <w:r w:rsidRPr="004D2BCB">
              <w:rPr>
                <w:rFonts w:ascii="Arial" w:hAnsi="Arial" w:cs="Arial"/>
                <w:sz w:val="20"/>
                <w:szCs w:val="20"/>
              </w:rPr>
              <w:t xml:space="preserve">Varies:  See Measure List </w:t>
            </w:r>
          </w:p>
          <w:p w:rsidR="00D16E24" w:rsidRPr="004D2BCB" w:rsidRDefault="007B44FB">
            <w:pPr>
              <w:rPr>
                <w:rFonts w:ascii="Arial" w:hAnsi="Arial" w:cs="Arial"/>
                <w:sz w:val="20"/>
                <w:szCs w:val="20"/>
              </w:rPr>
            </w:pPr>
            <w:r w:rsidRPr="004D2BCB">
              <w:rPr>
                <w:rFonts w:ascii="Arial" w:hAnsi="Arial" w:cs="Arial"/>
                <w:sz w:val="20"/>
                <w:szCs w:val="20"/>
              </w:rPr>
              <w:t xml:space="preserve">Source:  </w:t>
            </w:r>
            <w:r w:rsidR="00D210F0" w:rsidRPr="004D2BCB">
              <w:rPr>
                <w:rFonts w:ascii="Arial" w:hAnsi="Arial" w:cs="Arial"/>
                <w:sz w:val="20"/>
                <w:szCs w:val="20"/>
              </w:rPr>
              <w:t>PECI Calculation.</w:t>
            </w:r>
            <w:r w:rsidR="00D16E24" w:rsidRPr="004D2BCB">
              <w:rPr>
                <w:rFonts w:ascii="Arial" w:hAnsi="Arial" w:cs="Arial"/>
                <w:sz w:val="20"/>
                <w:szCs w:val="20"/>
              </w:rPr>
              <w:t xml:space="preserve">  </w:t>
            </w:r>
          </w:p>
        </w:tc>
      </w:tr>
      <w:tr w:rsidR="000571F6" w:rsidRPr="004D2BCB" w:rsidTr="00783DAC">
        <w:trPr>
          <w:trHeight w:val="465"/>
        </w:trPr>
        <w:tc>
          <w:tcPr>
            <w:tcW w:w="4161" w:type="dxa"/>
            <w:shd w:val="pct5" w:color="000000" w:fill="FFFFFF"/>
          </w:tcPr>
          <w:p w:rsidR="000571F6" w:rsidRPr="004D2BCB" w:rsidRDefault="000571F6" w:rsidP="0028709C">
            <w:pPr>
              <w:rPr>
                <w:rFonts w:ascii="Arial" w:hAnsi="Arial" w:cs="Arial"/>
                <w:b/>
              </w:rPr>
            </w:pPr>
            <w:r w:rsidRPr="004D2BCB">
              <w:rPr>
                <w:rFonts w:ascii="Arial" w:hAnsi="Arial" w:cs="Arial"/>
                <w:b/>
              </w:rPr>
              <w:t xml:space="preserve">Effective Useful Life (years): </w:t>
            </w:r>
          </w:p>
        </w:tc>
        <w:tc>
          <w:tcPr>
            <w:tcW w:w="5487" w:type="dxa"/>
            <w:shd w:val="pct5" w:color="000000" w:fill="FFFFFF"/>
          </w:tcPr>
          <w:p w:rsidR="00AD34B2" w:rsidRPr="004D2BCB" w:rsidRDefault="00E03431" w:rsidP="00D210F0">
            <w:pPr>
              <w:rPr>
                <w:rFonts w:ascii="Arial" w:hAnsi="Arial" w:cs="Arial"/>
                <w:sz w:val="20"/>
                <w:szCs w:val="20"/>
              </w:rPr>
            </w:pPr>
            <w:r w:rsidRPr="004D2BCB">
              <w:rPr>
                <w:rFonts w:ascii="Arial" w:hAnsi="Arial" w:cs="Arial"/>
                <w:sz w:val="20"/>
                <w:szCs w:val="20"/>
              </w:rPr>
              <w:t xml:space="preserve">Source:  </w:t>
            </w:r>
            <w:r w:rsidR="009F47DB" w:rsidRPr="004D2BCB">
              <w:rPr>
                <w:rFonts w:ascii="Arial" w:hAnsi="Arial" w:cs="Arial"/>
                <w:sz w:val="20"/>
                <w:szCs w:val="20"/>
              </w:rPr>
              <w:t>DEER 2016</w:t>
            </w:r>
            <w:r w:rsidR="00AD34B2" w:rsidRPr="004D2BCB">
              <w:rPr>
                <w:rFonts w:ascii="Arial" w:hAnsi="Arial" w:cs="Arial"/>
                <w:sz w:val="20"/>
                <w:szCs w:val="20"/>
              </w:rPr>
              <w:t xml:space="preserve"> </w:t>
            </w:r>
          </w:p>
          <w:p w:rsidR="00D210F0" w:rsidRPr="004D2BCB" w:rsidRDefault="00AD34B2" w:rsidP="00D210F0">
            <w:pPr>
              <w:rPr>
                <w:rFonts w:ascii="Arial" w:hAnsi="Arial" w:cs="Arial"/>
                <w:sz w:val="20"/>
                <w:szCs w:val="20"/>
              </w:rPr>
            </w:pPr>
            <w:proofErr w:type="spellStart"/>
            <w:r w:rsidRPr="004D2BCB">
              <w:rPr>
                <w:rFonts w:ascii="Arial" w:hAnsi="Arial" w:cs="Arial"/>
                <w:sz w:val="20"/>
                <w:szCs w:val="20"/>
              </w:rPr>
              <w:t>GrocDisp</w:t>
            </w:r>
            <w:proofErr w:type="spellEnd"/>
            <w:r w:rsidRPr="004D2BCB">
              <w:rPr>
                <w:rFonts w:ascii="Arial" w:hAnsi="Arial" w:cs="Arial"/>
                <w:sz w:val="20"/>
                <w:szCs w:val="20"/>
              </w:rPr>
              <w:t>-</w:t>
            </w:r>
            <w:proofErr w:type="spellStart"/>
            <w:r w:rsidRPr="004D2BCB">
              <w:rPr>
                <w:rFonts w:ascii="Arial" w:hAnsi="Arial" w:cs="Arial"/>
                <w:sz w:val="20"/>
                <w:szCs w:val="20"/>
              </w:rPr>
              <w:t>FixtLtg</w:t>
            </w:r>
            <w:proofErr w:type="spellEnd"/>
            <w:r w:rsidRPr="004D2BCB">
              <w:rPr>
                <w:rFonts w:ascii="Arial" w:hAnsi="Arial" w:cs="Arial"/>
                <w:sz w:val="20"/>
                <w:szCs w:val="20"/>
              </w:rPr>
              <w:t xml:space="preserve">-LED, </w:t>
            </w:r>
            <w:r w:rsidR="00D210F0" w:rsidRPr="004D2BCB">
              <w:rPr>
                <w:rFonts w:ascii="Arial" w:hAnsi="Arial" w:cs="Arial"/>
                <w:sz w:val="20"/>
                <w:szCs w:val="20"/>
              </w:rPr>
              <w:t>1</w:t>
            </w:r>
            <w:r w:rsidR="009F47DB" w:rsidRPr="004D2BCB">
              <w:rPr>
                <w:rFonts w:ascii="Arial" w:hAnsi="Arial" w:cs="Arial"/>
                <w:sz w:val="20"/>
                <w:szCs w:val="20"/>
              </w:rPr>
              <w:t>6</w:t>
            </w:r>
            <w:r w:rsidR="00D210F0" w:rsidRPr="004D2BCB">
              <w:rPr>
                <w:rFonts w:ascii="Arial" w:hAnsi="Arial" w:cs="Arial"/>
                <w:sz w:val="20"/>
                <w:szCs w:val="20"/>
              </w:rPr>
              <w:t xml:space="preserve"> years.</w:t>
            </w:r>
          </w:p>
        </w:tc>
      </w:tr>
      <w:tr w:rsidR="00530B04" w:rsidRPr="004D2BCB" w:rsidTr="00783DAC">
        <w:trPr>
          <w:trHeight w:val="465"/>
        </w:trPr>
        <w:tc>
          <w:tcPr>
            <w:tcW w:w="4161" w:type="dxa"/>
            <w:shd w:val="pct20" w:color="000000" w:fill="FFFFFF"/>
          </w:tcPr>
          <w:p w:rsidR="00530B04" w:rsidRPr="004D2BCB" w:rsidRDefault="00F8129B" w:rsidP="0028709C">
            <w:pPr>
              <w:rPr>
                <w:rFonts w:ascii="Arial" w:hAnsi="Arial" w:cs="Arial"/>
                <w:b/>
              </w:rPr>
            </w:pPr>
            <w:r w:rsidRPr="004D2BCB">
              <w:rPr>
                <w:rFonts w:ascii="Arial" w:hAnsi="Arial" w:cs="Arial"/>
                <w:b/>
              </w:rPr>
              <w:t xml:space="preserve">Measure Application </w:t>
            </w:r>
            <w:r w:rsidR="00695ED2" w:rsidRPr="004D2BCB">
              <w:rPr>
                <w:rFonts w:ascii="Arial" w:hAnsi="Arial" w:cs="Arial"/>
                <w:b/>
              </w:rPr>
              <w:t>Type:</w:t>
            </w:r>
          </w:p>
        </w:tc>
        <w:tc>
          <w:tcPr>
            <w:tcW w:w="5487" w:type="dxa"/>
            <w:shd w:val="pct20" w:color="000000" w:fill="FFFFFF"/>
          </w:tcPr>
          <w:p w:rsidR="00530B04" w:rsidRPr="004D2BCB" w:rsidRDefault="002A5CDC" w:rsidP="0028709C">
            <w:pPr>
              <w:rPr>
                <w:rFonts w:ascii="Arial" w:hAnsi="Arial" w:cs="Arial"/>
                <w:sz w:val="20"/>
                <w:szCs w:val="20"/>
              </w:rPr>
            </w:pPr>
            <w:r w:rsidRPr="004D2BCB">
              <w:rPr>
                <w:rFonts w:ascii="Arial" w:hAnsi="Arial" w:cs="Arial"/>
                <w:sz w:val="20"/>
                <w:szCs w:val="20"/>
              </w:rPr>
              <w:t>Replace on Burnout (ROB)</w:t>
            </w:r>
          </w:p>
        </w:tc>
      </w:tr>
      <w:tr w:rsidR="000571F6" w:rsidRPr="004D2BCB" w:rsidTr="00783DAC">
        <w:trPr>
          <w:trHeight w:val="465"/>
        </w:trPr>
        <w:tc>
          <w:tcPr>
            <w:tcW w:w="4161" w:type="dxa"/>
            <w:shd w:val="pct5" w:color="000000" w:fill="FFFFFF"/>
          </w:tcPr>
          <w:p w:rsidR="000571F6" w:rsidRPr="004D2BCB" w:rsidRDefault="000571F6" w:rsidP="0028709C">
            <w:pPr>
              <w:rPr>
                <w:rFonts w:ascii="Arial" w:hAnsi="Arial" w:cs="Arial"/>
                <w:b/>
              </w:rPr>
            </w:pPr>
            <w:r w:rsidRPr="004D2BCB">
              <w:rPr>
                <w:rFonts w:ascii="Arial" w:hAnsi="Arial" w:cs="Arial"/>
                <w:b/>
              </w:rPr>
              <w:t xml:space="preserve">Net-to-Gross Ratios: </w:t>
            </w:r>
          </w:p>
        </w:tc>
        <w:tc>
          <w:tcPr>
            <w:tcW w:w="5487" w:type="dxa"/>
            <w:shd w:val="pct5" w:color="000000" w:fill="FFFFFF"/>
          </w:tcPr>
          <w:p w:rsidR="00D210F0" w:rsidRPr="004D2BCB" w:rsidRDefault="00194E14" w:rsidP="00D210F0">
            <w:pPr>
              <w:rPr>
                <w:rFonts w:ascii="Arial" w:hAnsi="Arial" w:cs="Arial"/>
                <w:sz w:val="20"/>
                <w:szCs w:val="20"/>
              </w:rPr>
            </w:pPr>
            <w:r w:rsidRPr="004D2BCB">
              <w:rPr>
                <w:rFonts w:ascii="Arial" w:hAnsi="Arial" w:cs="Arial"/>
                <w:sz w:val="20"/>
                <w:szCs w:val="20"/>
              </w:rPr>
              <w:t xml:space="preserve">Source:  </w:t>
            </w:r>
            <w:r w:rsidR="00D210F0" w:rsidRPr="004D2BCB">
              <w:rPr>
                <w:rFonts w:ascii="Arial" w:hAnsi="Arial" w:cs="Arial"/>
                <w:sz w:val="20"/>
                <w:szCs w:val="20"/>
              </w:rPr>
              <w:t>DEER</w:t>
            </w:r>
            <w:r w:rsidR="00AD34B2" w:rsidRPr="004D2BCB">
              <w:rPr>
                <w:rFonts w:ascii="Arial" w:hAnsi="Arial" w:cs="Arial"/>
                <w:sz w:val="20"/>
                <w:szCs w:val="20"/>
              </w:rPr>
              <w:t xml:space="preserve"> 2016</w:t>
            </w:r>
            <w:r w:rsidR="00D210F0" w:rsidRPr="004D2BCB">
              <w:rPr>
                <w:rFonts w:ascii="Arial" w:hAnsi="Arial" w:cs="Arial"/>
                <w:sz w:val="20"/>
                <w:szCs w:val="20"/>
              </w:rPr>
              <w:t xml:space="preserve"> </w:t>
            </w:r>
          </w:p>
          <w:p w:rsidR="00D210F0" w:rsidRPr="004D2BCB" w:rsidRDefault="00AD34B2" w:rsidP="00683C25">
            <w:pPr>
              <w:rPr>
                <w:rFonts w:ascii="Arial" w:hAnsi="Arial" w:cs="Arial"/>
                <w:sz w:val="20"/>
                <w:szCs w:val="20"/>
              </w:rPr>
            </w:pPr>
            <w:r w:rsidRPr="004D2BCB">
              <w:rPr>
                <w:rFonts w:ascii="Arial" w:hAnsi="Arial" w:cs="Arial"/>
                <w:sz w:val="20"/>
                <w:szCs w:val="20"/>
              </w:rPr>
              <w:t xml:space="preserve">Com-Default&gt;2yrs, </w:t>
            </w:r>
            <w:r w:rsidR="00D210F0" w:rsidRPr="004D2BCB">
              <w:rPr>
                <w:rFonts w:ascii="Arial" w:hAnsi="Arial" w:cs="Arial"/>
                <w:sz w:val="20"/>
                <w:szCs w:val="20"/>
              </w:rPr>
              <w:t>0.</w:t>
            </w:r>
            <w:r w:rsidR="00683C25" w:rsidRPr="004D2BCB">
              <w:rPr>
                <w:rFonts w:ascii="Arial" w:hAnsi="Arial" w:cs="Arial"/>
                <w:sz w:val="20"/>
                <w:szCs w:val="20"/>
              </w:rPr>
              <w:t>6</w:t>
            </w:r>
          </w:p>
        </w:tc>
      </w:tr>
      <w:tr w:rsidR="00127CC8" w:rsidRPr="004D2BCB" w:rsidTr="00783DAC">
        <w:trPr>
          <w:trHeight w:val="465"/>
        </w:trPr>
        <w:tc>
          <w:tcPr>
            <w:tcW w:w="4161" w:type="dxa"/>
            <w:shd w:val="pct20" w:color="000000" w:fill="FFFFFF"/>
          </w:tcPr>
          <w:p w:rsidR="00127CC8" w:rsidRPr="004D2BCB" w:rsidRDefault="00127CC8" w:rsidP="0028709C">
            <w:pPr>
              <w:rPr>
                <w:rFonts w:ascii="Arial" w:hAnsi="Arial" w:cs="Arial"/>
                <w:b/>
              </w:rPr>
            </w:pPr>
            <w:r w:rsidRPr="004D2BCB">
              <w:rPr>
                <w:rFonts w:ascii="Arial" w:hAnsi="Arial" w:cs="Arial"/>
                <w:b/>
              </w:rPr>
              <w:t>Important Comments:</w:t>
            </w:r>
          </w:p>
        </w:tc>
        <w:tc>
          <w:tcPr>
            <w:tcW w:w="5487" w:type="dxa"/>
            <w:shd w:val="pct20" w:color="000000" w:fill="FFFFFF"/>
          </w:tcPr>
          <w:p w:rsidR="00CD6046" w:rsidRPr="004D2BCB" w:rsidRDefault="00CD6046" w:rsidP="0028709C">
            <w:pPr>
              <w:rPr>
                <w:rFonts w:ascii="Arial" w:hAnsi="Arial" w:cs="Arial"/>
                <w:sz w:val="20"/>
                <w:szCs w:val="20"/>
              </w:rPr>
            </w:pPr>
          </w:p>
        </w:tc>
      </w:tr>
    </w:tbl>
    <w:p w:rsidR="00282F89" w:rsidRPr="004D2BCB" w:rsidRDefault="00282F89" w:rsidP="00A360E7">
      <w:pPr>
        <w:pStyle w:val="Heading1"/>
      </w:pPr>
      <w:bookmarkStart w:id="4" w:name="_Toc174189524"/>
      <w:r w:rsidRPr="004D2BCB">
        <w:br w:type="page"/>
      </w:r>
    </w:p>
    <w:p w:rsidR="00E71EF1" w:rsidRPr="004D2BCB" w:rsidRDefault="00E71EF1">
      <w:pPr>
        <w:pStyle w:val="Heading1"/>
      </w:pPr>
      <w:bookmarkStart w:id="5" w:name="_Toc438047452"/>
      <w:bookmarkEnd w:id="4"/>
      <w:r w:rsidRPr="004D2BCB">
        <w:lastRenderedPageBreak/>
        <w:t>Document Revision History</w:t>
      </w:r>
      <w:bookmarkEnd w:id="5"/>
    </w:p>
    <w:p w:rsidR="00E91C15" w:rsidRPr="004D2BCB" w:rsidRDefault="007F1E48" w:rsidP="001A573F">
      <w:pPr>
        <w:rPr>
          <w:rFonts w:ascii="Arial" w:hAnsi="Arial" w:cs="Arial"/>
        </w:rPr>
      </w:pPr>
      <w:r w:rsidRPr="004D2BCB">
        <w:rPr>
          <w:rFonts w:ascii="Arial" w:hAnsi="Arial" w:cs="Arial"/>
        </w:rPr>
        <w:t xml:space="preserve">     </w:t>
      </w:r>
      <w:r w:rsidR="00E91C15" w:rsidRPr="004D2BCB">
        <w:rPr>
          <w:rFonts w:ascii="Arial" w:hAnsi="Arial" w:cs="Arial"/>
        </w:rPr>
        <w:tab/>
      </w:r>
      <w:r w:rsidR="00E91C15" w:rsidRPr="004D2BCB">
        <w:rPr>
          <w:rFonts w:ascii="Arial" w:hAnsi="Arial" w:cs="Arial"/>
        </w:rPr>
        <w:tab/>
      </w:r>
      <w:r w:rsidR="00E91C15" w:rsidRPr="004D2BCB">
        <w:rPr>
          <w:rFonts w:ascii="Arial" w:hAnsi="Arial" w:cs="Arial"/>
        </w:rPr>
        <w:tab/>
      </w:r>
      <w:r w:rsidR="00E91C15" w:rsidRPr="004D2BCB">
        <w:rPr>
          <w:rFonts w:ascii="Arial" w:hAnsi="Arial" w:cs="Arial"/>
        </w:rPr>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0374A5" w:rsidRPr="004D2BCB" w:rsidTr="000374A5">
        <w:trPr>
          <w:trHeight w:val="464"/>
        </w:trPr>
        <w:tc>
          <w:tcPr>
            <w:tcW w:w="870" w:type="pct"/>
            <w:tcBorders>
              <w:top w:val="nil"/>
              <w:bottom w:val="single" w:sz="18" w:space="0" w:color="FFFFFF"/>
            </w:tcBorders>
            <w:shd w:val="pct20" w:color="000000" w:fill="FFFFFF"/>
          </w:tcPr>
          <w:p w:rsidR="000374A5" w:rsidRPr="004D2BCB" w:rsidRDefault="000374A5" w:rsidP="000374A5">
            <w:pPr>
              <w:jc w:val="center"/>
              <w:rPr>
                <w:rFonts w:ascii="Arial" w:hAnsi="Arial" w:cs="Arial"/>
                <w:b/>
              </w:rPr>
            </w:pPr>
            <w:r w:rsidRPr="004D2BCB">
              <w:rPr>
                <w:rFonts w:ascii="Arial" w:hAnsi="Arial" w:cs="Arial"/>
                <w:b/>
              </w:rPr>
              <w:t>Revision #</w:t>
            </w:r>
            <w:r w:rsidRPr="004D2BCB">
              <w:rPr>
                <w:rFonts w:ascii="Arial" w:hAnsi="Arial" w:cs="Arial"/>
                <w:b/>
              </w:rPr>
              <w:tab/>
            </w:r>
          </w:p>
        </w:tc>
        <w:tc>
          <w:tcPr>
            <w:tcW w:w="746" w:type="pct"/>
            <w:tcBorders>
              <w:top w:val="nil"/>
              <w:bottom w:val="single" w:sz="18" w:space="0" w:color="FFFFFF"/>
            </w:tcBorders>
            <w:shd w:val="pct20" w:color="000000" w:fill="FFFFFF"/>
          </w:tcPr>
          <w:p w:rsidR="000374A5" w:rsidRPr="004D2BCB" w:rsidRDefault="000374A5" w:rsidP="000374A5">
            <w:pPr>
              <w:jc w:val="center"/>
              <w:rPr>
                <w:rFonts w:ascii="Arial" w:hAnsi="Arial" w:cs="Arial"/>
                <w:b/>
              </w:rPr>
            </w:pPr>
            <w:r w:rsidRPr="004D2BCB">
              <w:rPr>
                <w:rFonts w:ascii="Arial" w:hAnsi="Arial" w:cs="Arial"/>
                <w:b/>
              </w:rPr>
              <w:t xml:space="preserve">Date </w:t>
            </w:r>
            <w:r w:rsidRPr="004D2BCB">
              <w:rPr>
                <w:rFonts w:ascii="Arial" w:hAnsi="Arial" w:cs="Arial"/>
                <w:b/>
              </w:rPr>
              <w:tab/>
            </w:r>
          </w:p>
        </w:tc>
        <w:tc>
          <w:tcPr>
            <w:tcW w:w="1692" w:type="pct"/>
            <w:tcBorders>
              <w:top w:val="nil"/>
              <w:bottom w:val="single" w:sz="18" w:space="0" w:color="FFFFFF"/>
            </w:tcBorders>
            <w:shd w:val="pct20" w:color="000000" w:fill="FFFFFF"/>
          </w:tcPr>
          <w:p w:rsidR="000374A5" w:rsidRPr="004D2BCB" w:rsidRDefault="000374A5" w:rsidP="000374A5">
            <w:pPr>
              <w:jc w:val="center"/>
              <w:rPr>
                <w:rFonts w:ascii="Arial" w:hAnsi="Arial" w:cs="Arial"/>
                <w:b/>
              </w:rPr>
            </w:pPr>
            <w:r w:rsidRPr="004D2BCB">
              <w:rPr>
                <w:rFonts w:ascii="Arial" w:hAnsi="Arial" w:cs="Arial"/>
                <w:b/>
              </w:rPr>
              <w:t>Section by Section Description of Revisions</w:t>
            </w:r>
          </w:p>
        </w:tc>
        <w:tc>
          <w:tcPr>
            <w:tcW w:w="1692" w:type="pct"/>
            <w:tcBorders>
              <w:top w:val="nil"/>
              <w:bottom w:val="single" w:sz="18" w:space="0" w:color="FFFFFF"/>
            </w:tcBorders>
            <w:shd w:val="pct20" w:color="000000" w:fill="FFFFFF"/>
          </w:tcPr>
          <w:p w:rsidR="000374A5" w:rsidRPr="004D2BCB" w:rsidRDefault="000374A5" w:rsidP="000374A5">
            <w:pPr>
              <w:jc w:val="center"/>
              <w:rPr>
                <w:rFonts w:ascii="Arial" w:hAnsi="Arial" w:cs="Arial"/>
                <w:b/>
              </w:rPr>
            </w:pPr>
            <w:r w:rsidRPr="004D2BCB">
              <w:rPr>
                <w:rFonts w:ascii="Arial" w:hAnsi="Arial" w:cs="Arial"/>
                <w:b/>
              </w:rPr>
              <w:t>Author (Company)</w:t>
            </w:r>
          </w:p>
        </w:tc>
      </w:tr>
      <w:tr w:rsidR="00E91C15" w:rsidRPr="004D2BCB" w:rsidTr="00312A1F">
        <w:trPr>
          <w:trHeight w:val="464"/>
        </w:trPr>
        <w:tc>
          <w:tcPr>
            <w:tcW w:w="870" w:type="pct"/>
            <w:tcBorders>
              <w:top w:val="single" w:sz="18" w:space="0" w:color="FFFFFF"/>
              <w:bottom w:val="single" w:sz="18" w:space="0" w:color="FFFFFF"/>
            </w:tcBorders>
            <w:shd w:val="pct20" w:color="000000" w:fill="FFFFFF"/>
          </w:tcPr>
          <w:p w:rsidR="00E91C15" w:rsidRPr="004D2BCB" w:rsidRDefault="00E91C15" w:rsidP="00312A1F">
            <w:pPr>
              <w:jc w:val="center"/>
              <w:rPr>
                <w:rFonts w:ascii="Arial" w:hAnsi="Arial" w:cs="Arial"/>
                <w:b/>
              </w:rPr>
            </w:pPr>
            <w:r w:rsidRPr="004D2BCB">
              <w:rPr>
                <w:rFonts w:ascii="Arial" w:hAnsi="Arial" w:cs="Arial"/>
                <w:b/>
              </w:rPr>
              <w:t>Revision 0</w:t>
            </w:r>
          </w:p>
        </w:tc>
        <w:tc>
          <w:tcPr>
            <w:tcW w:w="746" w:type="pct"/>
            <w:tcBorders>
              <w:top w:val="single" w:sz="18" w:space="0" w:color="FFFFFF"/>
              <w:bottom w:val="single" w:sz="18" w:space="0" w:color="FFFFFF"/>
            </w:tcBorders>
            <w:shd w:val="pct20" w:color="000000" w:fill="FFFFFF"/>
          </w:tcPr>
          <w:p w:rsidR="00E91C15" w:rsidRPr="004D2BCB" w:rsidRDefault="00497EDC">
            <w:pPr>
              <w:rPr>
                <w:rFonts w:ascii="Arial" w:hAnsi="Arial" w:cs="Arial"/>
                <w:bCs/>
                <w:sz w:val="20"/>
                <w:szCs w:val="20"/>
              </w:rPr>
            </w:pPr>
            <w:r w:rsidRPr="004D2BCB">
              <w:rPr>
                <w:rFonts w:ascii="Arial" w:hAnsi="Arial" w:cs="Arial"/>
                <w:bCs/>
                <w:sz w:val="20"/>
                <w:szCs w:val="20"/>
              </w:rPr>
              <w:t>5/31/2012</w:t>
            </w:r>
          </w:p>
        </w:tc>
        <w:tc>
          <w:tcPr>
            <w:tcW w:w="1692" w:type="pct"/>
            <w:tcBorders>
              <w:top w:val="single" w:sz="18" w:space="0" w:color="FFFFFF"/>
              <w:bottom w:val="single" w:sz="18" w:space="0" w:color="FFFFFF"/>
            </w:tcBorders>
            <w:shd w:val="pct20" w:color="000000" w:fill="FFFFFF"/>
          </w:tcPr>
          <w:p w:rsidR="00E91C15" w:rsidRPr="004D2BCB" w:rsidRDefault="00E91C15">
            <w:pPr>
              <w:rPr>
                <w:rFonts w:ascii="Arial" w:hAnsi="Arial" w:cs="Arial"/>
                <w:bCs/>
                <w:sz w:val="20"/>
                <w:szCs w:val="20"/>
              </w:rPr>
            </w:pPr>
            <w:r w:rsidRPr="004D2BCB">
              <w:rPr>
                <w:rFonts w:ascii="Arial" w:hAnsi="Arial" w:cs="Arial"/>
                <w:bCs/>
                <w:sz w:val="20"/>
                <w:szCs w:val="20"/>
              </w:rPr>
              <w:t>Original work paper</w:t>
            </w:r>
          </w:p>
        </w:tc>
        <w:tc>
          <w:tcPr>
            <w:tcW w:w="1692" w:type="pct"/>
            <w:tcBorders>
              <w:top w:val="single" w:sz="18" w:space="0" w:color="FFFFFF"/>
              <w:bottom w:val="single" w:sz="18" w:space="0" w:color="FFFFFF"/>
            </w:tcBorders>
            <w:shd w:val="pct20" w:color="000000" w:fill="FFFFFF"/>
          </w:tcPr>
          <w:p w:rsidR="00E91C15" w:rsidRPr="004D2BCB" w:rsidRDefault="00497EDC">
            <w:pPr>
              <w:rPr>
                <w:rFonts w:ascii="Arial" w:hAnsi="Arial" w:cs="Arial"/>
                <w:bCs/>
                <w:sz w:val="20"/>
                <w:szCs w:val="20"/>
              </w:rPr>
            </w:pPr>
            <w:r w:rsidRPr="004D2BCB">
              <w:rPr>
                <w:rFonts w:ascii="Arial" w:hAnsi="Arial" w:cs="Arial"/>
                <w:bCs/>
                <w:sz w:val="20"/>
                <w:szCs w:val="20"/>
              </w:rPr>
              <w:t>W. Ben Wright, PECI</w:t>
            </w:r>
          </w:p>
        </w:tc>
      </w:tr>
      <w:tr w:rsidR="00121ADD" w:rsidRPr="004D2BCB" w:rsidTr="000374A5">
        <w:trPr>
          <w:trHeight w:val="464"/>
        </w:trPr>
        <w:tc>
          <w:tcPr>
            <w:tcW w:w="870" w:type="pct"/>
            <w:tcBorders>
              <w:top w:val="single" w:sz="18" w:space="0" w:color="FFFFFF"/>
            </w:tcBorders>
            <w:shd w:val="pct20" w:color="000000" w:fill="FFFFFF"/>
          </w:tcPr>
          <w:p w:rsidR="00121ADD" w:rsidRPr="004D2BCB" w:rsidRDefault="00121ADD" w:rsidP="00121ADD">
            <w:pPr>
              <w:jc w:val="center"/>
              <w:rPr>
                <w:rFonts w:ascii="Arial" w:hAnsi="Arial" w:cs="Arial"/>
                <w:b/>
              </w:rPr>
            </w:pPr>
            <w:r w:rsidRPr="004D2BCB">
              <w:rPr>
                <w:rFonts w:ascii="Arial" w:hAnsi="Arial" w:cs="Arial"/>
                <w:b/>
              </w:rPr>
              <w:t>Revision 1</w:t>
            </w:r>
          </w:p>
        </w:tc>
        <w:tc>
          <w:tcPr>
            <w:tcW w:w="746" w:type="pct"/>
            <w:tcBorders>
              <w:top w:val="single" w:sz="18" w:space="0" w:color="FFFFFF"/>
            </w:tcBorders>
            <w:shd w:val="pct20" w:color="000000" w:fill="FFFFFF"/>
          </w:tcPr>
          <w:p w:rsidR="00121ADD" w:rsidRPr="004D2BCB" w:rsidRDefault="00AD0879" w:rsidP="003F1CCD">
            <w:pPr>
              <w:rPr>
                <w:rFonts w:ascii="Arial" w:hAnsi="Arial" w:cs="Arial"/>
                <w:bCs/>
                <w:sz w:val="20"/>
                <w:szCs w:val="20"/>
              </w:rPr>
            </w:pPr>
            <w:r w:rsidRPr="004D2BCB">
              <w:rPr>
                <w:rFonts w:ascii="Arial" w:hAnsi="Arial" w:cs="Arial"/>
                <w:bCs/>
                <w:sz w:val="20"/>
                <w:szCs w:val="20"/>
              </w:rPr>
              <w:t>5</w:t>
            </w:r>
            <w:r w:rsidR="00121ADD" w:rsidRPr="004D2BCB">
              <w:rPr>
                <w:rFonts w:ascii="Arial" w:hAnsi="Arial" w:cs="Arial"/>
                <w:bCs/>
                <w:sz w:val="20"/>
                <w:szCs w:val="20"/>
              </w:rPr>
              <w:t>/</w:t>
            </w:r>
            <w:r w:rsidR="003F1CCD" w:rsidRPr="004D2BCB">
              <w:rPr>
                <w:rFonts w:ascii="Arial" w:hAnsi="Arial" w:cs="Arial"/>
                <w:bCs/>
                <w:sz w:val="20"/>
                <w:szCs w:val="20"/>
              </w:rPr>
              <w:t>29</w:t>
            </w:r>
            <w:r w:rsidR="00121ADD" w:rsidRPr="004D2BCB">
              <w:rPr>
                <w:rFonts w:ascii="Arial" w:hAnsi="Arial" w:cs="Arial"/>
                <w:bCs/>
                <w:sz w:val="20"/>
                <w:szCs w:val="20"/>
              </w:rPr>
              <w:t>/2014</w:t>
            </w:r>
          </w:p>
        </w:tc>
        <w:tc>
          <w:tcPr>
            <w:tcW w:w="1692" w:type="pct"/>
            <w:tcBorders>
              <w:top w:val="single" w:sz="18" w:space="0" w:color="FFFFFF"/>
            </w:tcBorders>
            <w:shd w:val="pct20" w:color="000000" w:fill="FFFFFF"/>
          </w:tcPr>
          <w:p w:rsidR="00121ADD" w:rsidRPr="004D2BCB" w:rsidRDefault="00121ADD" w:rsidP="00121ADD">
            <w:pPr>
              <w:rPr>
                <w:rFonts w:ascii="Arial" w:hAnsi="Arial" w:cs="Arial"/>
                <w:bCs/>
                <w:sz w:val="20"/>
                <w:szCs w:val="20"/>
              </w:rPr>
            </w:pPr>
            <w:r w:rsidRPr="004D2BCB">
              <w:rPr>
                <w:rFonts w:ascii="Arial" w:hAnsi="Arial" w:cs="Arial"/>
                <w:bCs/>
                <w:sz w:val="20"/>
                <w:szCs w:val="20"/>
              </w:rPr>
              <w:t>Update 2014 weather files. Format update per PG&amp;E guidelines</w:t>
            </w:r>
          </w:p>
        </w:tc>
        <w:tc>
          <w:tcPr>
            <w:tcW w:w="1692" w:type="pct"/>
            <w:tcBorders>
              <w:top w:val="single" w:sz="18" w:space="0" w:color="FFFFFF"/>
            </w:tcBorders>
            <w:shd w:val="pct20" w:color="000000" w:fill="FFFFFF"/>
          </w:tcPr>
          <w:p w:rsidR="00121ADD" w:rsidRPr="004D2BCB" w:rsidRDefault="00953425" w:rsidP="00121ADD">
            <w:pPr>
              <w:rPr>
                <w:rFonts w:ascii="Arial" w:hAnsi="Arial" w:cs="Arial"/>
                <w:bCs/>
                <w:sz w:val="20"/>
                <w:szCs w:val="20"/>
              </w:rPr>
            </w:pPr>
            <w:proofErr w:type="spellStart"/>
            <w:r w:rsidRPr="004D2BCB">
              <w:rPr>
                <w:rFonts w:ascii="Arial" w:hAnsi="Arial" w:cs="Arial"/>
                <w:bCs/>
                <w:sz w:val="20"/>
                <w:szCs w:val="20"/>
              </w:rPr>
              <w:t>Ioana</w:t>
            </w:r>
            <w:proofErr w:type="spellEnd"/>
            <w:r w:rsidRPr="004D2BCB">
              <w:rPr>
                <w:rFonts w:ascii="Arial" w:hAnsi="Arial" w:cs="Arial"/>
                <w:bCs/>
                <w:sz w:val="20"/>
                <w:szCs w:val="20"/>
              </w:rPr>
              <w:t xml:space="preserve"> </w:t>
            </w:r>
            <w:proofErr w:type="spellStart"/>
            <w:r w:rsidRPr="004D2BCB">
              <w:rPr>
                <w:rFonts w:ascii="Arial" w:hAnsi="Arial" w:cs="Arial"/>
                <w:bCs/>
                <w:sz w:val="20"/>
                <w:szCs w:val="20"/>
              </w:rPr>
              <w:t>Anghel</w:t>
            </w:r>
            <w:proofErr w:type="spellEnd"/>
            <w:r w:rsidRPr="004D2BCB">
              <w:rPr>
                <w:rFonts w:ascii="Arial" w:hAnsi="Arial" w:cs="Arial"/>
                <w:bCs/>
                <w:sz w:val="20"/>
                <w:szCs w:val="20"/>
              </w:rPr>
              <w:t xml:space="preserve">, </w:t>
            </w:r>
            <w:r w:rsidR="00121ADD" w:rsidRPr="004D2BCB">
              <w:rPr>
                <w:rFonts w:ascii="Arial" w:hAnsi="Arial" w:cs="Arial"/>
                <w:bCs/>
                <w:sz w:val="20"/>
                <w:szCs w:val="20"/>
              </w:rPr>
              <w:t>PECI</w:t>
            </w:r>
          </w:p>
          <w:p w:rsidR="00953425" w:rsidRPr="004D2BCB" w:rsidRDefault="00953425" w:rsidP="00121ADD">
            <w:pPr>
              <w:rPr>
                <w:rFonts w:ascii="Arial" w:hAnsi="Arial" w:cs="Arial"/>
                <w:bCs/>
                <w:sz w:val="20"/>
                <w:szCs w:val="20"/>
              </w:rPr>
            </w:pPr>
            <w:r w:rsidRPr="004D2BCB">
              <w:rPr>
                <w:rFonts w:ascii="Arial" w:hAnsi="Arial" w:cs="Arial"/>
                <w:bCs/>
                <w:sz w:val="20"/>
                <w:szCs w:val="20"/>
              </w:rPr>
              <w:t>Ben Wright, PE, PECI</w:t>
            </w:r>
          </w:p>
          <w:p w:rsidR="001603A4" w:rsidRPr="004D2BCB" w:rsidRDefault="001603A4" w:rsidP="00121ADD">
            <w:pPr>
              <w:rPr>
                <w:rFonts w:ascii="Arial" w:hAnsi="Arial" w:cs="Arial"/>
                <w:bCs/>
                <w:sz w:val="20"/>
                <w:szCs w:val="20"/>
              </w:rPr>
            </w:pPr>
            <w:proofErr w:type="spellStart"/>
            <w:r w:rsidRPr="004D2BCB">
              <w:rPr>
                <w:rFonts w:ascii="Arial" w:hAnsi="Arial" w:cs="Arial"/>
                <w:bCs/>
                <w:sz w:val="20"/>
                <w:szCs w:val="20"/>
              </w:rPr>
              <w:t>Ky</w:t>
            </w:r>
            <w:proofErr w:type="spellEnd"/>
            <w:r w:rsidRPr="004D2BCB">
              <w:rPr>
                <w:rFonts w:ascii="Arial" w:hAnsi="Arial" w:cs="Arial"/>
                <w:bCs/>
                <w:sz w:val="20"/>
                <w:szCs w:val="20"/>
              </w:rPr>
              <w:t xml:space="preserve"> </w:t>
            </w:r>
            <w:proofErr w:type="spellStart"/>
            <w:r w:rsidRPr="004D2BCB">
              <w:rPr>
                <w:rFonts w:ascii="Arial" w:hAnsi="Arial" w:cs="Arial"/>
                <w:bCs/>
                <w:sz w:val="20"/>
                <w:szCs w:val="20"/>
              </w:rPr>
              <w:t>Gruenfeldt</w:t>
            </w:r>
            <w:proofErr w:type="spellEnd"/>
            <w:r w:rsidRPr="004D2BCB">
              <w:rPr>
                <w:rFonts w:ascii="Arial" w:hAnsi="Arial" w:cs="Arial"/>
                <w:bCs/>
                <w:sz w:val="20"/>
                <w:szCs w:val="20"/>
              </w:rPr>
              <w:t>-Roy, PECI</w:t>
            </w:r>
          </w:p>
          <w:p w:rsidR="00AD0879" w:rsidRPr="004D2BCB" w:rsidRDefault="00AD0879" w:rsidP="00121ADD">
            <w:pPr>
              <w:rPr>
                <w:rFonts w:ascii="Arial" w:hAnsi="Arial" w:cs="Arial"/>
                <w:bCs/>
                <w:sz w:val="20"/>
                <w:szCs w:val="20"/>
              </w:rPr>
            </w:pPr>
            <w:r w:rsidRPr="004D2BCB">
              <w:rPr>
                <w:rFonts w:ascii="Arial" w:hAnsi="Arial" w:cs="Arial"/>
                <w:bCs/>
                <w:sz w:val="20"/>
                <w:szCs w:val="20"/>
              </w:rPr>
              <w:t>Tai Voong (PG&amp;E)</w:t>
            </w:r>
          </w:p>
        </w:tc>
      </w:tr>
      <w:tr w:rsidR="00FF6638" w:rsidRPr="004D2BCB" w:rsidTr="00FF6638">
        <w:trPr>
          <w:trHeight w:val="464"/>
        </w:trPr>
        <w:tc>
          <w:tcPr>
            <w:tcW w:w="870" w:type="pct"/>
            <w:tcBorders>
              <w:top w:val="single" w:sz="18" w:space="0" w:color="FFFFFF"/>
              <w:right w:val="single" w:sz="18" w:space="0" w:color="FFFFFF"/>
            </w:tcBorders>
            <w:shd w:val="pct20" w:color="000000" w:fill="FFFFFF"/>
          </w:tcPr>
          <w:p w:rsidR="00FF6638" w:rsidRPr="004D2BCB" w:rsidRDefault="00FF6638" w:rsidP="009861DE">
            <w:pPr>
              <w:jc w:val="center"/>
              <w:rPr>
                <w:rFonts w:ascii="Arial" w:hAnsi="Arial" w:cs="Arial"/>
                <w:b/>
              </w:rPr>
            </w:pPr>
            <w:bookmarkStart w:id="6" w:name="_Toc186621650"/>
            <w:r w:rsidRPr="004D2BCB">
              <w:rPr>
                <w:rFonts w:ascii="Arial" w:hAnsi="Arial" w:cs="Arial"/>
                <w:b/>
              </w:rPr>
              <w:t>Revision 2</w:t>
            </w:r>
          </w:p>
        </w:tc>
        <w:tc>
          <w:tcPr>
            <w:tcW w:w="746" w:type="pct"/>
            <w:tcBorders>
              <w:top w:val="single" w:sz="18" w:space="0" w:color="FFFFFF"/>
              <w:left w:val="single" w:sz="18" w:space="0" w:color="FFFFFF"/>
              <w:right w:val="single" w:sz="18" w:space="0" w:color="FFFFFF"/>
            </w:tcBorders>
            <w:shd w:val="pct20" w:color="000000" w:fill="FFFFFF"/>
          </w:tcPr>
          <w:p w:rsidR="00FF6638" w:rsidRPr="004D2BCB" w:rsidRDefault="000464D5" w:rsidP="009861DE">
            <w:pPr>
              <w:rPr>
                <w:rFonts w:ascii="Arial" w:hAnsi="Arial" w:cs="Arial"/>
                <w:bCs/>
                <w:sz w:val="20"/>
                <w:szCs w:val="20"/>
              </w:rPr>
            </w:pPr>
            <w:r w:rsidRPr="004D2BCB">
              <w:rPr>
                <w:rFonts w:ascii="Arial" w:hAnsi="Arial" w:cs="Arial"/>
                <w:bCs/>
                <w:sz w:val="20"/>
                <w:szCs w:val="20"/>
              </w:rPr>
              <w:t>1/1/2016</w:t>
            </w:r>
          </w:p>
        </w:tc>
        <w:tc>
          <w:tcPr>
            <w:tcW w:w="1692" w:type="pct"/>
            <w:tcBorders>
              <w:top w:val="single" w:sz="18" w:space="0" w:color="FFFFFF"/>
              <w:left w:val="single" w:sz="18" w:space="0" w:color="FFFFFF"/>
              <w:right w:val="single" w:sz="18" w:space="0" w:color="FFFFFF"/>
            </w:tcBorders>
            <w:shd w:val="pct20" w:color="000000" w:fill="FFFFFF"/>
          </w:tcPr>
          <w:p w:rsidR="00FF6638" w:rsidRPr="004D2BCB" w:rsidRDefault="009F47DB" w:rsidP="009861DE">
            <w:pPr>
              <w:rPr>
                <w:rFonts w:ascii="Arial" w:hAnsi="Arial" w:cs="Arial"/>
                <w:bCs/>
                <w:sz w:val="20"/>
                <w:szCs w:val="20"/>
              </w:rPr>
            </w:pPr>
            <w:r w:rsidRPr="004D2BCB">
              <w:rPr>
                <w:rFonts w:ascii="Arial" w:hAnsi="Arial" w:cs="Arial"/>
                <w:bCs/>
                <w:sz w:val="20"/>
                <w:szCs w:val="20"/>
              </w:rPr>
              <w:t>Update for DEER2016</w:t>
            </w:r>
          </w:p>
          <w:p w:rsidR="009F47DB" w:rsidRPr="004D2BCB" w:rsidRDefault="009F47DB">
            <w:pPr>
              <w:rPr>
                <w:rFonts w:ascii="Arial" w:hAnsi="Arial" w:cs="Arial"/>
                <w:bCs/>
                <w:sz w:val="20"/>
                <w:szCs w:val="20"/>
              </w:rPr>
            </w:pPr>
            <w:r w:rsidRPr="004D2BCB">
              <w:rPr>
                <w:rFonts w:ascii="Arial" w:hAnsi="Arial" w:cs="Arial"/>
                <w:bCs/>
                <w:sz w:val="20"/>
                <w:szCs w:val="20"/>
              </w:rPr>
              <w:t>Updated annual hours, coincidence factor, EUL, and load shape.</w:t>
            </w:r>
          </w:p>
        </w:tc>
        <w:tc>
          <w:tcPr>
            <w:tcW w:w="1692" w:type="pct"/>
            <w:tcBorders>
              <w:top w:val="single" w:sz="18" w:space="0" w:color="FFFFFF"/>
              <w:left w:val="single" w:sz="18" w:space="0" w:color="FFFFFF"/>
            </w:tcBorders>
            <w:shd w:val="pct20" w:color="000000" w:fill="FFFFFF"/>
          </w:tcPr>
          <w:p w:rsidR="00FF6638" w:rsidRPr="004D2BCB" w:rsidRDefault="000464D5" w:rsidP="009861DE">
            <w:pPr>
              <w:rPr>
                <w:rFonts w:ascii="Arial" w:hAnsi="Arial" w:cs="Arial"/>
                <w:bCs/>
                <w:sz w:val="20"/>
                <w:szCs w:val="20"/>
              </w:rPr>
            </w:pPr>
            <w:r w:rsidRPr="004D2BCB">
              <w:rPr>
                <w:rFonts w:ascii="Arial" w:hAnsi="Arial" w:cs="Arial"/>
                <w:bCs/>
                <w:sz w:val="20"/>
                <w:szCs w:val="20"/>
              </w:rPr>
              <w:t>Henry Liu (PG&amp;E)</w:t>
            </w:r>
          </w:p>
        </w:tc>
      </w:tr>
    </w:tbl>
    <w:p w:rsidR="00A81E0D" w:rsidRPr="004D2BCB" w:rsidRDefault="00A81E0D" w:rsidP="00774447">
      <w:pPr>
        <w:rPr>
          <w:rFonts w:ascii="Arial" w:hAnsi="Arial" w:cs="Arial"/>
          <w:highlight w:val="cyan"/>
        </w:rPr>
      </w:pPr>
      <w:bookmarkStart w:id="7" w:name="_Toc304800197"/>
    </w:p>
    <w:p w:rsidR="00E71EF1" w:rsidRPr="004D2BCB" w:rsidRDefault="00E71EF1" w:rsidP="00774447">
      <w:pPr>
        <w:rPr>
          <w:rStyle w:val="Heading1Char"/>
        </w:rPr>
      </w:pPr>
      <w:r w:rsidRPr="00390130">
        <w:rPr>
          <w:rFonts w:ascii="Arial" w:hAnsi="Arial" w:cs="Arial"/>
        </w:rPr>
        <w:br w:type="page"/>
      </w:r>
      <w:bookmarkStart w:id="8" w:name="_Toc438047453"/>
      <w:r w:rsidR="001248A3" w:rsidRPr="004D2BCB">
        <w:rPr>
          <w:rStyle w:val="Heading1Char"/>
        </w:rPr>
        <w:lastRenderedPageBreak/>
        <w:t>Table</w:t>
      </w:r>
      <w:r w:rsidR="006559C8" w:rsidRPr="004D2BCB">
        <w:rPr>
          <w:rStyle w:val="Heading1Char"/>
        </w:rPr>
        <w:t xml:space="preserve"> of Contents</w:t>
      </w:r>
      <w:bookmarkEnd w:id="6"/>
      <w:bookmarkEnd w:id="7"/>
      <w:bookmarkEnd w:id="8"/>
    </w:p>
    <w:p w:rsidR="006E3616" w:rsidRPr="006E3616" w:rsidRDefault="009F6F8B">
      <w:pPr>
        <w:pStyle w:val="TOC1"/>
        <w:tabs>
          <w:tab w:val="right" w:leader="dot" w:pos="9350"/>
        </w:tabs>
        <w:rPr>
          <w:rFonts w:ascii="Arial" w:eastAsiaTheme="minorEastAsia" w:hAnsi="Arial" w:cs="Arial"/>
          <w:noProof/>
          <w:sz w:val="22"/>
          <w:szCs w:val="22"/>
        </w:rPr>
      </w:pPr>
      <w:r w:rsidRPr="006E3616">
        <w:rPr>
          <w:rFonts w:ascii="Arial" w:hAnsi="Arial" w:cs="Arial"/>
          <w:b/>
          <w:bCs/>
        </w:rPr>
        <w:fldChar w:fldCharType="begin"/>
      </w:r>
      <w:r w:rsidRPr="006E3616">
        <w:rPr>
          <w:rFonts w:ascii="Arial" w:hAnsi="Arial" w:cs="Arial"/>
          <w:b/>
          <w:bCs/>
        </w:rPr>
        <w:instrText xml:space="preserve"> TOC \o "1-3" \h \z \u </w:instrText>
      </w:r>
      <w:r w:rsidRPr="006E3616">
        <w:rPr>
          <w:rFonts w:ascii="Arial" w:hAnsi="Arial" w:cs="Arial"/>
          <w:b/>
          <w:bCs/>
        </w:rPr>
        <w:fldChar w:fldCharType="separate"/>
      </w:r>
      <w:hyperlink w:anchor="_Toc438047451" w:history="1">
        <w:r w:rsidR="006E3616" w:rsidRPr="006E3616">
          <w:rPr>
            <w:rStyle w:val="Hyperlink"/>
            <w:rFonts w:ascii="Arial" w:hAnsi="Arial" w:cs="Arial"/>
            <w:noProof/>
          </w:rPr>
          <w:t>At-a-Glance Summary</w:t>
        </w:r>
        <w:r w:rsidR="006E3616" w:rsidRPr="006E3616">
          <w:rPr>
            <w:rFonts w:ascii="Arial" w:hAnsi="Arial" w:cs="Arial"/>
            <w:noProof/>
            <w:webHidden/>
          </w:rPr>
          <w:tab/>
        </w:r>
        <w:r w:rsidR="006E3616" w:rsidRPr="006E3616">
          <w:rPr>
            <w:rFonts w:ascii="Arial" w:hAnsi="Arial" w:cs="Arial"/>
            <w:noProof/>
            <w:webHidden/>
          </w:rPr>
          <w:fldChar w:fldCharType="begin"/>
        </w:r>
        <w:r w:rsidR="006E3616" w:rsidRPr="006E3616">
          <w:rPr>
            <w:rFonts w:ascii="Arial" w:hAnsi="Arial" w:cs="Arial"/>
            <w:noProof/>
            <w:webHidden/>
          </w:rPr>
          <w:instrText xml:space="preserve"> PAGEREF _Toc438047451 \h </w:instrText>
        </w:r>
        <w:r w:rsidR="006E3616" w:rsidRPr="006E3616">
          <w:rPr>
            <w:rFonts w:ascii="Arial" w:hAnsi="Arial" w:cs="Arial"/>
            <w:noProof/>
            <w:webHidden/>
          </w:rPr>
        </w:r>
        <w:r w:rsidR="006E3616" w:rsidRPr="006E3616">
          <w:rPr>
            <w:rFonts w:ascii="Arial" w:hAnsi="Arial" w:cs="Arial"/>
            <w:noProof/>
            <w:webHidden/>
          </w:rPr>
          <w:fldChar w:fldCharType="separate"/>
        </w:r>
        <w:r w:rsidR="006E3616" w:rsidRPr="006E3616">
          <w:rPr>
            <w:rFonts w:ascii="Arial" w:hAnsi="Arial" w:cs="Arial"/>
            <w:noProof/>
            <w:webHidden/>
          </w:rPr>
          <w:t>ii</w:t>
        </w:r>
        <w:r w:rsidR="006E3616" w:rsidRPr="006E3616">
          <w:rPr>
            <w:rFonts w:ascii="Arial" w:hAnsi="Arial" w:cs="Arial"/>
            <w:noProof/>
            <w:webHidden/>
          </w:rPr>
          <w:fldChar w:fldCharType="end"/>
        </w:r>
      </w:hyperlink>
    </w:p>
    <w:p w:rsidR="006E3616" w:rsidRPr="006E3616" w:rsidRDefault="006E3616">
      <w:pPr>
        <w:pStyle w:val="TOC1"/>
        <w:tabs>
          <w:tab w:val="right" w:leader="dot" w:pos="9350"/>
        </w:tabs>
        <w:rPr>
          <w:rFonts w:ascii="Arial" w:eastAsiaTheme="minorEastAsia" w:hAnsi="Arial" w:cs="Arial"/>
          <w:noProof/>
          <w:sz w:val="22"/>
          <w:szCs w:val="22"/>
        </w:rPr>
      </w:pPr>
      <w:hyperlink w:anchor="_Toc438047452" w:history="1">
        <w:r w:rsidRPr="006E3616">
          <w:rPr>
            <w:rStyle w:val="Hyperlink"/>
            <w:rFonts w:ascii="Arial" w:hAnsi="Arial" w:cs="Arial"/>
            <w:noProof/>
          </w:rPr>
          <w:t>Document Revision History</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_Toc438047452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iii</w:t>
        </w:r>
        <w:r w:rsidRPr="006E3616">
          <w:rPr>
            <w:rFonts w:ascii="Arial" w:hAnsi="Arial" w:cs="Arial"/>
            <w:noProof/>
            <w:webHidden/>
          </w:rPr>
          <w:fldChar w:fldCharType="end"/>
        </w:r>
      </w:hyperlink>
    </w:p>
    <w:p w:rsidR="006E3616" w:rsidRPr="006E3616" w:rsidRDefault="006E3616">
      <w:pPr>
        <w:pStyle w:val="TOC1"/>
        <w:tabs>
          <w:tab w:val="right" w:leader="dot" w:pos="9350"/>
        </w:tabs>
        <w:rPr>
          <w:rFonts w:ascii="Arial" w:eastAsiaTheme="minorEastAsia" w:hAnsi="Arial" w:cs="Arial"/>
          <w:noProof/>
          <w:sz w:val="22"/>
          <w:szCs w:val="22"/>
        </w:rPr>
      </w:pPr>
      <w:hyperlink w:anchor="_Toc438047453" w:history="1">
        <w:r w:rsidRPr="006E3616">
          <w:rPr>
            <w:rStyle w:val="Hyperlink"/>
            <w:rFonts w:ascii="Arial" w:hAnsi="Arial" w:cs="Arial"/>
            <w:noProof/>
          </w:rPr>
          <w:t>Table of Contents</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_Toc438047453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iv</w:t>
        </w:r>
        <w:r w:rsidRPr="006E3616">
          <w:rPr>
            <w:rFonts w:ascii="Arial" w:hAnsi="Arial" w:cs="Arial"/>
            <w:noProof/>
            <w:webHidden/>
          </w:rPr>
          <w:fldChar w:fldCharType="end"/>
        </w:r>
      </w:hyperlink>
    </w:p>
    <w:p w:rsidR="006E3616" w:rsidRPr="006E3616" w:rsidRDefault="006E3616">
      <w:pPr>
        <w:pStyle w:val="TOC1"/>
        <w:tabs>
          <w:tab w:val="right" w:leader="dot" w:pos="9350"/>
        </w:tabs>
        <w:rPr>
          <w:rFonts w:ascii="Arial" w:eastAsiaTheme="minorEastAsia" w:hAnsi="Arial" w:cs="Arial"/>
          <w:noProof/>
          <w:sz w:val="22"/>
          <w:szCs w:val="22"/>
        </w:rPr>
      </w:pPr>
      <w:hyperlink w:anchor="_Toc438047454" w:history="1">
        <w:r w:rsidRPr="006E3616">
          <w:rPr>
            <w:rStyle w:val="Hyperlink"/>
            <w:rFonts w:ascii="Arial" w:hAnsi="Arial" w:cs="Arial"/>
            <w:noProof/>
          </w:rPr>
          <w:t>List of Tables</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_Toc438047454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v</w:t>
        </w:r>
        <w:r w:rsidRPr="006E3616">
          <w:rPr>
            <w:rFonts w:ascii="Arial" w:hAnsi="Arial" w:cs="Arial"/>
            <w:noProof/>
            <w:webHidden/>
          </w:rPr>
          <w:fldChar w:fldCharType="end"/>
        </w:r>
      </w:hyperlink>
    </w:p>
    <w:p w:rsidR="006E3616" w:rsidRPr="006E3616" w:rsidRDefault="006E3616">
      <w:pPr>
        <w:pStyle w:val="TOC1"/>
        <w:tabs>
          <w:tab w:val="right" w:leader="dot" w:pos="9350"/>
        </w:tabs>
        <w:rPr>
          <w:rFonts w:ascii="Arial" w:eastAsiaTheme="minorEastAsia" w:hAnsi="Arial" w:cs="Arial"/>
          <w:noProof/>
          <w:sz w:val="22"/>
          <w:szCs w:val="22"/>
        </w:rPr>
      </w:pPr>
      <w:hyperlink w:anchor="_Toc438047455" w:history="1">
        <w:r w:rsidRPr="006E3616">
          <w:rPr>
            <w:rStyle w:val="Hyperlink"/>
            <w:rFonts w:ascii="Arial" w:hAnsi="Arial" w:cs="Arial"/>
            <w:noProof/>
          </w:rPr>
          <w:t>Section 1. General Measure &amp; Baseline Data</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_Toc438047455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1</w:t>
        </w:r>
        <w:r w:rsidRPr="006E3616">
          <w:rPr>
            <w:rFonts w:ascii="Arial" w:hAnsi="Arial" w:cs="Arial"/>
            <w:noProof/>
            <w:webHidden/>
          </w:rPr>
          <w:fldChar w:fldCharType="end"/>
        </w:r>
      </w:hyperlink>
    </w:p>
    <w:p w:rsidR="006E3616" w:rsidRPr="006E3616" w:rsidRDefault="006E3616">
      <w:pPr>
        <w:pStyle w:val="TOC2"/>
        <w:tabs>
          <w:tab w:val="right" w:leader="dot" w:pos="9350"/>
        </w:tabs>
        <w:rPr>
          <w:rFonts w:ascii="Arial" w:eastAsiaTheme="minorEastAsia" w:hAnsi="Arial" w:cs="Arial"/>
          <w:noProof/>
          <w:sz w:val="22"/>
          <w:szCs w:val="22"/>
        </w:rPr>
      </w:pPr>
      <w:hyperlink w:anchor="_Toc438047456" w:history="1">
        <w:r w:rsidRPr="006E3616">
          <w:rPr>
            <w:rStyle w:val="Hyperlink"/>
            <w:rFonts w:ascii="Arial" w:hAnsi="Arial" w:cs="Arial"/>
            <w:noProof/>
          </w:rPr>
          <w:t>1.1 Product Measure Description &amp; Background</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_Toc438047456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1</w:t>
        </w:r>
        <w:r w:rsidRPr="006E3616">
          <w:rPr>
            <w:rFonts w:ascii="Arial" w:hAnsi="Arial" w:cs="Arial"/>
            <w:noProof/>
            <w:webHidden/>
          </w:rPr>
          <w:fldChar w:fldCharType="end"/>
        </w:r>
      </w:hyperlink>
    </w:p>
    <w:p w:rsidR="006E3616" w:rsidRPr="006E3616" w:rsidRDefault="006E3616">
      <w:pPr>
        <w:pStyle w:val="TOC2"/>
        <w:tabs>
          <w:tab w:val="right" w:leader="dot" w:pos="9350"/>
        </w:tabs>
        <w:rPr>
          <w:rFonts w:ascii="Arial" w:eastAsiaTheme="minorEastAsia" w:hAnsi="Arial" w:cs="Arial"/>
          <w:noProof/>
          <w:sz w:val="22"/>
          <w:szCs w:val="22"/>
        </w:rPr>
      </w:pPr>
      <w:hyperlink w:anchor="_Toc438047457" w:history="1">
        <w:r w:rsidRPr="006E3616">
          <w:rPr>
            <w:rStyle w:val="Hyperlink"/>
            <w:rFonts w:ascii="Arial" w:hAnsi="Arial" w:cs="Arial"/>
            <w:noProof/>
          </w:rPr>
          <w:t>1.2 Product Technical Description</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_Toc438047457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2</w:t>
        </w:r>
        <w:r w:rsidRPr="006E3616">
          <w:rPr>
            <w:rFonts w:ascii="Arial" w:hAnsi="Arial" w:cs="Arial"/>
            <w:noProof/>
            <w:webHidden/>
          </w:rPr>
          <w:fldChar w:fldCharType="end"/>
        </w:r>
      </w:hyperlink>
    </w:p>
    <w:p w:rsidR="006E3616" w:rsidRPr="006E3616" w:rsidRDefault="006E3616">
      <w:pPr>
        <w:pStyle w:val="TOC2"/>
        <w:tabs>
          <w:tab w:val="right" w:leader="dot" w:pos="9350"/>
        </w:tabs>
        <w:rPr>
          <w:rFonts w:ascii="Arial" w:eastAsiaTheme="minorEastAsia" w:hAnsi="Arial" w:cs="Arial"/>
          <w:noProof/>
          <w:sz w:val="22"/>
          <w:szCs w:val="22"/>
        </w:rPr>
      </w:pPr>
      <w:hyperlink w:anchor="_Toc438047458" w:history="1">
        <w:r w:rsidRPr="006E3616">
          <w:rPr>
            <w:rStyle w:val="Hyperlink"/>
            <w:rFonts w:ascii="Arial" w:hAnsi="Arial" w:cs="Arial"/>
            <w:noProof/>
          </w:rPr>
          <w:t>1.3 Measure Application Type</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_Toc438047458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2</w:t>
        </w:r>
        <w:r w:rsidRPr="006E3616">
          <w:rPr>
            <w:rFonts w:ascii="Arial" w:hAnsi="Arial" w:cs="Arial"/>
            <w:noProof/>
            <w:webHidden/>
          </w:rPr>
          <w:fldChar w:fldCharType="end"/>
        </w:r>
      </w:hyperlink>
    </w:p>
    <w:p w:rsidR="006E3616" w:rsidRPr="006E3616" w:rsidRDefault="006E3616">
      <w:pPr>
        <w:pStyle w:val="TOC2"/>
        <w:tabs>
          <w:tab w:val="right" w:leader="dot" w:pos="9350"/>
        </w:tabs>
        <w:rPr>
          <w:rFonts w:ascii="Arial" w:eastAsiaTheme="minorEastAsia" w:hAnsi="Arial" w:cs="Arial"/>
          <w:noProof/>
          <w:sz w:val="22"/>
          <w:szCs w:val="22"/>
        </w:rPr>
      </w:pPr>
      <w:hyperlink w:anchor="_Toc438047459" w:history="1">
        <w:r w:rsidRPr="006E3616">
          <w:rPr>
            <w:rStyle w:val="Hyperlink"/>
            <w:rFonts w:ascii="Arial" w:hAnsi="Arial" w:cs="Arial"/>
            <w:noProof/>
          </w:rPr>
          <w:t>1.4 Product Base Case and Measure Case Data</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_Toc438047459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3</w:t>
        </w:r>
        <w:r w:rsidRPr="006E3616">
          <w:rPr>
            <w:rFonts w:ascii="Arial" w:hAnsi="Arial" w:cs="Arial"/>
            <w:noProof/>
            <w:webHidden/>
          </w:rPr>
          <w:fldChar w:fldCharType="end"/>
        </w:r>
      </w:hyperlink>
    </w:p>
    <w:p w:rsidR="006E3616" w:rsidRPr="006E3616" w:rsidRDefault="006E3616">
      <w:pPr>
        <w:pStyle w:val="TOC3"/>
        <w:tabs>
          <w:tab w:val="left" w:pos="1320"/>
          <w:tab w:val="right" w:leader="dot" w:pos="9350"/>
        </w:tabs>
        <w:rPr>
          <w:rFonts w:ascii="Arial" w:eastAsiaTheme="minorEastAsia" w:hAnsi="Arial" w:cs="Arial"/>
          <w:noProof/>
          <w:sz w:val="22"/>
          <w:szCs w:val="22"/>
        </w:rPr>
      </w:pPr>
      <w:hyperlink w:anchor="_Toc438047460" w:history="1">
        <w:r w:rsidRPr="006E3616">
          <w:rPr>
            <w:rStyle w:val="Hyperlink"/>
            <w:rFonts w:ascii="Arial" w:hAnsi="Arial" w:cs="Arial"/>
            <w:noProof/>
          </w:rPr>
          <w:t>1.4.1</w:t>
        </w:r>
        <w:r w:rsidRPr="006E3616">
          <w:rPr>
            <w:rFonts w:ascii="Arial" w:eastAsiaTheme="minorEastAsia" w:hAnsi="Arial" w:cs="Arial"/>
            <w:noProof/>
            <w:sz w:val="22"/>
            <w:szCs w:val="22"/>
          </w:rPr>
          <w:t xml:space="preserve"> </w:t>
        </w:r>
        <w:r w:rsidRPr="006E3616">
          <w:rPr>
            <w:rStyle w:val="Hyperlink"/>
            <w:rFonts w:ascii="Arial" w:hAnsi="Arial" w:cs="Arial"/>
            <w:noProof/>
          </w:rPr>
          <w:t>DEER Base Case and Measure Case Information</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_Toc438047460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3</w:t>
        </w:r>
        <w:r w:rsidRPr="006E3616">
          <w:rPr>
            <w:rFonts w:ascii="Arial" w:hAnsi="Arial" w:cs="Arial"/>
            <w:noProof/>
            <w:webHidden/>
          </w:rPr>
          <w:fldChar w:fldCharType="end"/>
        </w:r>
      </w:hyperlink>
    </w:p>
    <w:p w:rsidR="006E3616" w:rsidRPr="006E3616" w:rsidRDefault="006E3616">
      <w:pPr>
        <w:pStyle w:val="TOC3"/>
        <w:tabs>
          <w:tab w:val="right" w:leader="dot" w:pos="9350"/>
        </w:tabs>
        <w:rPr>
          <w:rFonts w:ascii="Arial" w:eastAsiaTheme="minorEastAsia" w:hAnsi="Arial" w:cs="Arial"/>
          <w:noProof/>
          <w:sz w:val="22"/>
          <w:szCs w:val="22"/>
        </w:rPr>
      </w:pPr>
      <w:hyperlink w:anchor="_Toc438047461" w:history="1">
        <w:r w:rsidRPr="006E3616">
          <w:rPr>
            <w:rStyle w:val="Hyperlink"/>
            <w:rFonts w:ascii="Arial" w:hAnsi="Arial" w:cs="Arial"/>
            <w:noProof/>
          </w:rPr>
          <w:t>1.4.2 Codes &amp; Standards Requirements Base Case and Measure Information</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_Toc438047461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3</w:t>
        </w:r>
        <w:r w:rsidRPr="006E3616">
          <w:rPr>
            <w:rFonts w:ascii="Arial" w:hAnsi="Arial" w:cs="Arial"/>
            <w:noProof/>
            <w:webHidden/>
          </w:rPr>
          <w:fldChar w:fldCharType="end"/>
        </w:r>
      </w:hyperlink>
    </w:p>
    <w:p w:rsidR="006E3616" w:rsidRPr="006E3616" w:rsidRDefault="006E3616">
      <w:pPr>
        <w:pStyle w:val="TOC3"/>
        <w:tabs>
          <w:tab w:val="right" w:leader="dot" w:pos="9350"/>
        </w:tabs>
        <w:rPr>
          <w:rFonts w:ascii="Arial" w:eastAsiaTheme="minorEastAsia" w:hAnsi="Arial" w:cs="Arial"/>
          <w:noProof/>
          <w:sz w:val="22"/>
          <w:szCs w:val="22"/>
        </w:rPr>
      </w:pPr>
      <w:hyperlink w:anchor="_Toc438047462" w:history="1">
        <w:r w:rsidRPr="006E3616">
          <w:rPr>
            <w:rStyle w:val="Hyperlink"/>
            <w:rFonts w:ascii="Arial" w:hAnsi="Arial" w:cs="Arial"/>
            <w:noProof/>
          </w:rPr>
          <w:t>1.4.3 EM&amp;V, Market Potential, and Other Studies – Base Case and Measure Case Information</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_Toc438047462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4</w:t>
        </w:r>
        <w:r w:rsidRPr="006E3616">
          <w:rPr>
            <w:rFonts w:ascii="Arial" w:hAnsi="Arial" w:cs="Arial"/>
            <w:noProof/>
            <w:webHidden/>
          </w:rPr>
          <w:fldChar w:fldCharType="end"/>
        </w:r>
      </w:hyperlink>
    </w:p>
    <w:p w:rsidR="006E3616" w:rsidRPr="006E3616" w:rsidRDefault="006E3616">
      <w:pPr>
        <w:pStyle w:val="TOC3"/>
        <w:tabs>
          <w:tab w:val="right" w:leader="dot" w:pos="9350"/>
        </w:tabs>
        <w:rPr>
          <w:rFonts w:ascii="Arial" w:eastAsiaTheme="minorEastAsia" w:hAnsi="Arial" w:cs="Arial"/>
          <w:noProof/>
          <w:sz w:val="22"/>
          <w:szCs w:val="22"/>
        </w:rPr>
      </w:pPr>
      <w:hyperlink w:anchor="_Toc438047463" w:history="1">
        <w:r w:rsidRPr="006E3616">
          <w:rPr>
            <w:rStyle w:val="Hyperlink"/>
            <w:rFonts w:ascii="Arial" w:hAnsi="Arial" w:cs="Arial"/>
            <w:noProof/>
          </w:rPr>
          <w:t>1.4.4 Assumptions and Calculations from other sources—Base and Measure Cases</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_Toc438047463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4</w:t>
        </w:r>
        <w:r w:rsidRPr="006E3616">
          <w:rPr>
            <w:rFonts w:ascii="Arial" w:hAnsi="Arial" w:cs="Arial"/>
            <w:noProof/>
            <w:webHidden/>
          </w:rPr>
          <w:fldChar w:fldCharType="end"/>
        </w:r>
      </w:hyperlink>
    </w:p>
    <w:p w:rsidR="006E3616" w:rsidRPr="006E3616" w:rsidRDefault="006E3616">
      <w:pPr>
        <w:pStyle w:val="TOC3"/>
        <w:tabs>
          <w:tab w:val="right" w:leader="dot" w:pos="9350"/>
        </w:tabs>
        <w:rPr>
          <w:rFonts w:ascii="Arial" w:eastAsiaTheme="minorEastAsia" w:hAnsi="Arial" w:cs="Arial"/>
          <w:noProof/>
          <w:sz w:val="22"/>
          <w:szCs w:val="22"/>
        </w:rPr>
      </w:pPr>
      <w:hyperlink w:anchor="_Toc438047464" w:history="1">
        <w:r w:rsidRPr="006E3616">
          <w:rPr>
            <w:rStyle w:val="Hyperlink"/>
            <w:rFonts w:ascii="Arial" w:hAnsi="Arial" w:cs="Arial"/>
            <w:noProof/>
          </w:rPr>
          <w:t>1.4.5 Time-of-Use Adjustment Factor</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_Toc438047464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4</w:t>
        </w:r>
        <w:r w:rsidRPr="006E3616">
          <w:rPr>
            <w:rFonts w:ascii="Arial" w:hAnsi="Arial" w:cs="Arial"/>
            <w:noProof/>
            <w:webHidden/>
          </w:rPr>
          <w:fldChar w:fldCharType="end"/>
        </w:r>
      </w:hyperlink>
    </w:p>
    <w:p w:rsidR="006E3616" w:rsidRPr="006E3616" w:rsidRDefault="006E3616">
      <w:pPr>
        <w:pStyle w:val="TOC2"/>
        <w:tabs>
          <w:tab w:val="right" w:leader="dot" w:pos="9350"/>
        </w:tabs>
        <w:rPr>
          <w:rFonts w:ascii="Arial" w:eastAsiaTheme="minorEastAsia" w:hAnsi="Arial" w:cs="Arial"/>
          <w:noProof/>
          <w:sz w:val="22"/>
          <w:szCs w:val="22"/>
        </w:rPr>
      </w:pPr>
      <w:hyperlink w:anchor="_Toc438047465" w:history="1">
        <w:r w:rsidRPr="006E3616">
          <w:rPr>
            <w:rStyle w:val="Hyperlink"/>
            <w:rFonts w:ascii="Arial" w:hAnsi="Arial" w:cs="Arial"/>
            <w:noProof/>
          </w:rPr>
          <w:t>1.5 Summary of Inputs for Savings Calculations</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_Toc438047465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5</w:t>
        </w:r>
        <w:r w:rsidRPr="006E3616">
          <w:rPr>
            <w:rFonts w:ascii="Arial" w:hAnsi="Arial" w:cs="Arial"/>
            <w:noProof/>
            <w:webHidden/>
          </w:rPr>
          <w:fldChar w:fldCharType="end"/>
        </w:r>
      </w:hyperlink>
    </w:p>
    <w:p w:rsidR="006E3616" w:rsidRPr="006E3616" w:rsidRDefault="006E3616">
      <w:pPr>
        <w:pStyle w:val="TOC1"/>
        <w:tabs>
          <w:tab w:val="right" w:leader="dot" w:pos="9350"/>
        </w:tabs>
        <w:rPr>
          <w:rFonts w:ascii="Arial" w:eastAsiaTheme="minorEastAsia" w:hAnsi="Arial" w:cs="Arial"/>
          <w:noProof/>
          <w:sz w:val="22"/>
          <w:szCs w:val="22"/>
        </w:rPr>
      </w:pPr>
      <w:hyperlink w:anchor="_Toc438047466" w:history="1">
        <w:r w:rsidRPr="006E3616">
          <w:rPr>
            <w:rStyle w:val="Hyperlink"/>
            <w:rFonts w:ascii="Arial" w:hAnsi="Arial" w:cs="Arial"/>
            <w:noProof/>
          </w:rPr>
          <w:t>Section 2. Calculation Methods</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_Toc438047466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7</w:t>
        </w:r>
        <w:r w:rsidRPr="006E3616">
          <w:rPr>
            <w:rFonts w:ascii="Arial" w:hAnsi="Arial" w:cs="Arial"/>
            <w:noProof/>
            <w:webHidden/>
          </w:rPr>
          <w:fldChar w:fldCharType="end"/>
        </w:r>
      </w:hyperlink>
    </w:p>
    <w:p w:rsidR="006E3616" w:rsidRPr="006E3616" w:rsidRDefault="006E3616">
      <w:pPr>
        <w:pStyle w:val="TOC2"/>
        <w:tabs>
          <w:tab w:val="right" w:leader="dot" w:pos="9350"/>
        </w:tabs>
        <w:rPr>
          <w:rFonts w:ascii="Arial" w:eastAsiaTheme="minorEastAsia" w:hAnsi="Arial" w:cs="Arial"/>
          <w:noProof/>
          <w:sz w:val="22"/>
          <w:szCs w:val="22"/>
        </w:rPr>
      </w:pPr>
      <w:hyperlink w:anchor="_Toc438047467" w:history="1">
        <w:r w:rsidRPr="006E3616">
          <w:rPr>
            <w:rStyle w:val="Hyperlink"/>
            <w:rFonts w:ascii="Arial" w:hAnsi="Arial" w:cs="Arial"/>
            <w:noProof/>
          </w:rPr>
          <w:t>Measure Application Type</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_Toc438047467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7</w:t>
        </w:r>
        <w:r w:rsidRPr="006E3616">
          <w:rPr>
            <w:rFonts w:ascii="Arial" w:hAnsi="Arial" w:cs="Arial"/>
            <w:noProof/>
            <w:webHidden/>
          </w:rPr>
          <w:fldChar w:fldCharType="end"/>
        </w:r>
      </w:hyperlink>
    </w:p>
    <w:p w:rsidR="006E3616" w:rsidRPr="006E3616" w:rsidRDefault="006E3616">
      <w:pPr>
        <w:pStyle w:val="TOC2"/>
        <w:tabs>
          <w:tab w:val="right" w:leader="dot" w:pos="9350"/>
        </w:tabs>
        <w:rPr>
          <w:rFonts w:ascii="Arial" w:eastAsiaTheme="minorEastAsia" w:hAnsi="Arial" w:cs="Arial"/>
          <w:noProof/>
          <w:sz w:val="22"/>
          <w:szCs w:val="22"/>
        </w:rPr>
      </w:pPr>
      <w:hyperlink w:anchor="_Toc438047468" w:history="1">
        <w:r w:rsidRPr="006E3616">
          <w:rPr>
            <w:rStyle w:val="Hyperlink"/>
            <w:rFonts w:ascii="Arial" w:hAnsi="Arial" w:cs="Arial"/>
            <w:noProof/>
          </w:rPr>
          <w:t>Measure Life Basis</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_Toc438047468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7</w:t>
        </w:r>
        <w:r w:rsidRPr="006E3616">
          <w:rPr>
            <w:rFonts w:ascii="Arial" w:hAnsi="Arial" w:cs="Arial"/>
            <w:noProof/>
            <w:webHidden/>
          </w:rPr>
          <w:fldChar w:fldCharType="end"/>
        </w:r>
      </w:hyperlink>
    </w:p>
    <w:p w:rsidR="006E3616" w:rsidRPr="006E3616" w:rsidRDefault="006E3616">
      <w:pPr>
        <w:pStyle w:val="TOC2"/>
        <w:tabs>
          <w:tab w:val="right" w:leader="dot" w:pos="9350"/>
        </w:tabs>
        <w:rPr>
          <w:rFonts w:ascii="Arial" w:eastAsiaTheme="minorEastAsia" w:hAnsi="Arial" w:cs="Arial"/>
          <w:noProof/>
          <w:sz w:val="22"/>
          <w:szCs w:val="22"/>
        </w:rPr>
      </w:pPr>
      <w:hyperlink w:anchor="_Toc438047469" w:history="1">
        <w:r w:rsidRPr="006E3616">
          <w:rPr>
            <w:rStyle w:val="Hyperlink"/>
            <w:rFonts w:ascii="Arial" w:hAnsi="Arial" w:cs="Arial"/>
            <w:noProof/>
          </w:rPr>
          <w:t>First Baseline Period: Energy Savings Baseline</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_Toc438047469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7</w:t>
        </w:r>
        <w:r w:rsidRPr="006E3616">
          <w:rPr>
            <w:rFonts w:ascii="Arial" w:hAnsi="Arial" w:cs="Arial"/>
            <w:noProof/>
            <w:webHidden/>
          </w:rPr>
          <w:fldChar w:fldCharType="end"/>
        </w:r>
      </w:hyperlink>
    </w:p>
    <w:p w:rsidR="006E3616" w:rsidRPr="006E3616" w:rsidRDefault="006E3616">
      <w:pPr>
        <w:pStyle w:val="TOC2"/>
        <w:tabs>
          <w:tab w:val="right" w:leader="dot" w:pos="9350"/>
        </w:tabs>
        <w:rPr>
          <w:rFonts w:ascii="Arial" w:eastAsiaTheme="minorEastAsia" w:hAnsi="Arial" w:cs="Arial"/>
          <w:noProof/>
          <w:sz w:val="22"/>
          <w:szCs w:val="22"/>
        </w:rPr>
      </w:pPr>
      <w:hyperlink w:anchor="_Toc438047470" w:history="1">
        <w:r w:rsidRPr="006E3616">
          <w:rPr>
            <w:rStyle w:val="Hyperlink"/>
            <w:rFonts w:ascii="Arial" w:hAnsi="Arial" w:cs="Arial"/>
            <w:noProof/>
          </w:rPr>
          <w:t>Second Baseline Period: Energy Savings Baseline</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_Toc438047470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7</w:t>
        </w:r>
        <w:r w:rsidRPr="006E3616">
          <w:rPr>
            <w:rFonts w:ascii="Arial" w:hAnsi="Arial" w:cs="Arial"/>
            <w:noProof/>
            <w:webHidden/>
          </w:rPr>
          <w:fldChar w:fldCharType="end"/>
        </w:r>
      </w:hyperlink>
    </w:p>
    <w:p w:rsidR="006E3616" w:rsidRPr="006E3616" w:rsidRDefault="006E3616">
      <w:pPr>
        <w:pStyle w:val="TOC2"/>
        <w:tabs>
          <w:tab w:val="right" w:leader="dot" w:pos="9350"/>
        </w:tabs>
        <w:rPr>
          <w:rFonts w:ascii="Arial" w:eastAsiaTheme="minorEastAsia" w:hAnsi="Arial" w:cs="Arial"/>
          <w:noProof/>
          <w:sz w:val="22"/>
          <w:szCs w:val="22"/>
        </w:rPr>
      </w:pPr>
      <w:hyperlink w:anchor="_Toc438047471" w:history="1">
        <w:r w:rsidRPr="006E3616">
          <w:rPr>
            <w:rStyle w:val="Hyperlink"/>
            <w:rFonts w:ascii="Arial" w:hAnsi="Arial" w:cs="Arial"/>
            <w:noProof/>
          </w:rPr>
          <w:t>2.1 Electric Energy Savings Estimation Methodologies</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_Toc438047471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7</w:t>
        </w:r>
        <w:r w:rsidRPr="006E3616">
          <w:rPr>
            <w:rFonts w:ascii="Arial" w:hAnsi="Arial" w:cs="Arial"/>
            <w:noProof/>
            <w:webHidden/>
          </w:rPr>
          <w:fldChar w:fldCharType="end"/>
        </w:r>
      </w:hyperlink>
    </w:p>
    <w:p w:rsidR="006E3616" w:rsidRPr="006E3616" w:rsidRDefault="006E3616">
      <w:pPr>
        <w:pStyle w:val="TOC2"/>
        <w:tabs>
          <w:tab w:val="right" w:leader="dot" w:pos="9350"/>
        </w:tabs>
        <w:rPr>
          <w:rFonts w:ascii="Arial" w:eastAsiaTheme="minorEastAsia" w:hAnsi="Arial" w:cs="Arial"/>
          <w:noProof/>
          <w:sz w:val="22"/>
          <w:szCs w:val="22"/>
        </w:rPr>
      </w:pPr>
      <w:hyperlink w:anchor="_Toc438047472" w:history="1">
        <w:r w:rsidRPr="006E3616">
          <w:rPr>
            <w:rStyle w:val="Hyperlink"/>
            <w:rFonts w:ascii="Arial" w:hAnsi="Arial" w:cs="Arial"/>
            <w:noProof/>
          </w:rPr>
          <w:t>2.2 Demand Reduction Estimation Methodologies</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_Toc438047472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9</w:t>
        </w:r>
        <w:r w:rsidRPr="006E3616">
          <w:rPr>
            <w:rFonts w:ascii="Arial" w:hAnsi="Arial" w:cs="Arial"/>
            <w:noProof/>
            <w:webHidden/>
          </w:rPr>
          <w:fldChar w:fldCharType="end"/>
        </w:r>
      </w:hyperlink>
    </w:p>
    <w:p w:rsidR="006E3616" w:rsidRPr="006E3616" w:rsidRDefault="006E3616">
      <w:pPr>
        <w:pStyle w:val="TOC2"/>
        <w:tabs>
          <w:tab w:val="right" w:leader="dot" w:pos="9350"/>
        </w:tabs>
        <w:rPr>
          <w:rFonts w:ascii="Arial" w:eastAsiaTheme="minorEastAsia" w:hAnsi="Arial" w:cs="Arial"/>
          <w:noProof/>
          <w:sz w:val="22"/>
          <w:szCs w:val="22"/>
        </w:rPr>
      </w:pPr>
      <w:hyperlink w:anchor="_Toc438047473" w:history="1">
        <w:r w:rsidRPr="006E3616">
          <w:rPr>
            <w:rStyle w:val="Hyperlink"/>
            <w:rFonts w:ascii="Arial" w:hAnsi="Arial" w:cs="Arial"/>
            <w:noProof/>
          </w:rPr>
          <w:t>2.3 Gas Energy Savings Estimation Methodologies</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_Toc438047473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10</w:t>
        </w:r>
        <w:r w:rsidRPr="006E3616">
          <w:rPr>
            <w:rFonts w:ascii="Arial" w:hAnsi="Arial" w:cs="Arial"/>
            <w:noProof/>
            <w:webHidden/>
          </w:rPr>
          <w:fldChar w:fldCharType="end"/>
        </w:r>
      </w:hyperlink>
    </w:p>
    <w:p w:rsidR="006E3616" w:rsidRPr="006E3616" w:rsidRDefault="006E3616">
      <w:pPr>
        <w:pStyle w:val="TOC1"/>
        <w:tabs>
          <w:tab w:val="right" w:leader="dot" w:pos="9350"/>
        </w:tabs>
        <w:rPr>
          <w:rFonts w:ascii="Arial" w:eastAsiaTheme="minorEastAsia" w:hAnsi="Arial" w:cs="Arial"/>
          <w:noProof/>
          <w:sz w:val="22"/>
          <w:szCs w:val="22"/>
        </w:rPr>
      </w:pPr>
      <w:hyperlink w:anchor="_Toc438047474" w:history="1">
        <w:r w:rsidRPr="006E3616">
          <w:rPr>
            <w:rStyle w:val="Hyperlink"/>
            <w:rFonts w:ascii="Arial" w:hAnsi="Arial" w:cs="Arial"/>
            <w:noProof/>
          </w:rPr>
          <w:t>Section 3. Load Shapes</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_Toc438047474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10</w:t>
        </w:r>
        <w:r w:rsidRPr="006E3616">
          <w:rPr>
            <w:rFonts w:ascii="Arial" w:hAnsi="Arial" w:cs="Arial"/>
            <w:noProof/>
            <w:webHidden/>
          </w:rPr>
          <w:fldChar w:fldCharType="end"/>
        </w:r>
      </w:hyperlink>
    </w:p>
    <w:p w:rsidR="006E3616" w:rsidRPr="006E3616" w:rsidRDefault="006E3616">
      <w:pPr>
        <w:pStyle w:val="TOC2"/>
        <w:tabs>
          <w:tab w:val="right" w:leader="dot" w:pos="9350"/>
        </w:tabs>
        <w:rPr>
          <w:rFonts w:ascii="Arial" w:eastAsiaTheme="minorEastAsia" w:hAnsi="Arial" w:cs="Arial"/>
          <w:noProof/>
          <w:sz w:val="22"/>
          <w:szCs w:val="22"/>
        </w:rPr>
      </w:pPr>
      <w:hyperlink w:anchor="_Toc438047475" w:history="1">
        <w:r w:rsidRPr="006E3616">
          <w:rPr>
            <w:rStyle w:val="Hyperlink"/>
            <w:rFonts w:ascii="Arial" w:hAnsi="Arial" w:cs="Arial"/>
            <w:noProof/>
          </w:rPr>
          <w:t>3.1 Base Case Load Shapes</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_Toc438047475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11</w:t>
        </w:r>
        <w:r w:rsidRPr="006E3616">
          <w:rPr>
            <w:rFonts w:ascii="Arial" w:hAnsi="Arial" w:cs="Arial"/>
            <w:noProof/>
            <w:webHidden/>
          </w:rPr>
          <w:fldChar w:fldCharType="end"/>
        </w:r>
      </w:hyperlink>
    </w:p>
    <w:p w:rsidR="006E3616" w:rsidRPr="006E3616" w:rsidRDefault="006E3616">
      <w:pPr>
        <w:pStyle w:val="TOC2"/>
        <w:tabs>
          <w:tab w:val="right" w:leader="dot" w:pos="9350"/>
        </w:tabs>
        <w:rPr>
          <w:rFonts w:ascii="Arial" w:eastAsiaTheme="minorEastAsia" w:hAnsi="Arial" w:cs="Arial"/>
          <w:noProof/>
          <w:sz w:val="22"/>
          <w:szCs w:val="22"/>
        </w:rPr>
      </w:pPr>
      <w:hyperlink w:anchor="_Toc438047476" w:history="1">
        <w:r w:rsidRPr="006E3616">
          <w:rPr>
            <w:rStyle w:val="Hyperlink"/>
            <w:rFonts w:ascii="Arial" w:hAnsi="Arial" w:cs="Arial"/>
            <w:noProof/>
          </w:rPr>
          <w:t>3.2 Measure Load Shapes</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_Toc438047476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11</w:t>
        </w:r>
        <w:r w:rsidRPr="006E3616">
          <w:rPr>
            <w:rFonts w:ascii="Arial" w:hAnsi="Arial" w:cs="Arial"/>
            <w:noProof/>
            <w:webHidden/>
          </w:rPr>
          <w:fldChar w:fldCharType="end"/>
        </w:r>
      </w:hyperlink>
    </w:p>
    <w:p w:rsidR="006E3616" w:rsidRPr="006E3616" w:rsidRDefault="006E3616">
      <w:pPr>
        <w:pStyle w:val="TOC1"/>
        <w:tabs>
          <w:tab w:val="right" w:leader="dot" w:pos="9350"/>
        </w:tabs>
        <w:rPr>
          <w:rFonts w:ascii="Arial" w:eastAsiaTheme="minorEastAsia" w:hAnsi="Arial" w:cs="Arial"/>
          <w:noProof/>
          <w:sz w:val="22"/>
          <w:szCs w:val="22"/>
        </w:rPr>
      </w:pPr>
      <w:hyperlink w:anchor="_Toc438047477" w:history="1">
        <w:r w:rsidRPr="006E3616">
          <w:rPr>
            <w:rStyle w:val="Hyperlink"/>
            <w:rFonts w:ascii="Arial" w:hAnsi="Arial" w:cs="Arial"/>
            <w:noProof/>
          </w:rPr>
          <w:t>Section 4. Base Case &amp; Measure Cost</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_Toc438047477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11</w:t>
        </w:r>
        <w:r w:rsidRPr="006E3616">
          <w:rPr>
            <w:rFonts w:ascii="Arial" w:hAnsi="Arial" w:cs="Arial"/>
            <w:noProof/>
            <w:webHidden/>
          </w:rPr>
          <w:fldChar w:fldCharType="end"/>
        </w:r>
      </w:hyperlink>
    </w:p>
    <w:p w:rsidR="006E3616" w:rsidRPr="006E3616" w:rsidRDefault="006E3616">
      <w:pPr>
        <w:pStyle w:val="TOC2"/>
        <w:tabs>
          <w:tab w:val="right" w:leader="dot" w:pos="9350"/>
        </w:tabs>
        <w:rPr>
          <w:rFonts w:ascii="Arial" w:eastAsiaTheme="minorEastAsia" w:hAnsi="Arial" w:cs="Arial"/>
          <w:noProof/>
          <w:sz w:val="22"/>
          <w:szCs w:val="22"/>
        </w:rPr>
      </w:pPr>
      <w:hyperlink w:anchor="_Toc438047478" w:history="1">
        <w:r w:rsidRPr="006E3616">
          <w:rPr>
            <w:rStyle w:val="Hyperlink"/>
            <w:rFonts w:ascii="Arial" w:hAnsi="Arial" w:cs="Arial"/>
            <w:noProof/>
          </w:rPr>
          <w:t>4.1 Base Case Costs</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_Toc438047478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12</w:t>
        </w:r>
        <w:r w:rsidRPr="006E3616">
          <w:rPr>
            <w:rFonts w:ascii="Arial" w:hAnsi="Arial" w:cs="Arial"/>
            <w:noProof/>
            <w:webHidden/>
          </w:rPr>
          <w:fldChar w:fldCharType="end"/>
        </w:r>
      </w:hyperlink>
    </w:p>
    <w:p w:rsidR="006E3616" w:rsidRPr="006E3616" w:rsidRDefault="006E3616">
      <w:pPr>
        <w:pStyle w:val="TOC2"/>
        <w:tabs>
          <w:tab w:val="right" w:leader="dot" w:pos="9350"/>
        </w:tabs>
        <w:rPr>
          <w:rFonts w:ascii="Arial" w:eastAsiaTheme="minorEastAsia" w:hAnsi="Arial" w:cs="Arial"/>
          <w:noProof/>
          <w:sz w:val="22"/>
          <w:szCs w:val="22"/>
        </w:rPr>
      </w:pPr>
      <w:hyperlink w:anchor="_Toc438047479" w:history="1">
        <w:r w:rsidRPr="006E3616">
          <w:rPr>
            <w:rStyle w:val="Hyperlink"/>
            <w:rFonts w:ascii="Arial" w:hAnsi="Arial" w:cs="Arial"/>
            <w:noProof/>
          </w:rPr>
          <w:t>4.2 Measure Case Costs</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_Toc438047479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13</w:t>
        </w:r>
        <w:r w:rsidRPr="006E3616">
          <w:rPr>
            <w:rFonts w:ascii="Arial" w:hAnsi="Arial" w:cs="Arial"/>
            <w:noProof/>
            <w:webHidden/>
          </w:rPr>
          <w:fldChar w:fldCharType="end"/>
        </w:r>
      </w:hyperlink>
    </w:p>
    <w:p w:rsidR="006E3616" w:rsidRPr="006E3616" w:rsidRDefault="006E3616">
      <w:pPr>
        <w:pStyle w:val="TOC2"/>
        <w:tabs>
          <w:tab w:val="right" w:leader="dot" w:pos="9350"/>
        </w:tabs>
        <w:rPr>
          <w:rFonts w:ascii="Arial" w:eastAsiaTheme="minorEastAsia" w:hAnsi="Arial" w:cs="Arial"/>
          <w:noProof/>
          <w:sz w:val="22"/>
          <w:szCs w:val="22"/>
        </w:rPr>
      </w:pPr>
      <w:hyperlink w:anchor="_Toc438047480" w:history="1">
        <w:r w:rsidRPr="006E3616">
          <w:rPr>
            <w:rStyle w:val="Hyperlink"/>
            <w:rFonts w:ascii="Arial" w:hAnsi="Arial" w:cs="Arial"/>
            <w:noProof/>
          </w:rPr>
          <w:t>4.3 Incremental</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_Toc438047480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14</w:t>
        </w:r>
        <w:r w:rsidRPr="006E3616">
          <w:rPr>
            <w:rFonts w:ascii="Arial" w:hAnsi="Arial" w:cs="Arial"/>
            <w:noProof/>
            <w:webHidden/>
          </w:rPr>
          <w:fldChar w:fldCharType="end"/>
        </w:r>
      </w:hyperlink>
    </w:p>
    <w:p w:rsidR="006E3616" w:rsidRPr="006E3616" w:rsidRDefault="006E3616">
      <w:pPr>
        <w:pStyle w:val="TOC3"/>
        <w:tabs>
          <w:tab w:val="right" w:leader="dot" w:pos="9350"/>
        </w:tabs>
        <w:rPr>
          <w:rFonts w:ascii="Arial" w:eastAsiaTheme="minorEastAsia" w:hAnsi="Arial" w:cs="Arial"/>
          <w:noProof/>
          <w:sz w:val="22"/>
          <w:szCs w:val="22"/>
        </w:rPr>
      </w:pPr>
      <w:hyperlink w:anchor="_Toc438047481" w:history="1">
        <w:r w:rsidRPr="006E3616">
          <w:rPr>
            <w:rStyle w:val="Hyperlink"/>
            <w:rFonts w:ascii="Arial" w:hAnsi="Arial" w:cs="Arial"/>
            <w:noProof/>
          </w:rPr>
          <w:t>4.3.1 Incremental Measure Costs</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_Toc438047481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14</w:t>
        </w:r>
        <w:r w:rsidRPr="006E3616">
          <w:rPr>
            <w:rFonts w:ascii="Arial" w:hAnsi="Arial" w:cs="Arial"/>
            <w:noProof/>
            <w:webHidden/>
          </w:rPr>
          <w:fldChar w:fldCharType="end"/>
        </w:r>
      </w:hyperlink>
    </w:p>
    <w:p w:rsidR="006E3616" w:rsidRPr="006E3616" w:rsidRDefault="006E3616">
      <w:pPr>
        <w:pStyle w:val="TOC1"/>
        <w:tabs>
          <w:tab w:val="right" w:leader="dot" w:pos="9350"/>
        </w:tabs>
        <w:rPr>
          <w:rFonts w:ascii="Arial" w:eastAsiaTheme="minorEastAsia" w:hAnsi="Arial" w:cs="Arial"/>
          <w:noProof/>
          <w:sz w:val="22"/>
          <w:szCs w:val="22"/>
        </w:rPr>
      </w:pPr>
      <w:hyperlink w:anchor="_Toc438047482" w:history="1">
        <w:r w:rsidRPr="006E3616">
          <w:rPr>
            <w:rStyle w:val="Hyperlink"/>
            <w:rFonts w:ascii="Arial" w:hAnsi="Arial" w:cs="Arial"/>
            <w:noProof/>
          </w:rPr>
          <w:t>References</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_Toc438047482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15</w:t>
        </w:r>
        <w:r w:rsidRPr="006E3616">
          <w:rPr>
            <w:rFonts w:ascii="Arial" w:hAnsi="Arial" w:cs="Arial"/>
            <w:noProof/>
            <w:webHidden/>
          </w:rPr>
          <w:fldChar w:fldCharType="end"/>
        </w:r>
      </w:hyperlink>
    </w:p>
    <w:p w:rsidR="00ED21EE" w:rsidRPr="004D2BCB" w:rsidRDefault="009F6F8B" w:rsidP="00ED21EE">
      <w:pPr>
        <w:pStyle w:val="Heading1"/>
      </w:pPr>
      <w:r w:rsidRPr="006E3616">
        <w:rPr>
          <w:b w:val="0"/>
          <w:bCs w:val="0"/>
          <w:kern w:val="0"/>
          <w:sz w:val="24"/>
          <w:szCs w:val="24"/>
        </w:rPr>
        <w:fldChar w:fldCharType="end"/>
      </w:r>
      <w:r w:rsidR="006559C8" w:rsidRPr="006E3616">
        <w:br w:type="page"/>
      </w:r>
      <w:bookmarkStart w:id="9" w:name="_Toc172205729"/>
      <w:bookmarkStart w:id="10" w:name="_Toc438047454"/>
      <w:r w:rsidR="00ED21EE" w:rsidRPr="004D2BCB">
        <w:lastRenderedPageBreak/>
        <w:t>List of Tables</w:t>
      </w:r>
      <w:bookmarkEnd w:id="9"/>
      <w:bookmarkEnd w:id="10"/>
    </w:p>
    <w:p w:rsidR="006E3616" w:rsidRPr="006E3616" w:rsidRDefault="00ED21EE">
      <w:pPr>
        <w:pStyle w:val="TableofFigures"/>
        <w:tabs>
          <w:tab w:val="right" w:leader="dot" w:pos="9350"/>
        </w:tabs>
        <w:rPr>
          <w:rFonts w:ascii="Arial" w:eastAsiaTheme="minorEastAsia" w:hAnsi="Arial" w:cs="Arial"/>
          <w:noProof/>
          <w:sz w:val="22"/>
          <w:szCs w:val="22"/>
        </w:rPr>
      </w:pPr>
      <w:r w:rsidRPr="006E3616">
        <w:rPr>
          <w:rStyle w:val="Hyperlink"/>
          <w:rFonts w:ascii="Arial" w:hAnsi="Arial" w:cs="Arial"/>
          <w:noProof/>
        </w:rPr>
        <w:fldChar w:fldCharType="begin"/>
      </w:r>
      <w:r w:rsidRPr="006E3616">
        <w:rPr>
          <w:rStyle w:val="Hyperlink"/>
          <w:rFonts w:ascii="Arial" w:hAnsi="Arial" w:cs="Arial"/>
          <w:noProof/>
        </w:rPr>
        <w:instrText xml:space="preserve"> TOC \h \z \c "Table" </w:instrText>
      </w:r>
      <w:r w:rsidRPr="006E3616">
        <w:rPr>
          <w:rStyle w:val="Hyperlink"/>
          <w:rFonts w:ascii="Arial" w:hAnsi="Arial" w:cs="Arial"/>
          <w:noProof/>
        </w:rPr>
        <w:fldChar w:fldCharType="separate"/>
      </w:r>
      <w:hyperlink w:anchor="_Toc438047483" w:history="1">
        <w:r w:rsidR="006E3616" w:rsidRPr="006E3616">
          <w:rPr>
            <w:rStyle w:val="Hyperlink"/>
            <w:rFonts w:ascii="Arial" w:hAnsi="Arial" w:cs="Arial"/>
            <w:noProof/>
          </w:rPr>
          <w:t>Table 1 - Measure Application Type</w:t>
        </w:r>
        <w:r w:rsidR="006E3616" w:rsidRPr="006E3616">
          <w:rPr>
            <w:rFonts w:ascii="Arial" w:hAnsi="Arial" w:cs="Arial"/>
            <w:noProof/>
            <w:webHidden/>
          </w:rPr>
          <w:tab/>
        </w:r>
        <w:r w:rsidR="006E3616" w:rsidRPr="006E3616">
          <w:rPr>
            <w:rFonts w:ascii="Arial" w:hAnsi="Arial" w:cs="Arial"/>
            <w:noProof/>
            <w:webHidden/>
          </w:rPr>
          <w:fldChar w:fldCharType="begin"/>
        </w:r>
        <w:r w:rsidR="006E3616" w:rsidRPr="006E3616">
          <w:rPr>
            <w:rFonts w:ascii="Arial" w:hAnsi="Arial" w:cs="Arial"/>
            <w:noProof/>
            <w:webHidden/>
          </w:rPr>
          <w:instrText xml:space="preserve"> PAGEREF _Toc438047483 \h </w:instrText>
        </w:r>
        <w:r w:rsidR="006E3616" w:rsidRPr="006E3616">
          <w:rPr>
            <w:rFonts w:ascii="Arial" w:hAnsi="Arial" w:cs="Arial"/>
            <w:noProof/>
            <w:webHidden/>
          </w:rPr>
        </w:r>
        <w:r w:rsidR="006E3616" w:rsidRPr="006E3616">
          <w:rPr>
            <w:rFonts w:ascii="Arial" w:hAnsi="Arial" w:cs="Arial"/>
            <w:noProof/>
            <w:webHidden/>
          </w:rPr>
          <w:fldChar w:fldCharType="separate"/>
        </w:r>
        <w:r w:rsidR="006E3616" w:rsidRPr="006E3616">
          <w:rPr>
            <w:rFonts w:ascii="Arial" w:hAnsi="Arial" w:cs="Arial"/>
            <w:noProof/>
            <w:webHidden/>
          </w:rPr>
          <w:t>2</w:t>
        </w:r>
        <w:r w:rsidR="006E3616" w:rsidRPr="006E3616">
          <w:rPr>
            <w:rFonts w:ascii="Arial" w:hAnsi="Arial" w:cs="Arial"/>
            <w:noProof/>
            <w:webHidden/>
          </w:rPr>
          <w:fldChar w:fldCharType="end"/>
        </w:r>
      </w:hyperlink>
    </w:p>
    <w:p w:rsidR="006E3616" w:rsidRPr="006E3616" w:rsidRDefault="006E3616">
      <w:pPr>
        <w:pStyle w:val="TableofFigures"/>
        <w:tabs>
          <w:tab w:val="right" w:leader="dot" w:pos="9350"/>
        </w:tabs>
        <w:rPr>
          <w:rFonts w:ascii="Arial" w:eastAsiaTheme="minorEastAsia" w:hAnsi="Arial" w:cs="Arial"/>
          <w:noProof/>
          <w:sz w:val="22"/>
          <w:szCs w:val="22"/>
        </w:rPr>
      </w:pPr>
      <w:hyperlink w:anchor="_Toc438047484" w:history="1">
        <w:r w:rsidRPr="006E3616">
          <w:rPr>
            <w:rStyle w:val="Hyperlink"/>
            <w:rFonts w:ascii="Arial" w:hAnsi="Arial" w:cs="Arial"/>
            <w:noProof/>
          </w:rPr>
          <w:t>Table 2 - DEER Net-to-Gross Ratios</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_Toc438047484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3</w:t>
        </w:r>
        <w:r w:rsidRPr="006E3616">
          <w:rPr>
            <w:rFonts w:ascii="Arial" w:hAnsi="Arial" w:cs="Arial"/>
            <w:noProof/>
            <w:webHidden/>
          </w:rPr>
          <w:fldChar w:fldCharType="end"/>
        </w:r>
      </w:hyperlink>
    </w:p>
    <w:p w:rsidR="006E3616" w:rsidRPr="006E3616" w:rsidRDefault="006E3616">
      <w:pPr>
        <w:pStyle w:val="TableofFigures"/>
        <w:tabs>
          <w:tab w:val="right" w:leader="dot" w:pos="9350"/>
        </w:tabs>
        <w:rPr>
          <w:rFonts w:ascii="Arial" w:eastAsiaTheme="minorEastAsia" w:hAnsi="Arial" w:cs="Arial"/>
          <w:noProof/>
          <w:sz w:val="22"/>
          <w:szCs w:val="22"/>
        </w:rPr>
      </w:pPr>
      <w:hyperlink w:anchor="_Toc438047485" w:history="1">
        <w:r w:rsidRPr="006E3616">
          <w:rPr>
            <w:rStyle w:val="Hyperlink"/>
            <w:rFonts w:ascii="Arial" w:hAnsi="Arial" w:cs="Arial"/>
            <w:noProof/>
          </w:rPr>
          <w:t>Table 3 - Variable Assumptions</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_Toc438047485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5</w:t>
        </w:r>
        <w:r w:rsidRPr="006E3616">
          <w:rPr>
            <w:rFonts w:ascii="Arial" w:hAnsi="Arial" w:cs="Arial"/>
            <w:noProof/>
            <w:webHidden/>
          </w:rPr>
          <w:fldChar w:fldCharType="end"/>
        </w:r>
      </w:hyperlink>
    </w:p>
    <w:p w:rsidR="006E3616" w:rsidRPr="006E3616" w:rsidRDefault="006E3616">
      <w:pPr>
        <w:pStyle w:val="TableofFigures"/>
        <w:tabs>
          <w:tab w:val="right" w:leader="dot" w:pos="9350"/>
        </w:tabs>
        <w:rPr>
          <w:rFonts w:ascii="Arial" w:eastAsiaTheme="minorEastAsia" w:hAnsi="Arial" w:cs="Arial"/>
          <w:noProof/>
          <w:sz w:val="22"/>
          <w:szCs w:val="22"/>
        </w:rPr>
      </w:pPr>
      <w:hyperlink w:anchor="_Toc438047486" w:history="1">
        <w:r w:rsidRPr="006E3616">
          <w:rPr>
            <w:rStyle w:val="Hyperlink"/>
            <w:rFonts w:ascii="Arial" w:hAnsi="Arial" w:cs="Arial"/>
            <w:noProof/>
          </w:rPr>
          <w:t>Table 4 - Example Retrofit Scenarios</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_Toc438047486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6</w:t>
        </w:r>
        <w:r w:rsidRPr="006E3616">
          <w:rPr>
            <w:rFonts w:ascii="Arial" w:hAnsi="Arial" w:cs="Arial"/>
            <w:noProof/>
            <w:webHidden/>
          </w:rPr>
          <w:fldChar w:fldCharType="end"/>
        </w:r>
      </w:hyperlink>
    </w:p>
    <w:p w:rsidR="006E3616" w:rsidRPr="006E3616" w:rsidRDefault="006E3616">
      <w:pPr>
        <w:pStyle w:val="TableofFigures"/>
        <w:tabs>
          <w:tab w:val="right" w:leader="dot" w:pos="9350"/>
        </w:tabs>
        <w:rPr>
          <w:rFonts w:ascii="Arial" w:eastAsiaTheme="minorEastAsia" w:hAnsi="Arial" w:cs="Arial"/>
          <w:noProof/>
          <w:sz w:val="22"/>
          <w:szCs w:val="22"/>
        </w:rPr>
      </w:pPr>
      <w:hyperlink w:anchor="_Toc438047487" w:history="1">
        <w:r w:rsidRPr="006E3616">
          <w:rPr>
            <w:rStyle w:val="Hyperlink"/>
            <w:rFonts w:ascii="Arial" w:hAnsi="Arial" w:cs="Arial"/>
            <w:noProof/>
          </w:rPr>
          <w:t>Table 5 - Baseline by Measure Application Type</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_Toc438047487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7</w:t>
        </w:r>
        <w:r w:rsidRPr="006E3616">
          <w:rPr>
            <w:rFonts w:ascii="Arial" w:hAnsi="Arial" w:cs="Arial"/>
            <w:noProof/>
            <w:webHidden/>
          </w:rPr>
          <w:fldChar w:fldCharType="end"/>
        </w:r>
      </w:hyperlink>
    </w:p>
    <w:p w:rsidR="006E3616" w:rsidRPr="006E3616" w:rsidRDefault="006E3616">
      <w:pPr>
        <w:pStyle w:val="TableofFigures"/>
        <w:tabs>
          <w:tab w:val="right" w:leader="dot" w:pos="9350"/>
        </w:tabs>
        <w:rPr>
          <w:rFonts w:ascii="Arial" w:eastAsiaTheme="minorEastAsia" w:hAnsi="Arial" w:cs="Arial"/>
          <w:noProof/>
          <w:sz w:val="22"/>
          <w:szCs w:val="22"/>
        </w:rPr>
      </w:pPr>
      <w:hyperlink w:anchor="_Toc438047488" w:history="1">
        <w:r w:rsidRPr="006E3616">
          <w:rPr>
            <w:rStyle w:val="Hyperlink"/>
            <w:rFonts w:ascii="Arial" w:hAnsi="Arial" w:cs="Arial"/>
            <w:noProof/>
          </w:rPr>
          <w:t>Table 6 - Building Types and Load Shapes</w:t>
        </w:r>
        <w:r w:rsidRPr="006E3616">
          <w:rPr>
            <w:rFonts w:ascii="Arial" w:hAnsi="Arial" w:cs="Arial"/>
            <w:noProof/>
            <w:webHidden/>
          </w:rPr>
          <w:tab/>
        </w:r>
        <w:r w:rsidRPr="006E3616">
          <w:rPr>
            <w:rFonts w:ascii="Arial" w:hAnsi="Arial" w:cs="Arial"/>
            <w:noProof/>
            <w:webHidden/>
          </w:rPr>
          <w:fldChar w:fldCharType="begin"/>
        </w:r>
        <w:r w:rsidRPr="006E3616">
          <w:rPr>
            <w:rFonts w:ascii="Arial" w:hAnsi="Arial" w:cs="Arial"/>
            <w:noProof/>
            <w:webHidden/>
          </w:rPr>
          <w:instrText xml:space="preserve"> PAGEREF _Toc438047488 \h </w:instrText>
        </w:r>
        <w:r w:rsidRPr="006E3616">
          <w:rPr>
            <w:rFonts w:ascii="Arial" w:hAnsi="Arial" w:cs="Arial"/>
            <w:noProof/>
            <w:webHidden/>
          </w:rPr>
        </w:r>
        <w:r w:rsidRPr="006E3616">
          <w:rPr>
            <w:rFonts w:ascii="Arial" w:hAnsi="Arial" w:cs="Arial"/>
            <w:noProof/>
            <w:webHidden/>
          </w:rPr>
          <w:fldChar w:fldCharType="separate"/>
        </w:r>
        <w:r w:rsidRPr="006E3616">
          <w:rPr>
            <w:rFonts w:ascii="Arial" w:hAnsi="Arial" w:cs="Arial"/>
            <w:noProof/>
            <w:webHidden/>
          </w:rPr>
          <w:t>11</w:t>
        </w:r>
        <w:r w:rsidRPr="006E3616">
          <w:rPr>
            <w:rFonts w:ascii="Arial" w:hAnsi="Arial" w:cs="Arial"/>
            <w:noProof/>
            <w:webHidden/>
          </w:rPr>
          <w:fldChar w:fldCharType="end"/>
        </w:r>
      </w:hyperlink>
    </w:p>
    <w:p w:rsidR="005A1F9D" w:rsidRPr="004D2BCB" w:rsidRDefault="00ED21EE" w:rsidP="00774447">
      <w:pPr>
        <w:pStyle w:val="TableofFigures"/>
        <w:tabs>
          <w:tab w:val="right" w:leader="dot" w:pos="9350"/>
        </w:tabs>
        <w:rPr>
          <w:rFonts w:ascii="Arial" w:hAnsi="Arial" w:cs="Arial"/>
        </w:rPr>
      </w:pPr>
      <w:r w:rsidRPr="006E3616">
        <w:rPr>
          <w:rStyle w:val="Hyperlink"/>
          <w:rFonts w:ascii="Arial" w:hAnsi="Arial" w:cs="Arial"/>
          <w:noProof/>
        </w:rPr>
        <w:fldChar w:fldCharType="end"/>
      </w:r>
      <w:r w:rsidR="005A1F9D" w:rsidRPr="004D2BCB">
        <w:rPr>
          <w:rFonts w:ascii="Arial" w:hAnsi="Arial" w:cs="Arial"/>
        </w:rPr>
        <w:t xml:space="preserve"> </w:t>
      </w:r>
    </w:p>
    <w:p w:rsidR="00282F89" w:rsidRPr="00390130" w:rsidRDefault="00282F89">
      <w:pPr>
        <w:rPr>
          <w:rFonts w:ascii="Arial" w:hAnsi="Arial" w:cs="Arial"/>
        </w:rPr>
        <w:sectPr w:rsidR="00282F89" w:rsidRPr="00390130" w:rsidSect="000C0419">
          <w:footerReference w:type="default" r:id="rId12"/>
          <w:footerReference w:type="first" r:id="rId13"/>
          <w:endnotePr>
            <w:numFmt w:val="decimal"/>
          </w:endnotePr>
          <w:pgSz w:w="12240" w:h="15840"/>
          <w:pgMar w:top="1440" w:right="1440" w:bottom="1440" w:left="1440" w:header="720" w:footer="720" w:gutter="0"/>
          <w:pgNumType w:fmt="lowerRoman" w:start="1"/>
          <w:cols w:space="720"/>
          <w:titlePg/>
          <w:docGrid w:linePitch="360"/>
        </w:sectPr>
      </w:pPr>
      <w:bookmarkStart w:id="11" w:name="_Toc172205732"/>
      <w:bookmarkStart w:id="12" w:name="_GoBack"/>
      <w:bookmarkEnd w:id="12"/>
    </w:p>
    <w:p w:rsidR="00ED21EE" w:rsidRPr="004D2BCB" w:rsidRDefault="00ED21EE" w:rsidP="00ED21EE">
      <w:pPr>
        <w:pStyle w:val="Heading1"/>
      </w:pPr>
      <w:bookmarkStart w:id="13" w:name="_Toc438047455"/>
      <w:proofErr w:type="gramStart"/>
      <w:r w:rsidRPr="004D2BCB">
        <w:lastRenderedPageBreak/>
        <w:t>Section 1.</w:t>
      </w:r>
      <w:proofErr w:type="gramEnd"/>
      <w:r w:rsidRPr="004D2BCB">
        <w:t xml:space="preserve"> General Measure &amp; Baseline Data</w:t>
      </w:r>
      <w:bookmarkEnd w:id="13"/>
    </w:p>
    <w:p w:rsidR="00E71EF1" w:rsidRPr="004D2BCB" w:rsidRDefault="001248A3" w:rsidP="001248A3">
      <w:pPr>
        <w:pStyle w:val="Heading2"/>
      </w:pPr>
      <w:bookmarkStart w:id="14" w:name="_Ref390071178"/>
      <w:bookmarkStart w:id="15" w:name="_Ref390071218"/>
      <w:bookmarkStart w:id="16" w:name="_Toc438047456"/>
      <w:bookmarkEnd w:id="11"/>
      <w:r w:rsidRPr="004D2BCB">
        <w:t xml:space="preserve">1.1 </w:t>
      </w:r>
      <w:r w:rsidR="008C6AD1" w:rsidRPr="004D2BCB">
        <w:t xml:space="preserve">Product </w:t>
      </w:r>
      <w:r w:rsidR="00E71EF1" w:rsidRPr="004D2BCB">
        <w:t>Measure Description &amp; Background</w:t>
      </w:r>
      <w:bookmarkEnd w:id="14"/>
      <w:bookmarkEnd w:id="15"/>
      <w:bookmarkEnd w:id="16"/>
    </w:p>
    <w:p w:rsidR="00521920" w:rsidRPr="004D2BCB" w:rsidRDefault="00521920" w:rsidP="008B7183">
      <w:pPr>
        <w:rPr>
          <w:rFonts w:ascii="Arial" w:hAnsi="Arial" w:cs="Arial"/>
          <w:b/>
          <w:i/>
          <w:color w:val="FF0000"/>
        </w:rPr>
      </w:pPr>
      <w:r w:rsidRPr="004D2BCB">
        <w:rPr>
          <w:rFonts w:ascii="Arial" w:hAnsi="Arial" w:cs="Arial"/>
          <w:b/>
          <w:i/>
        </w:rPr>
        <w:t>Catalog Description</w:t>
      </w:r>
      <w:r w:rsidR="00E840FE" w:rsidRPr="004D2BCB">
        <w:rPr>
          <w:rFonts w:ascii="Arial" w:hAnsi="Arial" w:cs="Arial"/>
          <w:b/>
          <w:i/>
        </w:rPr>
        <w:t xml:space="preserve"> – </w:t>
      </w:r>
      <w:r w:rsidR="008B7183" w:rsidRPr="004D2BCB">
        <w:rPr>
          <w:rFonts w:ascii="Arial" w:hAnsi="Arial" w:cs="Arial"/>
          <w:b/>
          <w:i/>
        </w:rPr>
        <w:t>LED Lighting in Walk-In Coolers and Freezers</w:t>
      </w:r>
    </w:p>
    <w:p w:rsidR="008B7183" w:rsidRPr="004D2BCB" w:rsidRDefault="00A1392B" w:rsidP="00390130">
      <w:pPr>
        <w:jc w:val="both"/>
        <w:rPr>
          <w:rFonts w:ascii="Arial" w:hAnsi="Arial" w:cs="Arial"/>
          <w:sz w:val="20"/>
        </w:rPr>
      </w:pPr>
      <w:r w:rsidRPr="004D2BCB">
        <w:rPr>
          <w:rFonts w:ascii="Arial" w:hAnsi="Arial" w:cs="Arial"/>
          <w:sz w:val="20"/>
        </w:rPr>
        <w:t xml:space="preserve">Rebates are for replacing a variety of fluorescent and incandescent lighting systems in refrigerated areas of a grocery store with Light Emitting Diode (LED) luminaires. </w:t>
      </w:r>
    </w:p>
    <w:p w:rsidR="008B7183" w:rsidRPr="004D2BCB" w:rsidRDefault="008B7183" w:rsidP="008B7183">
      <w:pPr>
        <w:rPr>
          <w:rFonts w:ascii="Arial" w:hAnsi="Arial" w:cs="Arial"/>
          <w:b/>
          <w:i/>
          <w:sz w:val="20"/>
          <w:szCs w:val="20"/>
        </w:rPr>
      </w:pPr>
    </w:p>
    <w:p w:rsidR="00521920" w:rsidRPr="004D2BCB" w:rsidRDefault="00521920" w:rsidP="00872913">
      <w:pPr>
        <w:rPr>
          <w:rFonts w:ascii="Arial" w:hAnsi="Arial" w:cs="Arial"/>
          <w:b/>
          <w:i/>
        </w:rPr>
      </w:pPr>
      <w:r w:rsidRPr="004D2BCB">
        <w:rPr>
          <w:rFonts w:ascii="Arial" w:hAnsi="Arial" w:cs="Arial"/>
          <w:b/>
          <w:i/>
        </w:rPr>
        <w:t>Program Restrictions and Guidelines</w:t>
      </w:r>
    </w:p>
    <w:p w:rsidR="003E7422" w:rsidRPr="004D2BCB" w:rsidRDefault="00521920" w:rsidP="00480BAD">
      <w:pPr>
        <w:ind w:left="360"/>
        <w:rPr>
          <w:rFonts w:ascii="Arial" w:hAnsi="Arial" w:cs="Arial"/>
          <w:b/>
          <w:i/>
          <w:sz w:val="20"/>
          <w:szCs w:val="20"/>
        </w:rPr>
      </w:pPr>
      <w:r w:rsidRPr="004D2BCB">
        <w:rPr>
          <w:rFonts w:ascii="Arial" w:hAnsi="Arial" w:cs="Arial"/>
          <w:b/>
          <w:i/>
          <w:sz w:val="20"/>
          <w:szCs w:val="20"/>
        </w:rPr>
        <w:t>Terms and Conditions</w:t>
      </w:r>
      <w:r w:rsidR="003E7422" w:rsidRPr="004D2BCB">
        <w:rPr>
          <w:rFonts w:ascii="Arial" w:hAnsi="Arial" w:cs="Arial"/>
          <w:b/>
          <w:i/>
          <w:sz w:val="20"/>
          <w:szCs w:val="20"/>
        </w:rPr>
        <w:t>:</w:t>
      </w:r>
      <w:r w:rsidR="00A562A6" w:rsidRPr="004D2BCB">
        <w:rPr>
          <w:rFonts w:ascii="Arial" w:hAnsi="Arial" w:cs="Arial"/>
          <w:b/>
          <w:i/>
          <w:sz w:val="20"/>
          <w:szCs w:val="20"/>
        </w:rPr>
        <w:t xml:space="preserve"> </w:t>
      </w:r>
    </w:p>
    <w:p w:rsidR="00433695" w:rsidRPr="004D2BCB" w:rsidRDefault="00433695" w:rsidP="00433695">
      <w:pPr>
        <w:jc w:val="both"/>
        <w:rPr>
          <w:rFonts w:ascii="Arial" w:hAnsi="Arial" w:cs="Arial"/>
          <w:sz w:val="20"/>
        </w:rPr>
      </w:pPr>
      <w:r w:rsidRPr="004D2BCB">
        <w:rPr>
          <w:rFonts w:ascii="Arial" w:hAnsi="Arial" w:cs="Arial"/>
          <w:b/>
          <w:i/>
          <w:sz w:val="20"/>
          <w:szCs w:val="20"/>
        </w:rPr>
        <w:tab/>
      </w:r>
      <w:r w:rsidRPr="004D2BCB">
        <w:rPr>
          <w:rFonts w:ascii="Arial" w:hAnsi="Arial" w:cs="Arial"/>
          <w:sz w:val="20"/>
        </w:rPr>
        <w:t>To qualify for a rebate, the following requirements must be met:</w:t>
      </w:r>
    </w:p>
    <w:p w:rsidR="00433695" w:rsidRPr="004D2BCB" w:rsidRDefault="00433695" w:rsidP="00433695">
      <w:pPr>
        <w:numPr>
          <w:ilvl w:val="0"/>
          <w:numId w:val="20"/>
        </w:numPr>
        <w:jc w:val="both"/>
        <w:rPr>
          <w:rFonts w:ascii="Arial" w:hAnsi="Arial" w:cs="Arial"/>
          <w:sz w:val="20"/>
        </w:rPr>
      </w:pPr>
      <w:r w:rsidRPr="004D2BCB">
        <w:rPr>
          <w:rFonts w:ascii="Arial" w:hAnsi="Arial" w:cs="Arial"/>
          <w:sz w:val="20"/>
        </w:rPr>
        <w:t xml:space="preserve">The existing luminaire must have a rated wattage greater than or equal to that used in the measure name. </w:t>
      </w:r>
    </w:p>
    <w:p w:rsidR="00433695" w:rsidRPr="004D2BCB" w:rsidRDefault="00433695" w:rsidP="00433695">
      <w:pPr>
        <w:numPr>
          <w:ilvl w:val="0"/>
          <w:numId w:val="20"/>
        </w:numPr>
        <w:jc w:val="both"/>
        <w:rPr>
          <w:rFonts w:ascii="Arial" w:hAnsi="Arial" w:cs="Arial"/>
          <w:sz w:val="20"/>
        </w:rPr>
      </w:pPr>
      <w:r w:rsidRPr="004D2BCB">
        <w:rPr>
          <w:rFonts w:ascii="Arial" w:hAnsi="Arial" w:cs="Arial"/>
          <w:sz w:val="20"/>
        </w:rPr>
        <w:t>The LED luminaire that is installed must demonstrate wattage draw no greater than the level used in the measure name.</w:t>
      </w:r>
    </w:p>
    <w:p w:rsidR="00433695" w:rsidRPr="004D2BCB" w:rsidRDefault="00433695" w:rsidP="00433695">
      <w:pPr>
        <w:pStyle w:val="Default"/>
        <w:numPr>
          <w:ilvl w:val="0"/>
          <w:numId w:val="20"/>
        </w:numPr>
        <w:rPr>
          <w:rFonts w:ascii="Arial" w:hAnsi="Arial" w:cs="Arial"/>
          <w:sz w:val="20"/>
        </w:rPr>
      </w:pPr>
      <w:r w:rsidRPr="004D2BCB">
        <w:rPr>
          <w:rFonts w:ascii="Arial" w:hAnsi="Arial" w:cs="Arial"/>
          <w:sz w:val="20"/>
        </w:rPr>
        <w:t>LED lighting system must be a permanently installed luminaire.</w:t>
      </w:r>
    </w:p>
    <w:p w:rsidR="00433695" w:rsidRPr="004D2BCB" w:rsidRDefault="00433695" w:rsidP="00433695">
      <w:pPr>
        <w:pStyle w:val="Default"/>
        <w:numPr>
          <w:ilvl w:val="0"/>
          <w:numId w:val="20"/>
        </w:numPr>
        <w:rPr>
          <w:rFonts w:ascii="Arial" w:hAnsi="Arial" w:cs="Arial"/>
          <w:color w:val="auto"/>
          <w:sz w:val="20"/>
        </w:rPr>
      </w:pPr>
      <w:r w:rsidRPr="004D2BCB">
        <w:rPr>
          <w:rFonts w:ascii="Arial" w:hAnsi="Arial" w:cs="Arial"/>
          <w:sz w:val="20"/>
        </w:rPr>
        <w:t>LED luminaires must work with existing controls or controls with equivalent or better functionality must be installed.</w:t>
      </w:r>
    </w:p>
    <w:p w:rsidR="00433695" w:rsidRPr="004D2BCB" w:rsidRDefault="00433695" w:rsidP="00433695">
      <w:pPr>
        <w:pStyle w:val="Default"/>
        <w:numPr>
          <w:ilvl w:val="0"/>
          <w:numId w:val="21"/>
        </w:numPr>
        <w:rPr>
          <w:rFonts w:ascii="Arial" w:hAnsi="Arial" w:cs="Arial"/>
          <w:sz w:val="20"/>
        </w:rPr>
      </w:pPr>
      <w:r w:rsidRPr="004D2BCB">
        <w:rPr>
          <w:rFonts w:ascii="Arial" w:hAnsi="Arial" w:cs="Arial"/>
          <w:sz w:val="20"/>
        </w:rPr>
        <w:t xml:space="preserve">Replaced fixtures must be rendered inoperable after removal. </w:t>
      </w:r>
    </w:p>
    <w:p w:rsidR="00433695" w:rsidRPr="004D2BCB" w:rsidRDefault="00433695" w:rsidP="00433695">
      <w:pPr>
        <w:pStyle w:val="Default"/>
        <w:numPr>
          <w:ilvl w:val="0"/>
          <w:numId w:val="21"/>
        </w:numPr>
        <w:rPr>
          <w:rFonts w:ascii="Arial" w:hAnsi="Arial" w:cs="Arial"/>
          <w:sz w:val="20"/>
        </w:rPr>
      </w:pPr>
      <w:r w:rsidRPr="004D2BCB">
        <w:rPr>
          <w:rFonts w:ascii="Arial" w:hAnsi="Arial" w:cs="Arial"/>
          <w:sz w:val="20"/>
        </w:rPr>
        <w:t xml:space="preserve">Fluorescent magnetic ballasts cannot be used to power the LED system. </w:t>
      </w:r>
    </w:p>
    <w:p w:rsidR="00433695" w:rsidRPr="004D2BCB" w:rsidRDefault="00433695" w:rsidP="00433695">
      <w:pPr>
        <w:pStyle w:val="Default"/>
        <w:numPr>
          <w:ilvl w:val="0"/>
          <w:numId w:val="21"/>
        </w:numPr>
        <w:rPr>
          <w:rFonts w:ascii="Arial" w:hAnsi="Arial" w:cs="Arial"/>
          <w:sz w:val="20"/>
        </w:rPr>
      </w:pPr>
      <w:r w:rsidRPr="004D2BCB">
        <w:rPr>
          <w:rFonts w:ascii="Arial" w:hAnsi="Arial" w:cs="Arial"/>
          <w:sz w:val="20"/>
        </w:rPr>
        <w:t xml:space="preserve">Manufacturer’s warranty must be a minimum of </w:t>
      </w:r>
      <w:r w:rsidR="0014716C" w:rsidRPr="004D2BCB">
        <w:rPr>
          <w:rFonts w:ascii="Arial" w:hAnsi="Arial" w:cs="Arial"/>
          <w:sz w:val="20"/>
        </w:rPr>
        <w:t>five</w:t>
      </w:r>
      <w:r w:rsidRPr="004D2BCB">
        <w:rPr>
          <w:rFonts w:ascii="Arial" w:hAnsi="Arial" w:cs="Arial"/>
          <w:sz w:val="20"/>
        </w:rPr>
        <w:t xml:space="preserve"> years and must include fixtures, mounting hardware, power supply and light source (i.e. LED). </w:t>
      </w:r>
    </w:p>
    <w:p w:rsidR="00433695" w:rsidRPr="004D2BCB" w:rsidRDefault="00433695" w:rsidP="00433695">
      <w:pPr>
        <w:pStyle w:val="Default"/>
        <w:numPr>
          <w:ilvl w:val="0"/>
          <w:numId w:val="21"/>
        </w:numPr>
        <w:rPr>
          <w:rFonts w:ascii="Arial" w:hAnsi="Arial" w:cs="Arial"/>
          <w:sz w:val="20"/>
        </w:rPr>
      </w:pPr>
      <w:r w:rsidRPr="004D2BCB">
        <w:rPr>
          <w:rFonts w:ascii="Arial" w:hAnsi="Arial" w:cs="Arial"/>
          <w:sz w:val="20"/>
        </w:rPr>
        <w:t>LEDs must be rated to maintain no less than 70% of initial lumen output (</w:t>
      </w:r>
      <w:r w:rsidRPr="004D2BCB">
        <w:rPr>
          <w:rFonts w:ascii="Arial" w:hAnsi="Arial" w:cs="Arial"/>
          <w:i/>
          <w:sz w:val="20"/>
        </w:rPr>
        <w:t>L70</w:t>
      </w:r>
      <w:r w:rsidRPr="004D2BCB">
        <w:rPr>
          <w:rFonts w:ascii="Arial" w:hAnsi="Arial" w:cs="Arial"/>
          <w:sz w:val="20"/>
        </w:rPr>
        <w:t>) at 50,000 hours of operation.</w:t>
      </w:r>
    </w:p>
    <w:p w:rsidR="00433695" w:rsidRPr="004D2BCB" w:rsidRDefault="00433695" w:rsidP="00433695">
      <w:pPr>
        <w:pStyle w:val="Default"/>
        <w:numPr>
          <w:ilvl w:val="0"/>
          <w:numId w:val="21"/>
        </w:numPr>
        <w:rPr>
          <w:rFonts w:ascii="Arial" w:hAnsi="Arial" w:cs="Arial"/>
          <w:sz w:val="20"/>
        </w:rPr>
      </w:pPr>
      <w:r w:rsidRPr="004D2BCB">
        <w:rPr>
          <w:rFonts w:ascii="Arial" w:hAnsi="Arial" w:cs="Arial"/>
          <w:sz w:val="20"/>
        </w:rPr>
        <w:t xml:space="preserve">Lumen efficacy of LED luminaire must be greater than or equal to 40 lumens/watt. </w:t>
      </w:r>
    </w:p>
    <w:p w:rsidR="00433695" w:rsidRPr="004D2BCB" w:rsidRDefault="00433695" w:rsidP="00433695">
      <w:pPr>
        <w:pStyle w:val="Default"/>
        <w:numPr>
          <w:ilvl w:val="0"/>
          <w:numId w:val="21"/>
        </w:numPr>
        <w:rPr>
          <w:rFonts w:ascii="Arial" w:hAnsi="Arial" w:cs="Arial"/>
          <w:color w:val="auto"/>
          <w:sz w:val="20"/>
        </w:rPr>
      </w:pPr>
      <w:r w:rsidRPr="004D2BCB">
        <w:rPr>
          <w:rFonts w:ascii="Arial" w:hAnsi="Arial" w:cs="Arial"/>
          <w:color w:val="auto"/>
          <w:sz w:val="20"/>
        </w:rPr>
        <w:t>Color Rendering Index (CRI) of LED luminaire must be greater than or equal to 70.</w:t>
      </w:r>
    </w:p>
    <w:p w:rsidR="00433695" w:rsidRPr="004D2BCB" w:rsidRDefault="00433695" w:rsidP="00433695">
      <w:pPr>
        <w:pStyle w:val="Default"/>
        <w:numPr>
          <w:ilvl w:val="0"/>
          <w:numId w:val="21"/>
        </w:numPr>
        <w:rPr>
          <w:rFonts w:ascii="Arial" w:hAnsi="Arial" w:cs="Arial"/>
          <w:color w:val="auto"/>
          <w:sz w:val="20"/>
        </w:rPr>
      </w:pPr>
      <w:r w:rsidRPr="004D2BCB">
        <w:rPr>
          <w:rFonts w:ascii="Arial" w:hAnsi="Arial" w:cs="Arial"/>
          <w:color w:val="auto"/>
          <w:sz w:val="20"/>
        </w:rPr>
        <w:t>Total Harmonic Distortion of LED luminaire must be less than or equal to 20%.</w:t>
      </w:r>
    </w:p>
    <w:p w:rsidR="00433695" w:rsidRPr="004D2BCB" w:rsidRDefault="00433695" w:rsidP="00433695">
      <w:pPr>
        <w:pStyle w:val="Default"/>
        <w:numPr>
          <w:ilvl w:val="0"/>
          <w:numId w:val="21"/>
        </w:numPr>
        <w:rPr>
          <w:rFonts w:ascii="Arial" w:hAnsi="Arial" w:cs="Arial"/>
          <w:color w:val="auto"/>
          <w:sz w:val="20"/>
        </w:rPr>
      </w:pPr>
      <w:r w:rsidRPr="004D2BCB">
        <w:rPr>
          <w:rFonts w:ascii="Arial" w:hAnsi="Arial" w:cs="Arial"/>
          <w:color w:val="auto"/>
          <w:sz w:val="20"/>
        </w:rPr>
        <w:t>Power Factor of LED luminaire must be greater than or equal to 0.80.</w:t>
      </w:r>
    </w:p>
    <w:p w:rsidR="00433695" w:rsidRPr="004D2BCB" w:rsidRDefault="00433695" w:rsidP="00433695">
      <w:pPr>
        <w:numPr>
          <w:ilvl w:val="0"/>
          <w:numId w:val="21"/>
        </w:numPr>
        <w:autoSpaceDE w:val="0"/>
        <w:autoSpaceDN w:val="0"/>
        <w:adjustRightInd w:val="0"/>
        <w:rPr>
          <w:rFonts w:ascii="Arial" w:hAnsi="Arial" w:cs="Arial"/>
          <w:i/>
          <w:iCs/>
          <w:color w:val="000000"/>
          <w:sz w:val="20"/>
        </w:rPr>
      </w:pPr>
      <w:r w:rsidRPr="004D2BCB">
        <w:rPr>
          <w:rFonts w:ascii="Arial" w:hAnsi="Arial" w:cs="Arial"/>
          <w:sz w:val="20"/>
        </w:rPr>
        <w:t xml:space="preserve">LED luminaire must comply with </w:t>
      </w:r>
      <w:r w:rsidRPr="004D2BCB">
        <w:rPr>
          <w:rFonts w:ascii="Arial" w:hAnsi="Arial" w:cs="Arial"/>
          <w:color w:val="000000"/>
          <w:sz w:val="20"/>
        </w:rPr>
        <w:t xml:space="preserve">UL 8750 – 2009 </w:t>
      </w:r>
      <w:r w:rsidRPr="004D2BCB">
        <w:rPr>
          <w:rFonts w:ascii="Arial" w:hAnsi="Arial" w:cs="Arial"/>
          <w:i/>
          <w:iCs/>
          <w:color w:val="000000"/>
          <w:sz w:val="20"/>
        </w:rPr>
        <w:t>Light Emitting Diode (LED) Equipment for Use in Lighting Products.</w:t>
      </w:r>
    </w:p>
    <w:p w:rsidR="00433695" w:rsidRPr="004D2BCB" w:rsidRDefault="00433695" w:rsidP="00480BAD">
      <w:pPr>
        <w:ind w:left="360"/>
        <w:rPr>
          <w:rFonts w:ascii="Arial" w:hAnsi="Arial" w:cs="Arial"/>
          <w:b/>
          <w:i/>
          <w:sz w:val="20"/>
          <w:szCs w:val="20"/>
        </w:rPr>
      </w:pPr>
    </w:p>
    <w:p w:rsidR="00FE2600" w:rsidRPr="004D2BCB" w:rsidRDefault="00FE2600" w:rsidP="00FE2600">
      <w:pPr>
        <w:autoSpaceDE w:val="0"/>
        <w:autoSpaceDN w:val="0"/>
        <w:adjustRightInd w:val="0"/>
        <w:rPr>
          <w:rFonts w:ascii="Arial" w:hAnsi="Arial" w:cs="Arial"/>
          <w:b/>
          <w:bCs/>
          <w:color w:val="000000"/>
          <w:sz w:val="20"/>
          <w:szCs w:val="20"/>
        </w:rPr>
      </w:pPr>
      <w:r w:rsidRPr="004D2BCB">
        <w:rPr>
          <w:rFonts w:ascii="Arial" w:hAnsi="Arial" w:cs="Arial"/>
          <w:b/>
          <w:bCs/>
          <w:color w:val="000000"/>
          <w:sz w:val="20"/>
          <w:szCs w:val="20"/>
        </w:rPr>
        <w:t>Performance Characteristics Test Procedure</w:t>
      </w:r>
    </w:p>
    <w:p w:rsidR="00FE2600" w:rsidRPr="004D2BCB" w:rsidRDefault="00FE2600" w:rsidP="00312A1F">
      <w:pPr>
        <w:jc w:val="both"/>
        <w:rPr>
          <w:rFonts w:ascii="Arial" w:hAnsi="Arial" w:cs="Arial"/>
          <w:sz w:val="20"/>
        </w:rPr>
      </w:pPr>
      <w:r w:rsidRPr="004D2BCB">
        <w:rPr>
          <w:rFonts w:ascii="Arial" w:hAnsi="Arial" w:cs="Arial"/>
          <w:sz w:val="20"/>
        </w:rPr>
        <w:t xml:space="preserve">In order to demonstrate compliance with performance requirements listed above, results from IESNA LM-79-08 and LM-80-08 tests performed by a laboratory that is DOE </w:t>
      </w:r>
      <w:proofErr w:type="spellStart"/>
      <w:r w:rsidRPr="004D2BCB">
        <w:rPr>
          <w:rFonts w:ascii="Arial" w:hAnsi="Arial" w:cs="Arial"/>
          <w:sz w:val="20"/>
        </w:rPr>
        <w:t>CALiPER</w:t>
      </w:r>
      <w:proofErr w:type="spellEnd"/>
      <w:r w:rsidRPr="004D2BCB">
        <w:rPr>
          <w:rFonts w:ascii="Arial" w:hAnsi="Arial" w:cs="Arial"/>
          <w:sz w:val="20"/>
        </w:rPr>
        <w:t xml:space="preserve"> Recognized or NVLAP Accredited for LM-79-08 must be submitted for all applicable models.</w:t>
      </w:r>
    </w:p>
    <w:p w:rsidR="00FE2600" w:rsidRPr="004D2BCB" w:rsidRDefault="00FE2600" w:rsidP="00480BAD">
      <w:pPr>
        <w:ind w:left="360"/>
        <w:rPr>
          <w:rFonts w:ascii="Arial" w:hAnsi="Arial" w:cs="Arial"/>
          <w:b/>
          <w:i/>
          <w:sz w:val="20"/>
          <w:szCs w:val="20"/>
        </w:rPr>
      </w:pPr>
    </w:p>
    <w:p w:rsidR="00FE2600" w:rsidRPr="004D2BCB" w:rsidRDefault="00FE2600" w:rsidP="00480BAD">
      <w:pPr>
        <w:ind w:left="360"/>
        <w:rPr>
          <w:rFonts w:ascii="Arial" w:hAnsi="Arial" w:cs="Arial"/>
          <w:b/>
          <w:i/>
          <w:sz w:val="20"/>
          <w:szCs w:val="20"/>
        </w:rPr>
      </w:pPr>
    </w:p>
    <w:p w:rsidR="00DC3912" w:rsidRPr="004D2BCB" w:rsidRDefault="00521920" w:rsidP="001C6598">
      <w:pPr>
        <w:rPr>
          <w:rFonts w:ascii="Arial" w:hAnsi="Arial" w:cs="Arial"/>
          <w:b/>
          <w:i/>
          <w:sz w:val="20"/>
          <w:szCs w:val="20"/>
        </w:rPr>
      </w:pPr>
      <w:r w:rsidRPr="004D2BCB">
        <w:rPr>
          <w:rFonts w:ascii="Arial" w:hAnsi="Arial" w:cs="Arial"/>
          <w:b/>
          <w:i/>
          <w:sz w:val="20"/>
          <w:szCs w:val="20"/>
        </w:rPr>
        <w:t>Market Applicability</w:t>
      </w:r>
      <w:r w:rsidR="003E7422" w:rsidRPr="004D2BCB">
        <w:rPr>
          <w:rFonts w:ascii="Arial" w:hAnsi="Arial" w:cs="Arial"/>
          <w:b/>
          <w:i/>
          <w:sz w:val="20"/>
          <w:szCs w:val="20"/>
        </w:rPr>
        <w:t>:</w:t>
      </w:r>
    </w:p>
    <w:p w:rsidR="00197A23" w:rsidRPr="004D2BCB" w:rsidRDefault="008A1E39" w:rsidP="00312A1F">
      <w:pPr>
        <w:jc w:val="both"/>
        <w:rPr>
          <w:rFonts w:ascii="Arial" w:hAnsi="Arial" w:cs="Arial"/>
          <w:sz w:val="20"/>
        </w:rPr>
      </w:pPr>
      <w:r w:rsidRPr="00390130">
        <w:rPr>
          <w:rFonts w:ascii="Arial" w:hAnsi="Arial" w:cs="Arial"/>
          <w:sz w:val="20"/>
        </w:rPr>
        <w:t>These measures are primarily applicable to the grocery store sector, provided that the customer meets the terms and conditions above.  In some cases, these measures may also be applicable to the small business, retail, hospitality, and hospital sectors that have lighted refrigerated cases.</w:t>
      </w:r>
    </w:p>
    <w:p w:rsidR="00953425" w:rsidRPr="004D2BCB" w:rsidRDefault="00953425">
      <w:pPr>
        <w:rPr>
          <w:rFonts w:ascii="Arial" w:hAnsi="Arial" w:cs="Arial"/>
          <w:b/>
          <w:bCs/>
          <w:i/>
          <w:iCs/>
          <w:sz w:val="28"/>
          <w:szCs w:val="28"/>
        </w:rPr>
      </w:pPr>
      <w:r w:rsidRPr="00390130">
        <w:rPr>
          <w:rFonts w:ascii="Arial" w:hAnsi="Arial" w:cs="Arial"/>
        </w:rPr>
        <w:br w:type="page"/>
      </w:r>
    </w:p>
    <w:p w:rsidR="00521920" w:rsidRPr="004D2BCB" w:rsidRDefault="00806070" w:rsidP="00774447">
      <w:pPr>
        <w:pStyle w:val="Heading2"/>
      </w:pPr>
      <w:bookmarkStart w:id="17" w:name="_Toc438047457"/>
      <w:r w:rsidRPr="004D2BCB">
        <w:lastRenderedPageBreak/>
        <w:t xml:space="preserve">1.2 Product </w:t>
      </w:r>
      <w:r w:rsidR="00521920" w:rsidRPr="004D2BCB">
        <w:t>Technical Description</w:t>
      </w:r>
      <w:bookmarkEnd w:id="17"/>
    </w:p>
    <w:p w:rsidR="002D31FD" w:rsidRPr="004D2BCB" w:rsidRDefault="002D31FD" w:rsidP="00312A1F">
      <w:pPr>
        <w:pStyle w:val="Default"/>
        <w:jc w:val="center"/>
        <w:rPr>
          <w:rFonts w:ascii="Arial" w:hAnsi="Arial" w:cs="Arial"/>
          <w:color w:val="auto"/>
        </w:rPr>
      </w:pPr>
    </w:p>
    <w:p w:rsidR="00433695" w:rsidRPr="004D2BCB" w:rsidRDefault="00433695" w:rsidP="00312A1F">
      <w:pPr>
        <w:jc w:val="both"/>
        <w:rPr>
          <w:rFonts w:ascii="Arial" w:hAnsi="Arial" w:cs="Arial"/>
          <w:sz w:val="20"/>
        </w:rPr>
      </w:pPr>
      <w:r w:rsidRPr="004D2BCB">
        <w:rPr>
          <w:rFonts w:ascii="Arial" w:hAnsi="Arial" w:cs="Arial"/>
          <w:sz w:val="20"/>
        </w:rPr>
        <w:t xml:space="preserve">The measures addressed in this work paper are replacing a variety of fluorescent and incandescent lighting systems in refrigerated areas of a grocery store with Light Emitting Diode (LED) luminaires. The work paper documents energy and demand savings resulting from this retrofit. The base case is defined by the wattage of the existing system, which could be an E-26 Base with an incandescent lamp, a T8 or T12 linear fluorescent luminaire or an HID luminaire. The post-installation case is an LED luminaire, which is further defined by its rated wattage. Qualifying LED products must meet </w:t>
      </w:r>
      <w:proofErr w:type="spellStart"/>
      <w:r w:rsidRPr="004D2BCB">
        <w:rPr>
          <w:rFonts w:ascii="Arial" w:hAnsi="Arial" w:cs="Arial"/>
          <w:sz w:val="20"/>
        </w:rPr>
        <w:t>EnergySmart</w:t>
      </w:r>
      <w:proofErr w:type="spellEnd"/>
      <w:r w:rsidRPr="004D2BCB">
        <w:rPr>
          <w:rFonts w:ascii="Arial" w:hAnsi="Arial" w:cs="Arial"/>
          <w:sz w:val="20"/>
        </w:rPr>
        <w:t xml:space="preserve"> Grocer program requirements in affect at time of submission.</w:t>
      </w:r>
    </w:p>
    <w:p w:rsidR="00433695" w:rsidRDefault="00433695" w:rsidP="00312A1F">
      <w:pPr>
        <w:jc w:val="both"/>
        <w:rPr>
          <w:rFonts w:ascii="Arial" w:hAnsi="Arial" w:cs="Arial"/>
          <w:sz w:val="20"/>
        </w:rPr>
      </w:pPr>
    </w:p>
    <w:p w:rsidR="008D6F1D" w:rsidRPr="004D2BCB" w:rsidRDefault="008D6F1D" w:rsidP="00312A1F">
      <w:pPr>
        <w:jc w:val="both"/>
        <w:rPr>
          <w:rFonts w:ascii="Arial" w:hAnsi="Arial" w:cs="Arial"/>
          <w:sz w:val="20"/>
        </w:rPr>
      </w:pPr>
    </w:p>
    <w:p w:rsidR="00433695" w:rsidRDefault="00433695" w:rsidP="00312A1F">
      <w:pPr>
        <w:jc w:val="both"/>
        <w:rPr>
          <w:rFonts w:ascii="Arial" w:hAnsi="Arial" w:cs="Arial"/>
          <w:sz w:val="20"/>
        </w:rPr>
      </w:pPr>
      <w:r w:rsidRPr="004D2BCB">
        <w:rPr>
          <w:rFonts w:ascii="Arial" w:hAnsi="Arial" w:cs="Arial"/>
          <w:sz w:val="20"/>
        </w:rPr>
        <w:t>Replacing the existing lighting system with an LED luminaire reduces direct power demand while leaving the hours of operation unchanged. The reduced power demand provides peak demand savings and direct electrical savings. There are additional interactive effects with the building’s refrigeration system, which result in indirect electrical savings.</w:t>
      </w:r>
    </w:p>
    <w:p w:rsidR="008D6F1D" w:rsidRPr="004D2BCB" w:rsidRDefault="008D6F1D" w:rsidP="00312A1F">
      <w:pPr>
        <w:jc w:val="both"/>
        <w:rPr>
          <w:rFonts w:ascii="Arial" w:hAnsi="Arial" w:cs="Arial"/>
          <w:sz w:val="20"/>
        </w:rPr>
      </w:pPr>
    </w:p>
    <w:p w:rsidR="009C5CA7" w:rsidRPr="004D2BCB" w:rsidRDefault="009C5CA7" w:rsidP="009C5CA7">
      <w:pPr>
        <w:pStyle w:val="Heading2"/>
        <w:keepNext w:val="0"/>
      </w:pPr>
      <w:bookmarkStart w:id="18" w:name="_Toc438047458"/>
      <w:r w:rsidRPr="004D2BCB">
        <w:t>1.</w:t>
      </w:r>
      <w:r w:rsidR="00806070" w:rsidRPr="004D2BCB">
        <w:t>3</w:t>
      </w:r>
      <w:r w:rsidRPr="004D2BCB">
        <w:t xml:space="preserve"> </w:t>
      </w:r>
      <w:r w:rsidR="00066263" w:rsidRPr="004D2BCB">
        <w:t xml:space="preserve">Measure Application </w:t>
      </w:r>
      <w:r w:rsidR="00FA595F" w:rsidRPr="004D2BCB">
        <w:t>Type</w:t>
      </w:r>
      <w:bookmarkEnd w:id="18"/>
    </w:p>
    <w:p w:rsidR="009C5CA7" w:rsidRPr="004D2BCB" w:rsidRDefault="00AF7F49" w:rsidP="00312A1F">
      <w:pPr>
        <w:jc w:val="both"/>
        <w:rPr>
          <w:rFonts w:ascii="Arial" w:hAnsi="Arial" w:cs="Arial"/>
          <w:sz w:val="20"/>
        </w:rPr>
      </w:pPr>
      <w:r w:rsidRPr="00390130">
        <w:rPr>
          <w:rFonts w:ascii="Arial" w:hAnsi="Arial" w:cs="Arial"/>
          <w:sz w:val="20"/>
        </w:rPr>
        <w:t xml:space="preserve">The DEER Measure Cost Data Users Guide found on </w:t>
      </w:r>
      <w:hyperlink r:id="rId14" w:history="1">
        <w:r w:rsidRPr="00390130">
          <w:rPr>
            <w:rFonts w:ascii="Arial" w:hAnsi="Arial"/>
            <w:sz w:val="20"/>
          </w:rPr>
          <w:t>www.deeresources.com</w:t>
        </w:r>
      </w:hyperlink>
      <w:r w:rsidRPr="00390130">
        <w:rPr>
          <w:rFonts w:ascii="Arial" w:hAnsi="Arial" w:cs="Arial"/>
          <w:sz w:val="20"/>
        </w:rPr>
        <w:t xml:space="preserve"> under DEER2011 Database Format hyperlink, DEER2011 for 13-14, spreadsheet SPTdata_format-V0.97.xls, defines the terms as follows:</w:t>
      </w:r>
    </w:p>
    <w:p w:rsidR="009C5CA7" w:rsidRDefault="009C5CA7" w:rsidP="009C5CA7">
      <w:pPr>
        <w:rPr>
          <w:rFonts w:ascii="Arial" w:hAnsi="Arial" w:cs="Arial"/>
          <w:i/>
        </w:rPr>
      </w:pPr>
    </w:p>
    <w:p w:rsidR="008D6F1D" w:rsidRPr="004D2BCB" w:rsidRDefault="008D6F1D" w:rsidP="009C5CA7">
      <w:pPr>
        <w:rPr>
          <w:rFonts w:ascii="Arial" w:hAnsi="Arial" w:cs="Arial"/>
          <w:i/>
        </w:rPr>
      </w:pPr>
    </w:p>
    <w:p w:rsidR="00F83B50" w:rsidRPr="00390130" w:rsidRDefault="00F83B50" w:rsidP="00346796">
      <w:pPr>
        <w:pStyle w:val="Caption"/>
        <w:rPr>
          <w:rFonts w:cs="Arial"/>
        </w:rPr>
      </w:pPr>
      <w:bookmarkStart w:id="19" w:name="_Toc438047483"/>
      <w:r w:rsidRPr="00FF214D">
        <w:rPr>
          <w:rFonts w:cs="Arial"/>
        </w:rPr>
        <w:t xml:space="preserve">Table </w:t>
      </w:r>
      <w:r w:rsidR="009861DE" w:rsidRPr="00390130">
        <w:rPr>
          <w:rFonts w:cs="Arial"/>
        </w:rPr>
        <w:fldChar w:fldCharType="begin"/>
      </w:r>
      <w:r w:rsidR="009861DE" w:rsidRPr="00390130">
        <w:rPr>
          <w:rFonts w:cs="Arial"/>
        </w:rPr>
        <w:instrText xml:space="preserve"> SEQ Table \* ARABIC </w:instrText>
      </w:r>
      <w:r w:rsidR="009861DE" w:rsidRPr="00390130">
        <w:rPr>
          <w:rFonts w:cs="Arial"/>
        </w:rPr>
        <w:fldChar w:fldCharType="separate"/>
      </w:r>
      <w:r w:rsidR="00940E51" w:rsidRPr="00390130">
        <w:rPr>
          <w:rFonts w:cs="Arial"/>
          <w:noProof/>
        </w:rPr>
        <w:t>1</w:t>
      </w:r>
      <w:r w:rsidR="009861DE" w:rsidRPr="00390130">
        <w:rPr>
          <w:rFonts w:cs="Arial"/>
          <w:noProof/>
        </w:rPr>
        <w:fldChar w:fldCharType="end"/>
      </w:r>
      <w:bookmarkStart w:id="20" w:name="RANGE!B222"/>
      <w:r w:rsidRPr="00390130">
        <w:rPr>
          <w:rFonts w:cs="Arial"/>
        </w:rPr>
        <w:t xml:space="preserve"> </w:t>
      </w:r>
      <w:r w:rsidR="00AF2B65" w:rsidRPr="00390130">
        <w:rPr>
          <w:rFonts w:cs="Arial"/>
        </w:rPr>
        <w:t xml:space="preserve">- </w:t>
      </w:r>
      <w:r w:rsidRPr="00390130">
        <w:rPr>
          <w:rFonts w:cs="Arial"/>
        </w:rPr>
        <w:t>Measure Application Type</w:t>
      </w:r>
      <w:bookmarkEnd w:id="20"/>
      <w:r w:rsidRPr="004D2BCB">
        <w:rPr>
          <w:rStyle w:val="EndnoteReference"/>
          <w:rFonts w:cs="Arial"/>
          <w:sz w:val="24"/>
          <w:szCs w:val="24"/>
        </w:rPr>
        <w:endnoteReference w:id="1"/>
      </w:r>
      <w:bookmarkEnd w:id="19"/>
    </w:p>
    <w:p w:rsidR="00F83B50" w:rsidRPr="00390130" w:rsidRDefault="00F83B50" w:rsidP="00312A1F">
      <w:pPr>
        <w:keepNext/>
        <w:rPr>
          <w:rFonts w:ascii="Arial" w:hAnsi="Arial" w:cs="Arial"/>
        </w:rPr>
      </w:pPr>
      <w:proofErr w:type="gramStart"/>
      <w:r w:rsidRPr="00390130">
        <w:rPr>
          <w:rFonts w:ascii="Arial" w:hAnsi="Arial" w:cs="Arial"/>
          <w:i/>
          <w:iCs/>
          <w:szCs w:val="22"/>
        </w:rPr>
        <w:t>Identifies the measure application type in the Measure Implemen</w:t>
      </w:r>
      <w:r w:rsidR="00751753" w:rsidRPr="00390130">
        <w:rPr>
          <w:rFonts w:ascii="Arial" w:hAnsi="Arial" w:cs="Arial"/>
          <w:i/>
          <w:iCs/>
          <w:szCs w:val="22"/>
        </w:rPr>
        <w:t>t</w:t>
      </w:r>
      <w:r w:rsidRPr="00390130">
        <w:rPr>
          <w:rFonts w:ascii="Arial" w:hAnsi="Arial" w:cs="Arial"/>
          <w:i/>
          <w:iCs/>
          <w:szCs w:val="22"/>
        </w:rPr>
        <w:t>ation table in DEER2011.</w:t>
      </w:r>
      <w:proofErr w:type="gramEnd"/>
    </w:p>
    <w:tbl>
      <w:tblPr>
        <w:tblW w:w="9090" w:type="dxa"/>
        <w:tblInd w:w="108" w:type="dxa"/>
        <w:tblLook w:val="04A0" w:firstRow="1" w:lastRow="0" w:firstColumn="1" w:lastColumn="0" w:noHBand="0" w:noVBand="1"/>
      </w:tblPr>
      <w:tblGrid>
        <w:gridCol w:w="900"/>
        <w:gridCol w:w="2610"/>
        <w:gridCol w:w="5580"/>
      </w:tblGrid>
      <w:tr w:rsidR="00F83B50" w:rsidRPr="004D2BCB" w:rsidTr="00312A1F">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F83B50" w:rsidRPr="00390130" w:rsidRDefault="00F83B50" w:rsidP="00312A1F">
            <w:pPr>
              <w:keepNext/>
              <w:rPr>
                <w:rFonts w:ascii="Arial" w:hAnsi="Arial" w:cs="Arial"/>
                <w:b/>
                <w:color w:val="000000"/>
                <w:szCs w:val="22"/>
              </w:rPr>
            </w:pPr>
            <w:r w:rsidRPr="00390130">
              <w:rPr>
                <w:rFonts w:ascii="Arial" w:hAnsi="Arial" w:cs="Arial"/>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F83B50" w:rsidRPr="00390130" w:rsidRDefault="00F83B50" w:rsidP="00312A1F">
            <w:pPr>
              <w:keepNext/>
              <w:rPr>
                <w:rFonts w:ascii="Arial" w:hAnsi="Arial" w:cs="Arial"/>
                <w:b/>
                <w:color w:val="000000"/>
                <w:szCs w:val="22"/>
              </w:rPr>
            </w:pPr>
            <w:r w:rsidRPr="00390130">
              <w:rPr>
                <w:rFonts w:ascii="Arial" w:hAnsi="Arial" w:cs="Arial"/>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F83B50" w:rsidRPr="00390130" w:rsidRDefault="00F83B50" w:rsidP="00312A1F">
            <w:pPr>
              <w:keepNext/>
              <w:rPr>
                <w:rFonts w:ascii="Arial" w:hAnsi="Arial" w:cs="Arial"/>
                <w:b/>
                <w:color w:val="000000"/>
                <w:szCs w:val="22"/>
              </w:rPr>
            </w:pPr>
            <w:r w:rsidRPr="00390130">
              <w:rPr>
                <w:rFonts w:ascii="Arial" w:hAnsi="Arial" w:cs="Arial"/>
                <w:b/>
                <w:color w:val="000000"/>
                <w:szCs w:val="22"/>
              </w:rPr>
              <w:t>Comment</w:t>
            </w:r>
          </w:p>
        </w:tc>
      </w:tr>
      <w:tr w:rsidR="002A5CDC" w:rsidRPr="004D2BCB" w:rsidTr="00312A1F">
        <w:trPr>
          <w:trHeight w:val="600"/>
        </w:trPr>
        <w:tc>
          <w:tcPr>
            <w:tcW w:w="900" w:type="dxa"/>
            <w:tcBorders>
              <w:top w:val="single" w:sz="8" w:space="0" w:color="auto"/>
              <w:left w:val="single" w:sz="4" w:space="0" w:color="auto"/>
              <w:bottom w:val="single" w:sz="4" w:space="0" w:color="auto"/>
              <w:right w:val="nil"/>
            </w:tcBorders>
            <w:shd w:val="clear" w:color="auto" w:fill="auto"/>
            <w:noWrap/>
            <w:vAlign w:val="center"/>
          </w:tcPr>
          <w:p w:rsidR="002A5CDC" w:rsidRPr="00390130" w:rsidRDefault="002A5CDC" w:rsidP="00683C25">
            <w:pPr>
              <w:keepNext/>
              <w:rPr>
                <w:rFonts w:ascii="Arial" w:hAnsi="Arial" w:cs="Arial"/>
                <w:szCs w:val="22"/>
              </w:rPr>
            </w:pPr>
            <w:r w:rsidRPr="00390130">
              <w:rPr>
                <w:rFonts w:ascii="Arial" w:hAnsi="Arial" w:cs="Arial"/>
                <w:szCs w:val="22"/>
              </w:rPr>
              <w:t>ROB</w:t>
            </w:r>
          </w:p>
        </w:tc>
        <w:tc>
          <w:tcPr>
            <w:tcW w:w="2610" w:type="dxa"/>
            <w:tcBorders>
              <w:top w:val="single" w:sz="8" w:space="0" w:color="auto"/>
              <w:left w:val="nil"/>
              <w:bottom w:val="single" w:sz="4" w:space="0" w:color="auto"/>
              <w:right w:val="nil"/>
            </w:tcBorders>
            <w:shd w:val="clear" w:color="auto" w:fill="auto"/>
            <w:noWrap/>
            <w:vAlign w:val="center"/>
          </w:tcPr>
          <w:p w:rsidR="002A5CDC" w:rsidRPr="00390130" w:rsidRDefault="002A5CDC" w:rsidP="00683C25">
            <w:pPr>
              <w:keepNext/>
              <w:rPr>
                <w:rFonts w:ascii="Arial" w:hAnsi="Arial" w:cs="Arial"/>
                <w:szCs w:val="22"/>
              </w:rPr>
            </w:pPr>
            <w:r w:rsidRPr="00390130">
              <w:rPr>
                <w:rFonts w:ascii="Arial" w:hAnsi="Arial" w:cs="Arial"/>
                <w:szCs w:val="22"/>
              </w:rPr>
              <w:t>Replace on Burnout</w:t>
            </w:r>
          </w:p>
        </w:tc>
        <w:tc>
          <w:tcPr>
            <w:tcW w:w="5580" w:type="dxa"/>
            <w:tcBorders>
              <w:top w:val="single" w:sz="8" w:space="0" w:color="auto"/>
              <w:left w:val="nil"/>
              <w:bottom w:val="single" w:sz="4" w:space="0" w:color="auto"/>
              <w:right w:val="single" w:sz="4" w:space="0" w:color="auto"/>
            </w:tcBorders>
            <w:shd w:val="clear" w:color="auto" w:fill="auto"/>
            <w:vAlign w:val="center"/>
          </w:tcPr>
          <w:p w:rsidR="002A5CDC" w:rsidRPr="00390130" w:rsidRDefault="002A5CDC" w:rsidP="00683C25">
            <w:pPr>
              <w:keepNext/>
              <w:rPr>
                <w:rFonts w:ascii="Arial" w:hAnsi="Arial" w:cs="Arial"/>
                <w:i/>
                <w:iCs/>
                <w:szCs w:val="22"/>
              </w:rPr>
            </w:pPr>
            <w:r w:rsidRPr="00390130">
              <w:rPr>
                <w:rFonts w:ascii="Arial" w:hAnsi="Arial" w:cs="Arial"/>
                <w:i/>
                <w:iCs/>
                <w:szCs w:val="22"/>
              </w:rPr>
              <w:t>Single baseline (above code), incremental or full costs</w:t>
            </w:r>
          </w:p>
        </w:tc>
      </w:tr>
    </w:tbl>
    <w:p w:rsidR="008075EF" w:rsidRDefault="008075EF" w:rsidP="008075EF">
      <w:pPr>
        <w:rPr>
          <w:rFonts w:ascii="Arial" w:hAnsi="Arial" w:cs="Arial"/>
          <w:sz w:val="20"/>
        </w:rPr>
      </w:pPr>
    </w:p>
    <w:p w:rsidR="008D6F1D" w:rsidRPr="004D2BCB" w:rsidRDefault="008D6F1D" w:rsidP="008075EF">
      <w:pPr>
        <w:rPr>
          <w:rFonts w:ascii="Arial" w:hAnsi="Arial" w:cs="Arial"/>
          <w:sz w:val="20"/>
        </w:rPr>
      </w:pPr>
    </w:p>
    <w:p w:rsidR="003C428B" w:rsidRDefault="00421210" w:rsidP="00390130">
      <w:pPr>
        <w:jc w:val="both"/>
        <w:rPr>
          <w:rFonts w:ascii="Arial" w:hAnsi="Arial" w:cs="Arial"/>
          <w:sz w:val="20"/>
        </w:rPr>
      </w:pPr>
      <w:r w:rsidRPr="004D2BCB">
        <w:rPr>
          <w:rFonts w:ascii="Arial" w:hAnsi="Arial" w:cs="Arial"/>
          <w:sz w:val="20"/>
        </w:rPr>
        <w:t>This measure demonstrates energy savings by replacing</w:t>
      </w:r>
      <w:r w:rsidR="003C428B" w:rsidRPr="004D2BCB">
        <w:rPr>
          <w:rFonts w:ascii="Arial" w:hAnsi="Arial" w:cs="Arial"/>
          <w:sz w:val="20"/>
        </w:rPr>
        <w:t xml:space="preserve"> the existing</w:t>
      </w:r>
      <w:r w:rsidRPr="004D2BCB">
        <w:rPr>
          <w:rFonts w:ascii="Arial" w:hAnsi="Arial" w:cs="Arial"/>
          <w:sz w:val="20"/>
        </w:rPr>
        <w:t xml:space="preserve"> walk-in</w:t>
      </w:r>
      <w:r w:rsidR="003C428B" w:rsidRPr="004D2BCB">
        <w:rPr>
          <w:rFonts w:ascii="Arial" w:hAnsi="Arial" w:cs="Arial"/>
          <w:sz w:val="20"/>
        </w:rPr>
        <w:t xml:space="preserve"> lighting fixtures at the end of their useful life. There are no existing building or appliance energy codes that mandate lighting efficiency requirements for existing walk-in boxes. All code addresses new walk-in coolers and freezers manufactured after January 1, 2009. Because the burnt out fixtures are readily replaced with a fixture of the same type, the existing fixture is considered the baseline. </w:t>
      </w:r>
    </w:p>
    <w:p w:rsidR="008D6F1D" w:rsidRDefault="008D6F1D" w:rsidP="00390130">
      <w:pPr>
        <w:jc w:val="both"/>
        <w:rPr>
          <w:rFonts w:ascii="Arial" w:hAnsi="Arial" w:cs="Arial"/>
          <w:sz w:val="20"/>
        </w:rPr>
      </w:pPr>
    </w:p>
    <w:p w:rsidR="008D6F1D" w:rsidRDefault="008D6F1D" w:rsidP="00390130">
      <w:pPr>
        <w:jc w:val="both"/>
        <w:rPr>
          <w:rFonts w:ascii="Arial" w:hAnsi="Arial" w:cs="Arial"/>
          <w:sz w:val="20"/>
        </w:rPr>
      </w:pPr>
    </w:p>
    <w:p w:rsidR="008D6F1D" w:rsidRDefault="008D6F1D" w:rsidP="00390130">
      <w:pPr>
        <w:jc w:val="both"/>
        <w:rPr>
          <w:rFonts w:ascii="Arial" w:hAnsi="Arial" w:cs="Arial"/>
          <w:sz w:val="20"/>
        </w:rPr>
      </w:pPr>
    </w:p>
    <w:p w:rsidR="008D6F1D" w:rsidRDefault="008D6F1D" w:rsidP="00390130">
      <w:pPr>
        <w:jc w:val="both"/>
        <w:rPr>
          <w:rFonts w:ascii="Arial" w:hAnsi="Arial" w:cs="Arial"/>
          <w:sz w:val="20"/>
        </w:rPr>
      </w:pPr>
    </w:p>
    <w:p w:rsidR="008D6F1D" w:rsidRDefault="008D6F1D" w:rsidP="00390130">
      <w:pPr>
        <w:jc w:val="both"/>
        <w:rPr>
          <w:rFonts w:ascii="Arial" w:hAnsi="Arial" w:cs="Arial"/>
          <w:sz w:val="20"/>
        </w:rPr>
      </w:pPr>
    </w:p>
    <w:p w:rsidR="008D6F1D" w:rsidRDefault="008D6F1D" w:rsidP="00390130">
      <w:pPr>
        <w:jc w:val="both"/>
        <w:rPr>
          <w:rFonts w:ascii="Arial" w:hAnsi="Arial" w:cs="Arial"/>
          <w:sz w:val="20"/>
        </w:rPr>
      </w:pPr>
    </w:p>
    <w:p w:rsidR="008D6F1D" w:rsidRDefault="008D6F1D" w:rsidP="00390130">
      <w:pPr>
        <w:jc w:val="both"/>
        <w:rPr>
          <w:rFonts w:ascii="Arial" w:hAnsi="Arial" w:cs="Arial"/>
          <w:sz w:val="20"/>
        </w:rPr>
      </w:pPr>
    </w:p>
    <w:p w:rsidR="008D6F1D" w:rsidRDefault="008D6F1D" w:rsidP="00390130">
      <w:pPr>
        <w:jc w:val="both"/>
        <w:rPr>
          <w:rFonts w:ascii="Arial" w:hAnsi="Arial" w:cs="Arial"/>
          <w:sz w:val="20"/>
        </w:rPr>
      </w:pPr>
    </w:p>
    <w:p w:rsidR="008D6F1D" w:rsidRDefault="008D6F1D" w:rsidP="00390130">
      <w:pPr>
        <w:jc w:val="both"/>
        <w:rPr>
          <w:rFonts w:ascii="Arial" w:hAnsi="Arial" w:cs="Arial"/>
          <w:sz w:val="20"/>
        </w:rPr>
      </w:pPr>
    </w:p>
    <w:p w:rsidR="008D6F1D" w:rsidRDefault="008D6F1D" w:rsidP="00390130">
      <w:pPr>
        <w:jc w:val="both"/>
        <w:rPr>
          <w:rFonts w:ascii="Arial" w:hAnsi="Arial" w:cs="Arial"/>
          <w:sz w:val="20"/>
        </w:rPr>
      </w:pPr>
    </w:p>
    <w:p w:rsidR="008D6F1D" w:rsidRPr="004D2BCB" w:rsidRDefault="008D6F1D" w:rsidP="00390130">
      <w:pPr>
        <w:jc w:val="both"/>
        <w:rPr>
          <w:rFonts w:ascii="Arial" w:hAnsi="Arial" w:cs="Arial"/>
          <w:sz w:val="20"/>
        </w:rPr>
      </w:pPr>
    </w:p>
    <w:p w:rsidR="00806070" w:rsidRPr="004D2BCB" w:rsidRDefault="00806070" w:rsidP="001248A3">
      <w:pPr>
        <w:pStyle w:val="Heading2"/>
      </w:pPr>
      <w:bookmarkStart w:id="21" w:name="_Toc438047459"/>
      <w:r w:rsidRPr="004D2BCB">
        <w:lastRenderedPageBreak/>
        <w:t>1.4 Product Base Case and Measure Case Data</w:t>
      </w:r>
      <w:bookmarkEnd w:id="21"/>
    </w:p>
    <w:p w:rsidR="00E71EF1" w:rsidRPr="004D2BCB" w:rsidRDefault="00C069A2" w:rsidP="00FE2600">
      <w:pPr>
        <w:pStyle w:val="Heading3"/>
        <w:numPr>
          <w:ilvl w:val="2"/>
          <w:numId w:val="22"/>
        </w:numPr>
      </w:pPr>
      <w:bookmarkStart w:id="22" w:name="_Toc438047460"/>
      <w:r w:rsidRPr="004D2BCB">
        <w:t xml:space="preserve">DEER </w:t>
      </w:r>
      <w:r w:rsidR="008C6AD1" w:rsidRPr="004D2BCB">
        <w:t>Base Case and Measure Case Information</w:t>
      </w:r>
      <w:bookmarkEnd w:id="22"/>
    </w:p>
    <w:p w:rsidR="001E4EC0" w:rsidRPr="00390130" w:rsidRDefault="001E4EC0" w:rsidP="00953425">
      <w:pPr>
        <w:rPr>
          <w:rFonts w:ascii="Arial" w:hAnsi="Arial" w:cs="Arial"/>
        </w:rPr>
      </w:pPr>
    </w:p>
    <w:tbl>
      <w:tblPr>
        <w:tblW w:w="10080" w:type="dxa"/>
        <w:tblInd w:w="93" w:type="dxa"/>
        <w:tblLook w:val="04A0" w:firstRow="1" w:lastRow="0" w:firstColumn="1" w:lastColumn="0" w:noHBand="0" w:noVBand="1"/>
      </w:tblPr>
      <w:tblGrid>
        <w:gridCol w:w="2967"/>
        <w:gridCol w:w="1806"/>
        <w:gridCol w:w="3575"/>
        <w:gridCol w:w="1732"/>
      </w:tblGrid>
      <w:tr w:rsidR="001E4EC0" w:rsidRPr="004D2BCB" w:rsidTr="001E4EC0">
        <w:trPr>
          <w:trHeight w:val="300"/>
        </w:trPr>
        <w:tc>
          <w:tcPr>
            <w:tcW w:w="100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4EC0" w:rsidRPr="00390130" w:rsidRDefault="001E4EC0">
            <w:pPr>
              <w:jc w:val="center"/>
              <w:rPr>
                <w:rFonts w:ascii="Arial" w:hAnsi="Arial" w:cs="Arial"/>
                <w:color w:val="000000"/>
                <w:sz w:val="22"/>
                <w:szCs w:val="22"/>
              </w:rPr>
            </w:pPr>
            <w:r w:rsidRPr="00390130">
              <w:rPr>
                <w:rFonts w:ascii="Arial" w:hAnsi="Arial" w:cs="Arial"/>
                <w:color w:val="000000"/>
                <w:sz w:val="22"/>
                <w:szCs w:val="22"/>
              </w:rPr>
              <w:t>DEER USE and TECHNOLOGY TABLE</w:t>
            </w:r>
          </w:p>
        </w:tc>
      </w:tr>
      <w:tr w:rsidR="001E4EC0" w:rsidRPr="004D2BCB" w:rsidTr="001E4EC0">
        <w:trPr>
          <w:trHeight w:val="300"/>
        </w:trPr>
        <w:tc>
          <w:tcPr>
            <w:tcW w:w="2967" w:type="dxa"/>
            <w:tcBorders>
              <w:top w:val="nil"/>
              <w:left w:val="single" w:sz="4" w:space="0" w:color="auto"/>
              <w:bottom w:val="single" w:sz="4" w:space="0" w:color="auto"/>
              <w:right w:val="single" w:sz="4" w:space="0" w:color="auto"/>
            </w:tcBorders>
            <w:shd w:val="clear" w:color="auto" w:fill="auto"/>
            <w:noWrap/>
            <w:vAlign w:val="bottom"/>
            <w:hideMark/>
          </w:tcPr>
          <w:p w:rsidR="001E4EC0" w:rsidRPr="00390130" w:rsidRDefault="001E4EC0">
            <w:pPr>
              <w:rPr>
                <w:rFonts w:ascii="Arial" w:hAnsi="Arial" w:cs="Arial"/>
                <w:color w:val="000000"/>
                <w:sz w:val="22"/>
                <w:szCs w:val="22"/>
              </w:rPr>
            </w:pPr>
            <w:r w:rsidRPr="00390130">
              <w:rPr>
                <w:rFonts w:ascii="Arial" w:hAnsi="Arial" w:cs="Arial"/>
                <w:color w:val="000000"/>
                <w:sz w:val="22"/>
                <w:szCs w:val="22"/>
              </w:rPr>
              <w:t>Use Category Description</w:t>
            </w:r>
          </w:p>
        </w:tc>
        <w:tc>
          <w:tcPr>
            <w:tcW w:w="1806" w:type="dxa"/>
            <w:tcBorders>
              <w:top w:val="nil"/>
              <w:left w:val="nil"/>
              <w:bottom w:val="single" w:sz="4" w:space="0" w:color="auto"/>
              <w:right w:val="single" w:sz="4" w:space="0" w:color="auto"/>
            </w:tcBorders>
            <w:shd w:val="clear" w:color="auto" w:fill="auto"/>
            <w:noWrap/>
            <w:vAlign w:val="bottom"/>
            <w:hideMark/>
          </w:tcPr>
          <w:p w:rsidR="001E4EC0" w:rsidRPr="00390130" w:rsidRDefault="001E4EC0">
            <w:pPr>
              <w:rPr>
                <w:rFonts w:ascii="Arial" w:hAnsi="Arial" w:cs="Arial"/>
                <w:color w:val="000000"/>
                <w:sz w:val="22"/>
                <w:szCs w:val="22"/>
              </w:rPr>
            </w:pPr>
            <w:r w:rsidRPr="00390130">
              <w:rPr>
                <w:rFonts w:ascii="Arial" w:hAnsi="Arial" w:cs="Arial"/>
                <w:color w:val="000000"/>
                <w:sz w:val="22"/>
                <w:szCs w:val="22"/>
              </w:rPr>
              <w:t>Use Category</w:t>
            </w:r>
          </w:p>
        </w:tc>
        <w:tc>
          <w:tcPr>
            <w:tcW w:w="3575" w:type="dxa"/>
            <w:tcBorders>
              <w:top w:val="nil"/>
              <w:left w:val="nil"/>
              <w:bottom w:val="single" w:sz="4" w:space="0" w:color="auto"/>
              <w:right w:val="single" w:sz="4" w:space="0" w:color="auto"/>
            </w:tcBorders>
            <w:shd w:val="clear" w:color="auto" w:fill="auto"/>
            <w:noWrap/>
            <w:vAlign w:val="bottom"/>
            <w:hideMark/>
          </w:tcPr>
          <w:p w:rsidR="001E4EC0" w:rsidRPr="00390130" w:rsidRDefault="001E4EC0">
            <w:pPr>
              <w:rPr>
                <w:rFonts w:ascii="Arial" w:hAnsi="Arial" w:cs="Arial"/>
                <w:color w:val="000000"/>
                <w:sz w:val="22"/>
                <w:szCs w:val="22"/>
              </w:rPr>
            </w:pPr>
            <w:r w:rsidRPr="00390130">
              <w:rPr>
                <w:rFonts w:ascii="Arial" w:hAnsi="Arial" w:cs="Arial"/>
                <w:color w:val="000000"/>
                <w:sz w:val="22"/>
                <w:szCs w:val="22"/>
              </w:rPr>
              <w:t>Use Sub Category Description</w:t>
            </w:r>
          </w:p>
        </w:tc>
        <w:tc>
          <w:tcPr>
            <w:tcW w:w="1732" w:type="dxa"/>
            <w:tcBorders>
              <w:top w:val="nil"/>
              <w:left w:val="nil"/>
              <w:bottom w:val="single" w:sz="4" w:space="0" w:color="auto"/>
              <w:right w:val="single" w:sz="4" w:space="0" w:color="auto"/>
            </w:tcBorders>
            <w:shd w:val="clear" w:color="auto" w:fill="auto"/>
            <w:noWrap/>
            <w:vAlign w:val="bottom"/>
            <w:hideMark/>
          </w:tcPr>
          <w:p w:rsidR="001E4EC0" w:rsidRPr="00390130" w:rsidRDefault="001E4EC0">
            <w:pPr>
              <w:rPr>
                <w:rFonts w:ascii="Arial" w:hAnsi="Arial" w:cs="Arial"/>
                <w:color w:val="000000"/>
                <w:sz w:val="22"/>
                <w:szCs w:val="22"/>
              </w:rPr>
            </w:pPr>
            <w:r w:rsidRPr="00390130">
              <w:rPr>
                <w:rFonts w:ascii="Arial" w:hAnsi="Arial" w:cs="Arial"/>
                <w:color w:val="000000"/>
                <w:sz w:val="22"/>
                <w:szCs w:val="22"/>
              </w:rPr>
              <w:t>Use Sub Category</w:t>
            </w:r>
          </w:p>
        </w:tc>
      </w:tr>
      <w:tr w:rsidR="001E4EC0" w:rsidRPr="004D2BCB" w:rsidTr="001E4EC0">
        <w:trPr>
          <w:trHeight w:val="300"/>
        </w:trPr>
        <w:tc>
          <w:tcPr>
            <w:tcW w:w="2967" w:type="dxa"/>
            <w:tcBorders>
              <w:top w:val="nil"/>
              <w:left w:val="single" w:sz="4" w:space="0" w:color="auto"/>
              <w:bottom w:val="single" w:sz="4" w:space="0" w:color="auto"/>
              <w:right w:val="single" w:sz="4" w:space="0" w:color="auto"/>
            </w:tcBorders>
            <w:shd w:val="clear" w:color="auto" w:fill="auto"/>
            <w:noWrap/>
            <w:vAlign w:val="bottom"/>
            <w:hideMark/>
          </w:tcPr>
          <w:p w:rsidR="001E4EC0" w:rsidRPr="00390130" w:rsidRDefault="001E4EC0">
            <w:pPr>
              <w:rPr>
                <w:rFonts w:ascii="Arial" w:hAnsi="Arial" w:cs="Arial"/>
                <w:color w:val="000000"/>
                <w:sz w:val="22"/>
                <w:szCs w:val="22"/>
              </w:rPr>
            </w:pPr>
            <w:r w:rsidRPr="00390130">
              <w:rPr>
                <w:rFonts w:ascii="Arial" w:hAnsi="Arial" w:cs="Arial"/>
                <w:color w:val="000000"/>
                <w:sz w:val="22"/>
                <w:szCs w:val="22"/>
              </w:rPr>
              <w:t>Lighting</w:t>
            </w:r>
          </w:p>
        </w:tc>
        <w:tc>
          <w:tcPr>
            <w:tcW w:w="1806" w:type="dxa"/>
            <w:tcBorders>
              <w:top w:val="nil"/>
              <w:left w:val="nil"/>
              <w:bottom w:val="single" w:sz="4" w:space="0" w:color="auto"/>
              <w:right w:val="single" w:sz="4" w:space="0" w:color="auto"/>
            </w:tcBorders>
            <w:shd w:val="clear" w:color="000000" w:fill="FFFF00"/>
            <w:noWrap/>
            <w:vAlign w:val="bottom"/>
            <w:hideMark/>
          </w:tcPr>
          <w:p w:rsidR="001E4EC0" w:rsidRPr="00390130" w:rsidRDefault="001E4EC0">
            <w:pPr>
              <w:rPr>
                <w:rFonts w:ascii="Arial" w:hAnsi="Arial" w:cs="Arial"/>
                <w:color w:val="000000"/>
                <w:sz w:val="22"/>
                <w:szCs w:val="22"/>
              </w:rPr>
            </w:pPr>
            <w:r w:rsidRPr="00390130">
              <w:rPr>
                <w:rFonts w:ascii="Arial" w:hAnsi="Arial" w:cs="Arial"/>
                <w:color w:val="000000"/>
                <w:sz w:val="22"/>
                <w:szCs w:val="22"/>
              </w:rPr>
              <w:t>Lighting</w:t>
            </w:r>
          </w:p>
        </w:tc>
        <w:tc>
          <w:tcPr>
            <w:tcW w:w="3575" w:type="dxa"/>
            <w:tcBorders>
              <w:top w:val="nil"/>
              <w:left w:val="nil"/>
              <w:bottom w:val="single" w:sz="4" w:space="0" w:color="auto"/>
              <w:right w:val="single" w:sz="4" w:space="0" w:color="auto"/>
            </w:tcBorders>
            <w:shd w:val="clear" w:color="auto" w:fill="auto"/>
            <w:noWrap/>
            <w:vAlign w:val="bottom"/>
            <w:hideMark/>
          </w:tcPr>
          <w:p w:rsidR="001E4EC0" w:rsidRPr="00390130" w:rsidRDefault="001E4EC0">
            <w:pPr>
              <w:rPr>
                <w:rFonts w:ascii="Arial" w:hAnsi="Arial" w:cs="Arial"/>
                <w:color w:val="000000"/>
                <w:sz w:val="22"/>
                <w:szCs w:val="22"/>
              </w:rPr>
            </w:pPr>
            <w:r w:rsidRPr="00390130">
              <w:rPr>
                <w:rFonts w:ascii="Arial" w:hAnsi="Arial" w:cs="Arial"/>
                <w:color w:val="000000"/>
                <w:sz w:val="22"/>
                <w:szCs w:val="22"/>
              </w:rPr>
              <w:t>Indoor General Lighting</w:t>
            </w:r>
          </w:p>
        </w:tc>
        <w:tc>
          <w:tcPr>
            <w:tcW w:w="1732" w:type="dxa"/>
            <w:tcBorders>
              <w:top w:val="nil"/>
              <w:left w:val="nil"/>
              <w:bottom w:val="single" w:sz="4" w:space="0" w:color="auto"/>
              <w:right w:val="single" w:sz="4" w:space="0" w:color="auto"/>
            </w:tcBorders>
            <w:shd w:val="clear" w:color="000000" w:fill="FFFF00"/>
            <w:noWrap/>
            <w:vAlign w:val="bottom"/>
            <w:hideMark/>
          </w:tcPr>
          <w:p w:rsidR="001E4EC0" w:rsidRPr="00390130" w:rsidRDefault="001E4EC0">
            <w:pPr>
              <w:rPr>
                <w:rFonts w:ascii="Arial" w:hAnsi="Arial" w:cs="Arial"/>
                <w:color w:val="000000"/>
                <w:sz w:val="22"/>
                <w:szCs w:val="22"/>
              </w:rPr>
            </w:pPr>
            <w:proofErr w:type="spellStart"/>
            <w:r w:rsidRPr="00390130">
              <w:rPr>
                <w:rFonts w:ascii="Arial" w:hAnsi="Arial" w:cs="Arial"/>
                <w:color w:val="000000"/>
                <w:sz w:val="22"/>
                <w:szCs w:val="22"/>
              </w:rPr>
              <w:t>InGen</w:t>
            </w:r>
            <w:proofErr w:type="spellEnd"/>
          </w:p>
        </w:tc>
      </w:tr>
      <w:tr w:rsidR="001E4EC0" w:rsidRPr="004D2BCB" w:rsidTr="001E4EC0">
        <w:trPr>
          <w:trHeight w:val="300"/>
        </w:trPr>
        <w:tc>
          <w:tcPr>
            <w:tcW w:w="2967" w:type="dxa"/>
            <w:tcBorders>
              <w:top w:val="nil"/>
              <w:left w:val="single" w:sz="4" w:space="0" w:color="auto"/>
              <w:bottom w:val="single" w:sz="4" w:space="0" w:color="auto"/>
              <w:right w:val="single" w:sz="4" w:space="0" w:color="auto"/>
            </w:tcBorders>
            <w:shd w:val="clear" w:color="auto" w:fill="auto"/>
            <w:noWrap/>
            <w:vAlign w:val="bottom"/>
            <w:hideMark/>
          </w:tcPr>
          <w:p w:rsidR="001E4EC0" w:rsidRPr="00390130" w:rsidRDefault="001E4EC0">
            <w:pPr>
              <w:rPr>
                <w:rFonts w:ascii="Arial" w:hAnsi="Arial" w:cs="Arial"/>
                <w:color w:val="000000"/>
                <w:sz w:val="22"/>
                <w:szCs w:val="22"/>
              </w:rPr>
            </w:pPr>
            <w:r w:rsidRPr="00390130">
              <w:rPr>
                <w:rFonts w:ascii="Arial" w:hAnsi="Arial" w:cs="Arial"/>
                <w:color w:val="000000"/>
                <w:sz w:val="22"/>
                <w:szCs w:val="22"/>
              </w:rPr>
              <w:t>Technology Group Description</w:t>
            </w:r>
          </w:p>
        </w:tc>
        <w:tc>
          <w:tcPr>
            <w:tcW w:w="1806" w:type="dxa"/>
            <w:tcBorders>
              <w:top w:val="nil"/>
              <w:left w:val="nil"/>
              <w:bottom w:val="single" w:sz="4" w:space="0" w:color="auto"/>
              <w:right w:val="single" w:sz="4" w:space="0" w:color="auto"/>
            </w:tcBorders>
            <w:shd w:val="clear" w:color="auto" w:fill="auto"/>
            <w:noWrap/>
            <w:vAlign w:val="bottom"/>
            <w:hideMark/>
          </w:tcPr>
          <w:p w:rsidR="001E4EC0" w:rsidRPr="00390130" w:rsidRDefault="001E4EC0">
            <w:pPr>
              <w:rPr>
                <w:rFonts w:ascii="Arial" w:hAnsi="Arial" w:cs="Arial"/>
                <w:color w:val="000000"/>
                <w:sz w:val="22"/>
                <w:szCs w:val="22"/>
              </w:rPr>
            </w:pPr>
            <w:r w:rsidRPr="00390130">
              <w:rPr>
                <w:rFonts w:ascii="Arial" w:hAnsi="Arial" w:cs="Arial"/>
                <w:color w:val="000000"/>
                <w:sz w:val="22"/>
                <w:szCs w:val="22"/>
              </w:rPr>
              <w:t>Technology Group</w:t>
            </w:r>
          </w:p>
        </w:tc>
        <w:tc>
          <w:tcPr>
            <w:tcW w:w="3575" w:type="dxa"/>
            <w:tcBorders>
              <w:top w:val="nil"/>
              <w:left w:val="nil"/>
              <w:bottom w:val="single" w:sz="4" w:space="0" w:color="auto"/>
              <w:right w:val="single" w:sz="4" w:space="0" w:color="auto"/>
            </w:tcBorders>
            <w:shd w:val="clear" w:color="auto" w:fill="auto"/>
            <w:noWrap/>
            <w:vAlign w:val="bottom"/>
            <w:hideMark/>
          </w:tcPr>
          <w:p w:rsidR="001E4EC0" w:rsidRPr="00390130" w:rsidRDefault="001E4EC0">
            <w:pPr>
              <w:rPr>
                <w:rFonts w:ascii="Arial" w:hAnsi="Arial" w:cs="Arial"/>
                <w:color w:val="000000"/>
                <w:sz w:val="22"/>
                <w:szCs w:val="22"/>
              </w:rPr>
            </w:pPr>
            <w:r w:rsidRPr="00390130">
              <w:rPr>
                <w:rFonts w:ascii="Arial" w:hAnsi="Arial" w:cs="Arial"/>
                <w:color w:val="000000"/>
                <w:sz w:val="22"/>
                <w:szCs w:val="22"/>
              </w:rPr>
              <w:t>Technology Type Description</w:t>
            </w:r>
          </w:p>
        </w:tc>
        <w:tc>
          <w:tcPr>
            <w:tcW w:w="1732" w:type="dxa"/>
            <w:tcBorders>
              <w:top w:val="nil"/>
              <w:left w:val="nil"/>
              <w:bottom w:val="single" w:sz="4" w:space="0" w:color="auto"/>
              <w:right w:val="single" w:sz="4" w:space="0" w:color="auto"/>
            </w:tcBorders>
            <w:shd w:val="clear" w:color="auto" w:fill="auto"/>
            <w:noWrap/>
            <w:vAlign w:val="bottom"/>
            <w:hideMark/>
          </w:tcPr>
          <w:p w:rsidR="001E4EC0" w:rsidRPr="00390130" w:rsidRDefault="001E4EC0">
            <w:pPr>
              <w:rPr>
                <w:rFonts w:ascii="Arial" w:hAnsi="Arial" w:cs="Arial"/>
                <w:color w:val="000000"/>
                <w:sz w:val="22"/>
                <w:szCs w:val="22"/>
              </w:rPr>
            </w:pPr>
            <w:r w:rsidRPr="00390130">
              <w:rPr>
                <w:rFonts w:ascii="Arial" w:hAnsi="Arial" w:cs="Arial"/>
                <w:color w:val="000000"/>
                <w:sz w:val="22"/>
                <w:szCs w:val="22"/>
              </w:rPr>
              <w:t>Technology Type</w:t>
            </w:r>
          </w:p>
        </w:tc>
      </w:tr>
      <w:tr w:rsidR="001E4EC0" w:rsidRPr="004D2BCB" w:rsidTr="001E4EC0">
        <w:trPr>
          <w:trHeight w:val="300"/>
        </w:trPr>
        <w:tc>
          <w:tcPr>
            <w:tcW w:w="2967" w:type="dxa"/>
            <w:tcBorders>
              <w:top w:val="nil"/>
              <w:left w:val="single" w:sz="4" w:space="0" w:color="auto"/>
              <w:bottom w:val="single" w:sz="4" w:space="0" w:color="auto"/>
              <w:right w:val="single" w:sz="4" w:space="0" w:color="auto"/>
            </w:tcBorders>
            <w:shd w:val="clear" w:color="auto" w:fill="auto"/>
            <w:noWrap/>
            <w:vAlign w:val="bottom"/>
            <w:hideMark/>
          </w:tcPr>
          <w:p w:rsidR="001E4EC0" w:rsidRPr="00390130" w:rsidRDefault="001E4EC0">
            <w:pPr>
              <w:rPr>
                <w:rFonts w:ascii="Arial" w:hAnsi="Arial" w:cs="Arial"/>
                <w:color w:val="000000"/>
                <w:sz w:val="22"/>
                <w:szCs w:val="22"/>
              </w:rPr>
            </w:pPr>
            <w:r w:rsidRPr="00390130">
              <w:rPr>
                <w:rFonts w:ascii="Arial" w:hAnsi="Arial" w:cs="Arial"/>
                <w:color w:val="000000"/>
                <w:sz w:val="22"/>
                <w:szCs w:val="22"/>
              </w:rPr>
              <w:t>Lighting - Lamps + Ballasts</w:t>
            </w:r>
          </w:p>
        </w:tc>
        <w:tc>
          <w:tcPr>
            <w:tcW w:w="1806" w:type="dxa"/>
            <w:tcBorders>
              <w:top w:val="nil"/>
              <w:left w:val="nil"/>
              <w:bottom w:val="single" w:sz="4" w:space="0" w:color="auto"/>
              <w:right w:val="single" w:sz="4" w:space="0" w:color="auto"/>
            </w:tcBorders>
            <w:shd w:val="clear" w:color="000000" w:fill="FFFF00"/>
            <w:noWrap/>
            <w:vAlign w:val="bottom"/>
            <w:hideMark/>
          </w:tcPr>
          <w:p w:rsidR="001E4EC0" w:rsidRPr="00390130" w:rsidRDefault="001E4EC0">
            <w:pPr>
              <w:rPr>
                <w:rFonts w:ascii="Arial" w:hAnsi="Arial" w:cs="Arial"/>
                <w:color w:val="000000"/>
                <w:sz w:val="22"/>
                <w:szCs w:val="22"/>
              </w:rPr>
            </w:pPr>
            <w:proofErr w:type="spellStart"/>
            <w:r w:rsidRPr="00390130">
              <w:rPr>
                <w:rFonts w:ascii="Arial" w:hAnsi="Arial" w:cs="Arial"/>
                <w:color w:val="000000"/>
                <w:sz w:val="22"/>
                <w:szCs w:val="22"/>
              </w:rPr>
              <w:t>Ltg_Lmp+Blst</w:t>
            </w:r>
            <w:proofErr w:type="spellEnd"/>
          </w:p>
        </w:tc>
        <w:tc>
          <w:tcPr>
            <w:tcW w:w="3575" w:type="dxa"/>
            <w:tcBorders>
              <w:top w:val="nil"/>
              <w:left w:val="nil"/>
              <w:bottom w:val="single" w:sz="4" w:space="0" w:color="auto"/>
              <w:right w:val="single" w:sz="4" w:space="0" w:color="auto"/>
            </w:tcBorders>
            <w:shd w:val="clear" w:color="auto" w:fill="auto"/>
            <w:noWrap/>
            <w:vAlign w:val="bottom"/>
            <w:hideMark/>
          </w:tcPr>
          <w:p w:rsidR="001E4EC0" w:rsidRPr="00390130" w:rsidRDefault="001E4EC0">
            <w:pPr>
              <w:rPr>
                <w:rFonts w:ascii="Arial" w:hAnsi="Arial" w:cs="Arial"/>
                <w:color w:val="000000"/>
                <w:sz w:val="22"/>
                <w:szCs w:val="22"/>
              </w:rPr>
            </w:pPr>
            <w:r w:rsidRPr="00390130">
              <w:rPr>
                <w:rFonts w:ascii="Arial" w:hAnsi="Arial" w:cs="Arial"/>
                <w:color w:val="000000"/>
                <w:sz w:val="22"/>
                <w:szCs w:val="22"/>
              </w:rPr>
              <w:t>Linear Fluorescent Lamp with Ballast</w:t>
            </w:r>
          </w:p>
        </w:tc>
        <w:tc>
          <w:tcPr>
            <w:tcW w:w="1732" w:type="dxa"/>
            <w:tcBorders>
              <w:top w:val="nil"/>
              <w:left w:val="nil"/>
              <w:bottom w:val="single" w:sz="4" w:space="0" w:color="auto"/>
              <w:right w:val="single" w:sz="4" w:space="0" w:color="auto"/>
            </w:tcBorders>
            <w:shd w:val="clear" w:color="000000" w:fill="FFFF00"/>
            <w:noWrap/>
            <w:vAlign w:val="bottom"/>
            <w:hideMark/>
          </w:tcPr>
          <w:p w:rsidR="001E4EC0" w:rsidRPr="00390130" w:rsidRDefault="001E4EC0">
            <w:pPr>
              <w:rPr>
                <w:rFonts w:ascii="Arial" w:hAnsi="Arial" w:cs="Arial"/>
                <w:color w:val="000000"/>
                <w:sz w:val="22"/>
                <w:szCs w:val="22"/>
              </w:rPr>
            </w:pPr>
            <w:proofErr w:type="spellStart"/>
            <w:r w:rsidRPr="00390130">
              <w:rPr>
                <w:rFonts w:ascii="Arial" w:hAnsi="Arial" w:cs="Arial"/>
                <w:color w:val="000000"/>
                <w:sz w:val="22"/>
                <w:szCs w:val="22"/>
              </w:rPr>
              <w:t>LF_LmpBlst</w:t>
            </w:r>
            <w:proofErr w:type="spellEnd"/>
          </w:p>
        </w:tc>
      </w:tr>
    </w:tbl>
    <w:p w:rsidR="00953425" w:rsidRPr="00390130" w:rsidRDefault="00953425" w:rsidP="00953425">
      <w:pPr>
        <w:rPr>
          <w:rFonts w:ascii="Arial" w:hAnsi="Arial" w:cs="Arial"/>
        </w:rPr>
      </w:pPr>
    </w:p>
    <w:p w:rsidR="00953425" w:rsidRPr="004D2BCB" w:rsidRDefault="00953425" w:rsidP="00312A1F">
      <w:pPr>
        <w:jc w:val="both"/>
        <w:rPr>
          <w:rFonts w:ascii="Arial" w:hAnsi="Arial" w:cs="Arial"/>
          <w:sz w:val="20"/>
        </w:rPr>
      </w:pPr>
    </w:p>
    <w:p w:rsidR="00B50165" w:rsidRPr="004D2BCB" w:rsidRDefault="00FE2600" w:rsidP="00312A1F">
      <w:pPr>
        <w:jc w:val="both"/>
        <w:rPr>
          <w:rFonts w:ascii="Arial" w:hAnsi="Arial" w:cs="Arial"/>
          <w:sz w:val="20"/>
        </w:rPr>
      </w:pPr>
      <w:r w:rsidRPr="004D2BCB">
        <w:rPr>
          <w:rFonts w:ascii="Arial" w:hAnsi="Arial" w:cs="Arial"/>
          <w:sz w:val="20"/>
        </w:rPr>
        <w:t>These specific measures are not included in the Database for Energy Efficient Resources (DEER).</w:t>
      </w:r>
      <w:r w:rsidR="00415CE3" w:rsidRPr="004D2BCB">
        <w:rPr>
          <w:rFonts w:ascii="Arial" w:hAnsi="Arial" w:cs="Arial"/>
          <w:sz w:val="20"/>
        </w:rPr>
        <w:t xml:space="preserve"> However, relevant values from DEER 2</w:t>
      </w:r>
      <w:r w:rsidR="00CB350E" w:rsidRPr="004D2BCB">
        <w:rPr>
          <w:rFonts w:ascii="Arial" w:hAnsi="Arial" w:cs="Arial"/>
          <w:sz w:val="20"/>
        </w:rPr>
        <w:t>016</w:t>
      </w:r>
      <w:r w:rsidR="00415CE3" w:rsidRPr="004D2BCB">
        <w:rPr>
          <w:rFonts w:ascii="Arial" w:hAnsi="Arial" w:cs="Arial"/>
          <w:sz w:val="20"/>
        </w:rPr>
        <w:t xml:space="preserve"> updates were used for this measure.</w:t>
      </w:r>
      <w:r w:rsidR="009E43B3" w:rsidRPr="004D2BCB">
        <w:rPr>
          <w:rFonts w:ascii="Arial" w:hAnsi="Arial" w:cs="Arial"/>
          <w:sz w:val="20"/>
        </w:rPr>
        <w:t xml:space="preserve"> </w:t>
      </w:r>
      <w:r w:rsidR="00B50165" w:rsidRPr="004D2BCB">
        <w:rPr>
          <w:rFonts w:ascii="Arial" w:hAnsi="Arial" w:cs="Arial"/>
          <w:sz w:val="20"/>
        </w:rPr>
        <w:t>The Summary of 20</w:t>
      </w:r>
      <w:r w:rsidR="00AF7F49" w:rsidRPr="004D2BCB">
        <w:rPr>
          <w:rFonts w:ascii="Arial" w:hAnsi="Arial" w:cs="Arial"/>
          <w:sz w:val="20"/>
        </w:rPr>
        <w:t>16</w:t>
      </w:r>
      <w:r w:rsidR="00B50165" w:rsidRPr="004D2BCB">
        <w:rPr>
          <w:rFonts w:ascii="Arial" w:hAnsi="Arial" w:cs="Arial"/>
          <w:sz w:val="20"/>
        </w:rPr>
        <w:t xml:space="preserve"> DEER Revisions report lists the Equivalent Full Load Hours (EFLH) used in its calculations for lighting measures in various building types. The EFLH for non-CFL lighting in the refrigerated areas of a Grocery Building is listed as </w:t>
      </w:r>
      <w:r w:rsidR="00FF214D">
        <w:rPr>
          <w:rFonts w:ascii="Arial" w:hAnsi="Arial" w:cs="Arial"/>
          <w:sz w:val="20"/>
        </w:rPr>
        <w:t>4,7</w:t>
      </w:r>
      <w:r w:rsidR="00706E8C" w:rsidRPr="004D2BCB">
        <w:rPr>
          <w:rFonts w:ascii="Arial" w:hAnsi="Arial" w:cs="Arial"/>
          <w:sz w:val="20"/>
        </w:rPr>
        <w:t>10</w:t>
      </w:r>
      <w:r w:rsidR="00B50165" w:rsidRPr="004D2BCB">
        <w:rPr>
          <w:rFonts w:ascii="Arial" w:hAnsi="Arial" w:cs="Arial"/>
          <w:sz w:val="20"/>
        </w:rPr>
        <w:t>.</w:t>
      </w:r>
      <w:r w:rsidR="00B50165" w:rsidRPr="00390130">
        <w:rPr>
          <w:rFonts w:ascii="Arial" w:hAnsi="Arial" w:cs="Arial"/>
          <w:sz w:val="20"/>
          <w:vertAlign w:val="superscript"/>
        </w:rPr>
        <w:endnoteReference w:id="2"/>
      </w:r>
      <w:r w:rsidR="00B50165" w:rsidRPr="004D2BCB">
        <w:rPr>
          <w:rFonts w:ascii="Arial" w:hAnsi="Arial" w:cs="Arial"/>
          <w:sz w:val="20"/>
        </w:rPr>
        <w:t xml:space="preserve"> The report also lists a peak demand factor of 0.</w:t>
      </w:r>
      <w:r w:rsidR="00FF214D">
        <w:rPr>
          <w:rFonts w:ascii="Arial" w:hAnsi="Arial" w:cs="Arial"/>
          <w:sz w:val="20"/>
        </w:rPr>
        <w:t>746</w:t>
      </w:r>
      <w:r w:rsidR="00B50165" w:rsidRPr="004D2BCB">
        <w:rPr>
          <w:rFonts w:ascii="Arial" w:hAnsi="Arial" w:cs="Arial"/>
          <w:sz w:val="20"/>
        </w:rPr>
        <w:t xml:space="preserve"> for the same spaces.</w:t>
      </w:r>
      <w:r w:rsidR="00B50165" w:rsidRPr="00390130">
        <w:rPr>
          <w:rFonts w:ascii="Arial" w:hAnsi="Arial" w:cs="Arial"/>
          <w:sz w:val="20"/>
          <w:vertAlign w:val="superscript"/>
        </w:rPr>
        <w:endnoteReference w:id="3"/>
      </w:r>
    </w:p>
    <w:p w:rsidR="00175673" w:rsidRPr="004D2BCB" w:rsidRDefault="00175673" w:rsidP="00312A1F">
      <w:pPr>
        <w:jc w:val="both"/>
        <w:rPr>
          <w:rFonts w:ascii="Arial" w:hAnsi="Arial" w:cs="Arial"/>
          <w:sz w:val="20"/>
        </w:rPr>
      </w:pPr>
    </w:p>
    <w:p w:rsidR="000D4976" w:rsidRPr="004D2BCB" w:rsidRDefault="000D4976" w:rsidP="00312A1F">
      <w:pPr>
        <w:jc w:val="both"/>
        <w:rPr>
          <w:rFonts w:ascii="Arial" w:hAnsi="Arial" w:cs="Arial"/>
          <w:sz w:val="20"/>
        </w:rPr>
      </w:pPr>
      <w:r w:rsidRPr="004D2BCB">
        <w:rPr>
          <w:rFonts w:ascii="Arial" w:hAnsi="Arial" w:cs="Arial"/>
          <w:sz w:val="20"/>
        </w:rPr>
        <w:t xml:space="preserve">The measures described in this paper are delivered as part of the </w:t>
      </w:r>
      <w:proofErr w:type="spellStart"/>
      <w:r w:rsidRPr="004D2BCB">
        <w:rPr>
          <w:rFonts w:ascii="Arial" w:hAnsi="Arial" w:cs="Arial"/>
          <w:sz w:val="20"/>
        </w:rPr>
        <w:t>EnergySmart</w:t>
      </w:r>
      <w:proofErr w:type="spellEnd"/>
      <w:r w:rsidRPr="004D2BCB">
        <w:rPr>
          <w:rFonts w:ascii="Arial" w:hAnsi="Arial" w:cs="Arial"/>
          <w:sz w:val="20"/>
        </w:rPr>
        <w:t xml:space="preserve"> Grocer program. The program provides no-cost audits and downstream prescriptive rebates to encourage energy efficiency measures in the grocery sector. The measures are not directly addressed in the 20</w:t>
      </w:r>
      <w:r w:rsidR="00AF7F49" w:rsidRPr="004D2BCB">
        <w:rPr>
          <w:rFonts w:ascii="Arial" w:hAnsi="Arial" w:cs="Arial"/>
          <w:sz w:val="20"/>
        </w:rPr>
        <w:t>16</w:t>
      </w:r>
      <w:r w:rsidRPr="004D2BCB">
        <w:rPr>
          <w:rFonts w:ascii="Arial" w:hAnsi="Arial" w:cs="Arial"/>
          <w:sz w:val="20"/>
        </w:rPr>
        <w:t xml:space="preserve"> DEER NTG Values and Summary Documentation workbook, so the value for ‘</w:t>
      </w:r>
      <w:r w:rsidR="0073325A" w:rsidRPr="004D2BCB">
        <w:rPr>
          <w:rFonts w:ascii="Arial" w:hAnsi="Arial" w:cs="Arial"/>
          <w:sz w:val="20"/>
        </w:rPr>
        <w:t>All other EEM with no evaluated NTGR</w:t>
      </w:r>
      <w:r w:rsidRPr="004D2BCB">
        <w:rPr>
          <w:rFonts w:ascii="Arial" w:hAnsi="Arial" w:cs="Arial"/>
          <w:sz w:val="20"/>
        </w:rPr>
        <w:t>’ on the worksheet is applied.</w:t>
      </w:r>
      <w:r w:rsidRPr="00390130">
        <w:rPr>
          <w:rFonts w:ascii="Arial" w:hAnsi="Arial" w:cs="Arial"/>
          <w:sz w:val="20"/>
          <w:vertAlign w:val="superscript"/>
        </w:rPr>
        <w:endnoteReference w:id="4"/>
      </w:r>
      <w:r w:rsidR="006B20CA" w:rsidRPr="004D2BCB">
        <w:rPr>
          <w:rFonts w:ascii="Arial" w:hAnsi="Arial" w:cs="Arial"/>
          <w:sz w:val="20"/>
        </w:rPr>
        <w:t xml:space="preserve"> The net to gross ratio is 0.6</w:t>
      </w:r>
      <w:r w:rsidRPr="004D2BCB">
        <w:rPr>
          <w:rFonts w:ascii="Arial" w:hAnsi="Arial" w:cs="Arial"/>
          <w:sz w:val="20"/>
        </w:rPr>
        <w:t xml:space="preserve">. </w:t>
      </w:r>
    </w:p>
    <w:p w:rsidR="000D4976" w:rsidRDefault="000D4976" w:rsidP="000D4976">
      <w:pPr>
        <w:rPr>
          <w:rFonts w:ascii="Arial" w:hAnsi="Arial" w:cs="Arial"/>
        </w:rPr>
      </w:pPr>
    </w:p>
    <w:p w:rsidR="008D6F1D" w:rsidRPr="004D2BCB" w:rsidRDefault="008D6F1D" w:rsidP="000D4976">
      <w:pPr>
        <w:rPr>
          <w:rFonts w:ascii="Arial" w:hAnsi="Arial" w:cs="Arial"/>
        </w:rPr>
      </w:pPr>
    </w:p>
    <w:p w:rsidR="000D4976" w:rsidRPr="00390130" w:rsidRDefault="000D4976" w:rsidP="00346796">
      <w:pPr>
        <w:pStyle w:val="Caption"/>
        <w:rPr>
          <w:rFonts w:cs="Arial"/>
        </w:rPr>
      </w:pPr>
      <w:bookmarkStart w:id="23" w:name="_Toc288486328"/>
      <w:bookmarkStart w:id="24" w:name="_Toc288486425"/>
      <w:bookmarkStart w:id="25" w:name="_Toc438047484"/>
      <w:r w:rsidRPr="00FF214D">
        <w:rPr>
          <w:rFonts w:cs="Arial"/>
        </w:rPr>
        <w:t xml:space="preserve">Table </w:t>
      </w:r>
      <w:r w:rsidR="009861DE" w:rsidRPr="00390130">
        <w:rPr>
          <w:rFonts w:cs="Arial"/>
        </w:rPr>
        <w:fldChar w:fldCharType="begin"/>
      </w:r>
      <w:r w:rsidR="009861DE" w:rsidRPr="00390130">
        <w:rPr>
          <w:rFonts w:cs="Arial"/>
        </w:rPr>
        <w:instrText xml:space="preserve"> SEQ Table \* ARABIC </w:instrText>
      </w:r>
      <w:r w:rsidR="009861DE" w:rsidRPr="00390130">
        <w:rPr>
          <w:rFonts w:cs="Arial"/>
        </w:rPr>
        <w:fldChar w:fldCharType="separate"/>
      </w:r>
      <w:r w:rsidR="00940E51" w:rsidRPr="00390130">
        <w:rPr>
          <w:rFonts w:cs="Arial"/>
          <w:noProof/>
        </w:rPr>
        <w:t>2</w:t>
      </w:r>
      <w:r w:rsidR="009861DE" w:rsidRPr="00390130">
        <w:rPr>
          <w:rFonts w:cs="Arial"/>
          <w:noProof/>
        </w:rPr>
        <w:fldChar w:fldCharType="end"/>
      </w:r>
      <w:r w:rsidR="00346796" w:rsidRPr="00390130">
        <w:rPr>
          <w:rFonts w:cs="Arial"/>
        </w:rPr>
        <w:t xml:space="preserve"> - </w:t>
      </w:r>
      <w:r w:rsidR="00FD3721" w:rsidRPr="00390130">
        <w:rPr>
          <w:rFonts w:cs="Arial"/>
        </w:rPr>
        <w:t>DEER</w:t>
      </w:r>
      <w:r w:rsidRPr="00390130">
        <w:rPr>
          <w:rFonts w:cs="Arial"/>
        </w:rPr>
        <w:t xml:space="preserve"> Net-to-Gross Ratios</w:t>
      </w:r>
      <w:bookmarkEnd w:id="23"/>
      <w:bookmarkEnd w:id="24"/>
      <w:bookmarkEnd w:id="25"/>
    </w:p>
    <w:tbl>
      <w:tblPr>
        <w:tblW w:w="2435" w:type="pct"/>
        <w:jc w:val="cente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555"/>
        <w:gridCol w:w="1109"/>
      </w:tblGrid>
      <w:tr w:rsidR="008B27BE" w:rsidRPr="004D2BCB" w:rsidTr="00390130">
        <w:trPr>
          <w:trHeight w:val="302"/>
          <w:jc w:val="center"/>
        </w:trPr>
        <w:tc>
          <w:tcPr>
            <w:tcW w:w="3811" w:type="pct"/>
            <w:shd w:val="pct5" w:color="000000" w:fill="FFFFFF"/>
            <w:vAlign w:val="bottom"/>
          </w:tcPr>
          <w:p w:rsidR="008B27BE" w:rsidRPr="004D2BCB" w:rsidRDefault="00A32560" w:rsidP="00312A1F">
            <w:pPr>
              <w:keepNext/>
              <w:keepLines/>
              <w:jc w:val="center"/>
              <w:rPr>
                <w:rFonts w:ascii="Arial" w:hAnsi="Arial" w:cs="Arial"/>
                <w:b/>
                <w:color w:val="F2F2F2"/>
                <w:sz w:val="20"/>
              </w:rPr>
            </w:pPr>
            <w:r>
              <w:rPr>
                <w:rFonts w:ascii="Arial" w:hAnsi="Arial" w:cs="Arial"/>
                <w:sz w:val="20"/>
              </w:rPr>
              <w:t>NTG ID</w:t>
            </w:r>
          </w:p>
        </w:tc>
        <w:tc>
          <w:tcPr>
            <w:tcW w:w="1189" w:type="pct"/>
            <w:shd w:val="pct5" w:color="000000" w:fill="FFFFFF"/>
            <w:vAlign w:val="bottom"/>
          </w:tcPr>
          <w:p w:rsidR="008B27BE" w:rsidRPr="004D2BCB" w:rsidRDefault="008B27BE" w:rsidP="00312A1F">
            <w:pPr>
              <w:keepNext/>
              <w:keepLines/>
              <w:jc w:val="center"/>
              <w:rPr>
                <w:rFonts w:ascii="Arial" w:hAnsi="Arial" w:cs="Arial"/>
                <w:b/>
                <w:color w:val="F2F2F2"/>
                <w:sz w:val="20"/>
              </w:rPr>
            </w:pPr>
            <w:r w:rsidRPr="004D2BCB">
              <w:rPr>
                <w:rFonts w:ascii="Arial" w:hAnsi="Arial" w:cs="Arial"/>
                <w:sz w:val="20"/>
              </w:rPr>
              <w:t>NTG</w:t>
            </w:r>
          </w:p>
        </w:tc>
      </w:tr>
      <w:tr w:rsidR="008B27BE" w:rsidRPr="004D2BCB" w:rsidTr="00390130">
        <w:trPr>
          <w:trHeight w:val="302"/>
          <w:jc w:val="center"/>
        </w:trPr>
        <w:tc>
          <w:tcPr>
            <w:tcW w:w="3811" w:type="pct"/>
            <w:shd w:val="pct20" w:color="000000" w:fill="FFFFFF"/>
            <w:vAlign w:val="bottom"/>
          </w:tcPr>
          <w:p w:rsidR="008B27BE" w:rsidRPr="004D2BCB" w:rsidRDefault="00A32560" w:rsidP="00312A1F">
            <w:pPr>
              <w:keepNext/>
              <w:jc w:val="center"/>
              <w:rPr>
                <w:rFonts w:ascii="Arial" w:hAnsi="Arial" w:cs="Arial"/>
                <w:sz w:val="20"/>
              </w:rPr>
            </w:pPr>
            <w:r w:rsidRPr="00A32560">
              <w:rPr>
                <w:rFonts w:ascii="Arial" w:hAnsi="Arial" w:cs="Arial"/>
                <w:sz w:val="20"/>
              </w:rPr>
              <w:t>Com-Default&gt;2yrs</w:t>
            </w:r>
          </w:p>
        </w:tc>
        <w:tc>
          <w:tcPr>
            <w:tcW w:w="1189" w:type="pct"/>
            <w:shd w:val="pct20" w:color="000000" w:fill="FFFFFF"/>
            <w:vAlign w:val="bottom"/>
          </w:tcPr>
          <w:p w:rsidR="008B27BE" w:rsidRPr="004D2BCB" w:rsidRDefault="008B27BE" w:rsidP="00312A1F">
            <w:pPr>
              <w:keepNext/>
              <w:jc w:val="center"/>
              <w:rPr>
                <w:rFonts w:ascii="Arial" w:eastAsia="Calibri" w:hAnsi="Arial" w:cs="Arial"/>
                <w:i/>
                <w:color w:val="FF0000"/>
                <w:sz w:val="20"/>
              </w:rPr>
            </w:pPr>
            <w:r w:rsidRPr="004D2BCB">
              <w:rPr>
                <w:rFonts w:ascii="Arial" w:hAnsi="Arial" w:cs="Arial"/>
                <w:sz w:val="20"/>
              </w:rPr>
              <w:t>0.6</w:t>
            </w:r>
          </w:p>
        </w:tc>
      </w:tr>
    </w:tbl>
    <w:p w:rsidR="008D6F1D" w:rsidRDefault="008D6F1D" w:rsidP="001C6598">
      <w:pPr>
        <w:pStyle w:val="Heading3"/>
      </w:pPr>
    </w:p>
    <w:p w:rsidR="00E42B2F" w:rsidRPr="004D2BCB" w:rsidRDefault="001C6598" w:rsidP="001C6598">
      <w:pPr>
        <w:pStyle w:val="Heading3"/>
      </w:pPr>
      <w:bookmarkStart w:id="26" w:name="_Toc438047461"/>
      <w:r w:rsidRPr="004D2BCB">
        <w:t>1</w:t>
      </w:r>
      <w:r w:rsidR="00802368" w:rsidRPr="004D2BCB">
        <w:t xml:space="preserve">.4.2 </w:t>
      </w:r>
      <w:r w:rsidR="00E71EF1" w:rsidRPr="004D2BCB">
        <w:t xml:space="preserve">Codes &amp; Standards Requirements </w:t>
      </w:r>
      <w:r w:rsidR="009C5CA7" w:rsidRPr="004D2BCB">
        <w:t>Base Case and Measure</w:t>
      </w:r>
      <w:r w:rsidR="000B2F21" w:rsidRPr="004D2BCB">
        <w:t xml:space="preserve"> </w:t>
      </w:r>
      <w:r w:rsidR="009C5CA7" w:rsidRPr="004D2BCB">
        <w:t>Information</w:t>
      </w:r>
      <w:bookmarkEnd w:id="26"/>
    </w:p>
    <w:p w:rsidR="00E42B2F" w:rsidRPr="004D2BCB" w:rsidRDefault="00E42B2F" w:rsidP="00E42B2F">
      <w:pPr>
        <w:rPr>
          <w:rFonts w:ascii="Arial" w:hAnsi="Arial" w:cs="Arial"/>
        </w:rPr>
      </w:pPr>
    </w:p>
    <w:p w:rsidR="00E42B2F" w:rsidRPr="004D2BCB" w:rsidRDefault="00E42B2F" w:rsidP="00390130">
      <w:pPr>
        <w:jc w:val="both"/>
        <w:rPr>
          <w:rFonts w:ascii="Arial" w:hAnsi="Arial" w:cs="Arial"/>
          <w:sz w:val="20"/>
        </w:rPr>
      </w:pPr>
      <w:r w:rsidRPr="004D2BCB">
        <w:rPr>
          <w:rFonts w:ascii="Arial" w:hAnsi="Arial" w:cs="Arial"/>
          <w:b/>
          <w:i/>
        </w:rPr>
        <w:t>Title 20:</w:t>
      </w:r>
      <w:r w:rsidRPr="004D2BCB">
        <w:rPr>
          <w:rFonts w:ascii="Arial" w:hAnsi="Arial" w:cs="Arial"/>
        </w:rPr>
        <w:t xml:space="preserve"> </w:t>
      </w:r>
      <w:r w:rsidRPr="004D2BCB">
        <w:rPr>
          <w:rFonts w:ascii="Arial" w:hAnsi="Arial" w:cs="Arial"/>
          <w:sz w:val="20"/>
        </w:rPr>
        <w:t>These measures do not fall under Title 20 of the California Energy Regulations. Title 20 has rules applying to walk-in coolers and freezers, but they are applicable only to new walk-ins built on or after January 1, 2009.</w:t>
      </w:r>
      <w:r w:rsidRPr="004D2BCB">
        <w:rPr>
          <w:rStyle w:val="EndnoteReference"/>
          <w:rFonts w:ascii="Arial" w:hAnsi="Arial" w:cs="Arial"/>
        </w:rPr>
        <w:endnoteReference w:id="5"/>
      </w:r>
    </w:p>
    <w:p w:rsidR="000C0419" w:rsidRPr="004D2BCB" w:rsidRDefault="000C0419" w:rsidP="00E42B2F">
      <w:pPr>
        <w:rPr>
          <w:rFonts w:ascii="Arial" w:hAnsi="Arial" w:cs="Arial"/>
          <w:sz w:val="20"/>
        </w:rPr>
      </w:pPr>
    </w:p>
    <w:p w:rsidR="000C0419" w:rsidRPr="004D2BCB" w:rsidRDefault="000C0419" w:rsidP="00E42B2F">
      <w:pPr>
        <w:rPr>
          <w:rFonts w:ascii="Arial" w:hAnsi="Arial" w:cs="Arial"/>
          <w:i/>
        </w:rPr>
      </w:pPr>
      <w:r w:rsidRPr="00390130">
        <w:rPr>
          <w:rFonts w:ascii="Arial" w:hAnsi="Arial" w:cs="Arial"/>
          <w:noProof/>
        </w:rPr>
        <w:drawing>
          <wp:inline distT="0" distB="0" distL="0" distR="0" wp14:anchorId="490168D3" wp14:editId="561F552C">
            <wp:extent cx="5619750" cy="10382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19750" cy="1038225"/>
                    </a:xfrm>
                    <a:prstGeom prst="rect">
                      <a:avLst/>
                    </a:prstGeom>
                  </pic:spPr>
                </pic:pic>
              </a:graphicData>
            </a:graphic>
          </wp:inline>
        </w:drawing>
      </w:r>
    </w:p>
    <w:p w:rsidR="00640BB6" w:rsidRPr="004D2BCB" w:rsidRDefault="00640BB6" w:rsidP="002E0043">
      <w:pPr>
        <w:rPr>
          <w:rFonts w:ascii="Arial" w:hAnsi="Arial" w:cs="Arial"/>
          <w:i/>
          <w:sz w:val="20"/>
          <w:szCs w:val="20"/>
        </w:rPr>
      </w:pPr>
    </w:p>
    <w:p w:rsidR="00E42B2F" w:rsidRPr="004D2BCB" w:rsidRDefault="00E42B2F" w:rsidP="00E42B2F">
      <w:pPr>
        <w:pStyle w:val="Default"/>
        <w:rPr>
          <w:rFonts w:ascii="Arial" w:hAnsi="Arial" w:cs="Arial"/>
        </w:rPr>
      </w:pPr>
      <w:r w:rsidRPr="004D2BCB">
        <w:rPr>
          <w:rFonts w:ascii="Arial" w:hAnsi="Arial" w:cs="Arial"/>
          <w:b/>
          <w:i/>
        </w:rPr>
        <w:lastRenderedPageBreak/>
        <w:t>Title 24:</w:t>
      </w:r>
      <w:r w:rsidRPr="004D2BCB">
        <w:rPr>
          <w:rFonts w:ascii="Arial" w:hAnsi="Arial" w:cs="Arial"/>
        </w:rPr>
        <w:t xml:space="preserve"> </w:t>
      </w:r>
      <w:r w:rsidRPr="004D2BCB">
        <w:rPr>
          <w:rFonts w:ascii="Arial" w:hAnsi="Arial" w:cs="Arial"/>
          <w:color w:val="auto"/>
          <w:sz w:val="20"/>
        </w:rPr>
        <w:t>These measures do not fall under Title 24 of the California Energy Regulations. Per Section 146(a</w:t>
      </w:r>
      <w:proofErr w:type="gramStart"/>
      <w:r w:rsidRPr="004D2BCB">
        <w:rPr>
          <w:rFonts w:ascii="Arial" w:hAnsi="Arial" w:cs="Arial"/>
          <w:color w:val="auto"/>
          <w:sz w:val="20"/>
        </w:rPr>
        <w:t>)3E</w:t>
      </w:r>
      <w:proofErr w:type="gramEnd"/>
      <w:r w:rsidRPr="004D2BCB">
        <w:rPr>
          <w:rFonts w:ascii="Arial" w:hAnsi="Arial" w:cs="Arial"/>
          <w:color w:val="auto"/>
          <w:sz w:val="20"/>
        </w:rPr>
        <w:t xml:space="preserve"> walk-in lighting is excluded from lighting requirements described elsewhere in Section 146</w:t>
      </w:r>
      <w:r w:rsidRPr="004D2BCB">
        <w:rPr>
          <w:rFonts w:ascii="Arial" w:hAnsi="Arial" w:cs="Arial"/>
        </w:rPr>
        <w:t>.</w:t>
      </w:r>
      <w:r w:rsidRPr="004D2BCB">
        <w:rPr>
          <w:rStyle w:val="EndnoteReference"/>
          <w:rFonts w:ascii="Arial" w:hAnsi="Arial" w:cs="Arial"/>
        </w:rPr>
        <w:endnoteReference w:id="6"/>
      </w:r>
      <w:r w:rsidRPr="004D2BCB">
        <w:rPr>
          <w:rFonts w:ascii="Arial" w:hAnsi="Arial" w:cs="Arial"/>
        </w:rPr>
        <w:t xml:space="preserve"> </w:t>
      </w:r>
    </w:p>
    <w:p w:rsidR="006F214B" w:rsidRDefault="006F214B" w:rsidP="001C6598">
      <w:pPr>
        <w:pStyle w:val="Default"/>
        <w:rPr>
          <w:rFonts w:ascii="Arial" w:hAnsi="Arial" w:cs="Arial"/>
          <w:b/>
          <w:color w:val="FF0000"/>
          <w:sz w:val="20"/>
          <w:szCs w:val="20"/>
        </w:rPr>
      </w:pPr>
    </w:p>
    <w:p w:rsidR="008D6F1D" w:rsidRPr="004D2BCB" w:rsidRDefault="008D6F1D" w:rsidP="001C6598">
      <w:pPr>
        <w:pStyle w:val="Default"/>
        <w:rPr>
          <w:rFonts w:ascii="Arial" w:hAnsi="Arial" w:cs="Arial"/>
          <w:b/>
          <w:color w:val="FF0000"/>
          <w:sz w:val="20"/>
          <w:szCs w:val="20"/>
        </w:rPr>
      </w:pPr>
    </w:p>
    <w:p w:rsidR="00953425" w:rsidRDefault="00953425" w:rsidP="00390130">
      <w:pPr>
        <w:pStyle w:val="Default"/>
        <w:jc w:val="both"/>
        <w:rPr>
          <w:rFonts w:ascii="Arial" w:hAnsi="Arial" w:cs="Arial"/>
          <w:color w:val="auto"/>
          <w:sz w:val="20"/>
        </w:rPr>
      </w:pPr>
      <w:r w:rsidRPr="004D2BCB">
        <w:rPr>
          <w:rFonts w:ascii="Arial" w:hAnsi="Arial" w:cs="Arial"/>
          <w:b/>
          <w:i/>
        </w:rPr>
        <w:t xml:space="preserve">Federal Standards: </w:t>
      </w:r>
      <w:r w:rsidRPr="004D2BCB">
        <w:rPr>
          <w:rFonts w:ascii="Arial" w:hAnsi="Arial" w:cs="Arial"/>
          <w:color w:val="auto"/>
          <w:sz w:val="20"/>
        </w:rPr>
        <w:t>This measure does not fall under Federal DOE or EPA Energy Regulations.</w:t>
      </w:r>
    </w:p>
    <w:p w:rsidR="008D6F1D" w:rsidRPr="004D2BCB" w:rsidRDefault="008D6F1D" w:rsidP="00390130">
      <w:pPr>
        <w:pStyle w:val="Default"/>
        <w:jc w:val="both"/>
        <w:rPr>
          <w:rFonts w:ascii="Arial" w:hAnsi="Arial" w:cs="Arial"/>
          <w:color w:val="auto"/>
          <w:sz w:val="20"/>
        </w:rPr>
      </w:pPr>
    </w:p>
    <w:p w:rsidR="002E0043" w:rsidRPr="004D2BCB" w:rsidRDefault="001248A3" w:rsidP="001C6598">
      <w:pPr>
        <w:pStyle w:val="Heading3"/>
      </w:pPr>
      <w:bookmarkStart w:id="27" w:name="_Toc438047462"/>
      <w:r w:rsidRPr="004D2BCB">
        <w:t>1.4</w:t>
      </w:r>
      <w:r w:rsidR="00264B03" w:rsidRPr="004D2BCB">
        <w:t>.3</w:t>
      </w:r>
      <w:r w:rsidR="00A02F0A" w:rsidRPr="004D2BCB">
        <w:t xml:space="preserve"> </w:t>
      </w:r>
      <w:r w:rsidR="00C069A2" w:rsidRPr="004D2BCB">
        <w:t>EM&amp;V</w:t>
      </w:r>
      <w:r w:rsidR="00755961" w:rsidRPr="004D2BCB">
        <w:t>, Market Potential,</w:t>
      </w:r>
      <w:r w:rsidR="00C069A2" w:rsidRPr="004D2BCB">
        <w:t xml:space="preserve"> </w:t>
      </w:r>
      <w:r w:rsidR="0044337C" w:rsidRPr="004D2BCB">
        <w:t xml:space="preserve">and Other </w:t>
      </w:r>
      <w:r w:rsidR="00C069A2" w:rsidRPr="004D2BCB">
        <w:t>Studies</w:t>
      </w:r>
      <w:r w:rsidR="009C5CA7" w:rsidRPr="004D2BCB">
        <w:t xml:space="preserve"> – Base Case and Measure Case Information</w:t>
      </w:r>
      <w:bookmarkEnd w:id="27"/>
    </w:p>
    <w:p w:rsidR="00706E8C" w:rsidRPr="00390130" w:rsidRDefault="00706E8C" w:rsidP="00390130">
      <w:pPr>
        <w:autoSpaceDE w:val="0"/>
        <w:autoSpaceDN w:val="0"/>
        <w:adjustRightInd w:val="0"/>
        <w:jc w:val="both"/>
        <w:rPr>
          <w:rFonts w:ascii="Arial" w:hAnsi="Arial" w:cs="Arial"/>
          <w:sz w:val="20"/>
          <w:szCs w:val="20"/>
        </w:rPr>
      </w:pPr>
      <w:r w:rsidRPr="00390130">
        <w:rPr>
          <w:rFonts w:ascii="Arial" w:hAnsi="Arial" w:cs="Arial"/>
          <w:sz w:val="20"/>
          <w:szCs w:val="20"/>
        </w:rPr>
        <w:t>LED Refrigerated Case lighting technology has been closely tracked in California Emerging Technology studies. PG&amp;E has conducted a series of three ET studies, and SCE and SMUD have conducted studies: Application Assessment Reports #0723</w:t>
      </w:r>
      <w:r w:rsidRPr="00390130">
        <w:rPr>
          <w:rStyle w:val="EndnoteReference"/>
          <w:rFonts w:ascii="Arial" w:hAnsi="Arial" w:cs="Arial"/>
          <w:sz w:val="20"/>
          <w:szCs w:val="20"/>
        </w:rPr>
        <w:endnoteReference w:id="7"/>
      </w:r>
      <w:r w:rsidRPr="00390130">
        <w:rPr>
          <w:rFonts w:ascii="Arial" w:hAnsi="Arial" w:cs="Arial"/>
          <w:sz w:val="20"/>
          <w:szCs w:val="20"/>
        </w:rPr>
        <w:t>, #0722</w:t>
      </w:r>
      <w:r w:rsidRPr="00390130">
        <w:rPr>
          <w:rStyle w:val="EndnoteReference"/>
          <w:rFonts w:ascii="Arial" w:hAnsi="Arial" w:cs="Arial"/>
          <w:sz w:val="20"/>
          <w:szCs w:val="20"/>
        </w:rPr>
        <w:endnoteReference w:id="8"/>
      </w:r>
      <w:r w:rsidRPr="00390130">
        <w:rPr>
          <w:rFonts w:ascii="Arial" w:hAnsi="Arial" w:cs="Arial"/>
          <w:sz w:val="20"/>
          <w:szCs w:val="20"/>
        </w:rPr>
        <w:t>, #0608 (Ref #3)</w:t>
      </w:r>
      <w:r w:rsidRPr="00390130">
        <w:rPr>
          <w:rFonts w:ascii="Arial" w:hAnsi="Arial" w:cs="Arial"/>
          <w:sz w:val="20"/>
          <w:szCs w:val="20"/>
          <w:vertAlign w:val="superscript"/>
        </w:rPr>
        <w:t xml:space="preserve"> </w:t>
      </w:r>
      <w:r w:rsidRPr="00390130">
        <w:rPr>
          <w:rFonts w:ascii="Arial" w:hAnsi="Arial" w:cs="Arial"/>
          <w:sz w:val="20"/>
          <w:szCs w:val="20"/>
        </w:rPr>
        <w:t xml:space="preserve">and #0606 (Ref # 5). These studies have all studied reach-in cases (i.e. with glass doors), and all but one have focused on low-temperature rather than medium-temperature cases (i.e. freezers instead of refrigerators).  Even with these limitations, the ET studies provide reliable information on lighting performance, the contribution of refrigeration savings and occupancy sensing savings, and customer satisfaction.  </w:t>
      </w:r>
    </w:p>
    <w:p w:rsidR="00706E8C" w:rsidRPr="00390130" w:rsidRDefault="00706E8C" w:rsidP="00390130">
      <w:pPr>
        <w:autoSpaceDE w:val="0"/>
        <w:autoSpaceDN w:val="0"/>
        <w:adjustRightInd w:val="0"/>
        <w:jc w:val="both"/>
        <w:rPr>
          <w:rFonts w:ascii="Arial" w:hAnsi="Arial" w:cs="Arial"/>
          <w:sz w:val="20"/>
          <w:szCs w:val="20"/>
        </w:rPr>
      </w:pPr>
    </w:p>
    <w:p w:rsidR="00706E8C" w:rsidRPr="00390130" w:rsidRDefault="00706E8C" w:rsidP="00390130">
      <w:pPr>
        <w:autoSpaceDE w:val="0"/>
        <w:autoSpaceDN w:val="0"/>
        <w:adjustRightInd w:val="0"/>
        <w:jc w:val="both"/>
        <w:rPr>
          <w:rFonts w:ascii="Arial" w:hAnsi="Arial" w:cs="Arial"/>
          <w:sz w:val="20"/>
          <w:szCs w:val="20"/>
        </w:rPr>
      </w:pPr>
      <w:r w:rsidRPr="00390130">
        <w:rPr>
          <w:rFonts w:ascii="Arial" w:hAnsi="Arial" w:cs="Arial"/>
          <w:sz w:val="20"/>
          <w:szCs w:val="20"/>
        </w:rPr>
        <w:t xml:space="preserve">PG&amp;E’s Emerging Technologies group has established that nearly half of supermarket electric costs are spent on refrigeration, and that lighting accounts for about 15% of the total energy consumed by commercial refrigerators.  The ET group’s demonstration projects show that LED refrigerated case lighting can lower lighting energy usage, and produce refrigeration savings as well. Another gauge of the market potential in LED refrigerated case lighting is the continuing success of the PG&amp;E’s ERCO midstream program, and the vendor and customer feedback in day-to-day Program operations.  To date, the PG&amp;E offerings for refrigerated case LED lighting have focused entirely on vertical cases.  Vendors and customers have relayed that while vertical cases are a good application, additional potential can be found in horizontal case lighting, where multiple lamp profiles are common, particularly for canopy lighting.  Current ERCO participants indicate support for the expanded measures in this </w:t>
      </w:r>
      <w:proofErr w:type="spellStart"/>
      <w:r w:rsidRPr="00390130">
        <w:rPr>
          <w:rFonts w:ascii="Arial" w:hAnsi="Arial" w:cs="Arial"/>
          <w:sz w:val="20"/>
          <w:szCs w:val="20"/>
        </w:rPr>
        <w:t>workpaper</w:t>
      </w:r>
      <w:proofErr w:type="spellEnd"/>
      <w:r w:rsidRPr="00390130">
        <w:rPr>
          <w:rFonts w:ascii="Arial" w:hAnsi="Arial" w:cs="Arial"/>
          <w:sz w:val="20"/>
          <w:szCs w:val="20"/>
        </w:rPr>
        <w:t>.</w:t>
      </w:r>
    </w:p>
    <w:p w:rsidR="00706E8C" w:rsidRPr="00390130" w:rsidRDefault="00706E8C" w:rsidP="00390130">
      <w:pPr>
        <w:autoSpaceDE w:val="0"/>
        <w:autoSpaceDN w:val="0"/>
        <w:adjustRightInd w:val="0"/>
        <w:jc w:val="both"/>
        <w:rPr>
          <w:rFonts w:ascii="Arial" w:hAnsi="Arial" w:cs="Arial"/>
          <w:sz w:val="20"/>
          <w:szCs w:val="20"/>
        </w:rPr>
      </w:pPr>
    </w:p>
    <w:p w:rsidR="00314731" w:rsidRDefault="00706E8C">
      <w:pPr>
        <w:jc w:val="both"/>
        <w:rPr>
          <w:rFonts w:ascii="Arial" w:hAnsi="Arial" w:cs="Arial"/>
          <w:sz w:val="20"/>
          <w:szCs w:val="20"/>
        </w:rPr>
      </w:pPr>
      <w:r w:rsidRPr="00390130">
        <w:rPr>
          <w:rFonts w:ascii="Arial" w:hAnsi="Arial" w:cs="Arial"/>
          <w:sz w:val="20"/>
          <w:szCs w:val="20"/>
        </w:rPr>
        <w:t>LED lighting is a rapidly advancing technology. It is anticipated that on-going improvements to LED technology, power supplies, and installation methods will lead to continuing price reductions and increases in energy savings.</w:t>
      </w:r>
    </w:p>
    <w:p w:rsidR="008D6F1D" w:rsidRPr="00390130" w:rsidRDefault="008D6F1D">
      <w:pPr>
        <w:jc w:val="both"/>
        <w:rPr>
          <w:rFonts w:ascii="Arial" w:hAnsi="Arial" w:cs="Arial"/>
          <w:sz w:val="20"/>
          <w:szCs w:val="20"/>
        </w:rPr>
      </w:pPr>
    </w:p>
    <w:p w:rsidR="009C5CA7" w:rsidRPr="004D2BCB" w:rsidRDefault="001248A3" w:rsidP="001C6598">
      <w:pPr>
        <w:pStyle w:val="Heading3"/>
      </w:pPr>
      <w:bookmarkStart w:id="28" w:name="_Toc438047463"/>
      <w:r w:rsidRPr="004D2BCB">
        <w:t>1.</w:t>
      </w:r>
      <w:r w:rsidR="00264B03" w:rsidRPr="004D2BCB">
        <w:t xml:space="preserve">4.4 </w:t>
      </w:r>
      <w:r w:rsidR="009C5CA7" w:rsidRPr="004D2BCB">
        <w:t xml:space="preserve">Assumptions and </w:t>
      </w:r>
      <w:r w:rsidR="00264B03" w:rsidRPr="004D2BCB">
        <w:t>Calculations from other sources—Base and Measure Cases</w:t>
      </w:r>
      <w:bookmarkEnd w:id="28"/>
    </w:p>
    <w:p w:rsidR="00314731" w:rsidRDefault="00314731" w:rsidP="00314731">
      <w:pPr>
        <w:rPr>
          <w:rFonts w:ascii="Arial" w:hAnsi="Arial" w:cs="Arial"/>
          <w:sz w:val="20"/>
        </w:rPr>
      </w:pPr>
      <w:r w:rsidRPr="004D2BCB">
        <w:rPr>
          <w:rFonts w:ascii="Arial" w:hAnsi="Arial" w:cs="Arial"/>
          <w:sz w:val="20"/>
        </w:rPr>
        <w:t>The measure effective useful life (EUL) is 1</w:t>
      </w:r>
      <w:r w:rsidR="00706E8C" w:rsidRPr="004D2BCB">
        <w:rPr>
          <w:rFonts w:ascii="Arial" w:hAnsi="Arial" w:cs="Arial"/>
          <w:sz w:val="20"/>
        </w:rPr>
        <w:t>6</w:t>
      </w:r>
      <w:r w:rsidRPr="004D2BCB">
        <w:rPr>
          <w:rFonts w:ascii="Arial" w:hAnsi="Arial" w:cs="Arial"/>
          <w:sz w:val="20"/>
        </w:rPr>
        <w:t xml:space="preserve"> </w:t>
      </w:r>
      <w:r w:rsidR="00B86F15" w:rsidRPr="004D2BCB">
        <w:rPr>
          <w:rFonts w:ascii="Arial" w:hAnsi="Arial" w:cs="Arial"/>
          <w:sz w:val="20"/>
        </w:rPr>
        <w:t>years</w:t>
      </w:r>
      <w:r w:rsidRPr="004D2BCB">
        <w:rPr>
          <w:rFonts w:ascii="Arial" w:hAnsi="Arial" w:cs="Arial"/>
          <w:sz w:val="20"/>
        </w:rPr>
        <w:t xml:space="preserve"> based on </w:t>
      </w:r>
      <w:r w:rsidR="00B86F15" w:rsidRPr="004D2BCB">
        <w:rPr>
          <w:rFonts w:ascii="Arial" w:hAnsi="Arial" w:cs="Arial"/>
          <w:sz w:val="20"/>
        </w:rPr>
        <w:t>4,7</w:t>
      </w:r>
      <w:r w:rsidR="00706E8C" w:rsidRPr="004D2BCB">
        <w:rPr>
          <w:rFonts w:ascii="Arial" w:hAnsi="Arial" w:cs="Arial"/>
          <w:sz w:val="20"/>
        </w:rPr>
        <w:t>10</w:t>
      </w:r>
      <w:r w:rsidRPr="004D2BCB">
        <w:rPr>
          <w:rFonts w:ascii="Arial" w:hAnsi="Arial" w:cs="Arial"/>
          <w:sz w:val="20"/>
        </w:rPr>
        <w:t xml:space="preserve"> hour a year lighting operation</w:t>
      </w:r>
      <w:r w:rsidRPr="00390130">
        <w:rPr>
          <w:rFonts w:ascii="Arial" w:hAnsi="Arial" w:cs="Arial"/>
          <w:sz w:val="20"/>
        </w:rPr>
        <w:endnoteReference w:id="9"/>
      </w:r>
      <w:r w:rsidRPr="004D2BCB">
        <w:rPr>
          <w:rFonts w:ascii="Arial" w:hAnsi="Arial" w:cs="Arial"/>
          <w:sz w:val="20"/>
        </w:rPr>
        <w:t xml:space="preserve"> and a minimum rated equipment life of 50,000 hours.</w:t>
      </w:r>
      <w:r w:rsidRPr="004D2BCB">
        <w:rPr>
          <w:rStyle w:val="FootnoteReference"/>
          <w:rFonts w:ascii="Arial" w:hAnsi="Arial" w:cs="Arial"/>
        </w:rPr>
        <w:footnoteReference w:id="1"/>
      </w:r>
    </w:p>
    <w:p w:rsidR="008D6F1D" w:rsidRPr="004D2BCB" w:rsidRDefault="008D6F1D" w:rsidP="00314731">
      <w:pPr>
        <w:rPr>
          <w:rFonts w:ascii="Arial" w:hAnsi="Arial" w:cs="Arial"/>
        </w:rPr>
      </w:pPr>
    </w:p>
    <w:p w:rsidR="001C2942" w:rsidRPr="004D2BCB" w:rsidRDefault="001C2942" w:rsidP="00774447">
      <w:pPr>
        <w:pStyle w:val="Heading3"/>
      </w:pPr>
      <w:bookmarkStart w:id="29" w:name="_Toc438047464"/>
      <w:r w:rsidRPr="004D2BCB">
        <w:t>1.</w:t>
      </w:r>
      <w:r w:rsidR="00063FA7" w:rsidRPr="004D2BCB">
        <w:t>4.5</w:t>
      </w:r>
      <w:r w:rsidRPr="004D2BCB">
        <w:t xml:space="preserve"> Time-of-Use Adjustment Factor</w:t>
      </w:r>
      <w:bookmarkEnd w:id="29"/>
    </w:p>
    <w:p w:rsidR="001C2942" w:rsidRPr="004D2BCB" w:rsidRDefault="00FF4E87" w:rsidP="00312A1F">
      <w:pPr>
        <w:jc w:val="both"/>
        <w:rPr>
          <w:rFonts w:ascii="Arial" w:hAnsi="Arial" w:cs="Arial"/>
          <w:sz w:val="20"/>
        </w:rPr>
      </w:pPr>
      <w:r w:rsidRPr="004D2BCB">
        <w:rPr>
          <w:rFonts w:ascii="Arial" w:hAnsi="Arial" w:cs="Arial"/>
          <w:sz w:val="20"/>
        </w:rPr>
        <w:t xml:space="preserve">We are required </w:t>
      </w:r>
      <w:r w:rsidR="001C2942" w:rsidRPr="004D2BCB">
        <w:rPr>
          <w:rFonts w:ascii="Arial" w:hAnsi="Arial" w:cs="Arial"/>
          <w:sz w:val="20"/>
        </w:rPr>
        <w:t>by CPUC decision 06-06-063 dated June 29, 2006</w:t>
      </w:r>
      <w:r w:rsidRPr="004D2BCB">
        <w:rPr>
          <w:rFonts w:ascii="Arial" w:hAnsi="Arial" w:cs="Arial"/>
          <w:sz w:val="20"/>
        </w:rPr>
        <w:t xml:space="preserve"> to apply </w:t>
      </w:r>
      <w:r w:rsidR="001C2942" w:rsidRPr="004D2BCB">
        <w:rPr>
          <w:rFonts w:ascii="Arial" w:hAnsi="Arial" w:cs="Arial"/>
          <w:sz w:val="20"/>
        </w:rPr>
        <w:t xml:space="preserve">time-of-use (TOU) adjustment factors </w:t>
      </w:r>
      <w:r w:rsidRPr="004D2BCB">
        <w:rPr>
          <w:rFonts w:ascii="Arial" w:hAnsi="Arial" w:cs="Arial"/>
          <w:sz w:val="20"/>
        </w:rPr>
        <w:t>on</w:t>
      </w:r>
      <w:r w:rsidR="001C2942" w:rsidRPr="004D2BCB">
        <w:rPr>
          <w:rFonts w:ascii="Arial" w:hAnsi="Arial" w:cs="Arial"/>
          <w:sz w:val="20"/>
        </w:rPr>
        <w:t xml:space="preserve"> residential A/C and commercial A/C (packaged and split-system direct-expansion cooling) measures only.   Since this is not an A/C measure, the TOU adjustment factor is 0.  Additionally, </w:t>
      </w:r>
      <w:r w:rsidR="003F1CCD" w:rsidRPr="004D2BCB">
        <w:rPr>
          <w:rFonts w:ascii="Arial" w:hAnsi="Arial" w:cs="Arial"/>
          <w:sz w:val="20"/>
        </w:rPr>
        <w:t>i</w:t>
      </w:r>
      <w:r w:rsidR="001C2942" w:rsidRPr="004D2BCB">
        <w:rPr>
          <w:rFonts w:ascii="Arial" w:hAnsi="Arial" w:cs="Arial"/>
          <w:sz w:val="20"/>
        </w:rPr>
        <w:t>f a measure is assigned a DEER</w:t>
      </w:r>
      <w:r w:rsidR="001746E9" w:rsidRPr="004D2BCB">
        <w:rPr>
          <w:rFonts w:ascii="Arial" w:hAnsi="Arial" w:cs="Arial"/>
          <w:sz w:val="20"/>
        </w:rPr>
        <w:t>16</w:t>
      </w:r>
      <w:r w:rsidR="001C2942" w:rsidRPr="004D2BCB">
        <w:rPr>
          <w:rFonts w:ascii="Arial" w:hAnsi="Arial" w:cs="Arial"/>
          <w:sz w:val="20"/>
        </w:rPr>
        <w:t xml:space="preserve"> load shape, i.e. the load shape starts with “DEER:” the TOU assigned to that measure should also be zero.</w:t>
      </w:r>
    </w:p>
    <w:p w:rsidR="001C2942" w:rsidRPr="004D2BCB" w:rsidRDefault="001C2942" w:rsidP="00A02F0A">
      <w:pPr>
        <w:rPr>
          <w:rFonts w:ascii="Arial" w:hAnsi="Arial" w:cs="Arial"/>
        </w:rPr>
      </w:pPr>
    </w:p>
    <w:p w:rsidR="00C069A2" w:rsidRPr="004D2BCB" w:rsidRDefault="001248A3" w:rsidP="00802368">
      <w:pPr>
        <w:pStyle w:val="Heading2"/>
        <w:rPr>
          <w:color w:val="FF0000"/>
        </w:rPr>
      </w:pPr>
      <w:bookmarkStart w:id="30" w:name="_Toc438047465"/>
      <w:r w:rsidRPr="004D2BCB">
        <w:lastRenderedPageBreak/>
        <w:t>1.</w:t>
      </w:r>
      <w:r w:rsidR="00264B03" w:rsidRPr="004D2BCB">
        <w:t>5</w:t>
      </w:r>
      <w:r w:rsidRPr="004D2BCB">
        <w:t xml:space="preserve"> </w:t>
      </w:r>
      <w:r w:rsidR="00FA595F" w:rsidRPr="004D2BCB">
        <w:t>Summary of Inputs for Savings Calculations</w:t>
      </w:r>
      <w:bookmarkEnd w:id="30"/>
      <w:r w:rsidR="00814500" w:rsidRPr="004D2BCB">
        <w:t xml:space="preserve"> </w:t>
      </w:r>
    </w:p>
    <w:p w:rsidR="009E5ECC" w:rsidRPr="004D2BCB" w:rsidRDefault="00FD3721" w:rsidP="00312A1F">
      <w:pPr>
        <w:jc w:val="both"/>
        <w:rPr>
          <w:rFonts w:ascii="Arial" w:hAnsi="Arial" w:cs="Arial"/>
          <w:sz w:val="20"/>
        </w:rPr>
      </w:pPr>
      <w:r w:rsidRPr="004D2BCB">
        <w:rPr>
          <w:rFonts w:ascii="Arial" w:hAnsi="Arial" w:cs="Arial"/>
          <w:sz w:val="20"/>
        </w:rPr>
        <w:t>The following table provides references to sections provide</w:t>
      </w:r>
      <w:r w:rsidR="005F181C" w:rsidRPr="004D2BCB">
        <w:rPr>
          <w:rFonts w:ascii="Arial" w:hAnsi="Arial" w:cs="Arial"/>
          <w:sz w:val="20"/>
        </w:rPr>
        <w:t xml:space="preserve"> </w:t>
      </w:r>
      <w:r w:rsidRPr="004D2BCB">
        <w:rPr>
          <w:rFonts w:ascii="Arial" w:hAnsi="Arial" w:cs="Arial"/>
          <w:sz w:val="20"/>
        </w:rPr>
        <w:t>that document the inputs for calculation:</w:t>
      </w:r>
    </w:p>
    <w:p w:rsidR="00A42B11" w:rsidRPr="00390130" w:rsidRDefault="00A42B11" w:rsidP="00346796">
      <w:pPr>
        <w:pStyle w:val="Caption"/>
        <w:rPr>
          <w:rFonts w:cs="Arial"/>
        </w:rPr>
      </w:pPr>
    </w:p>
    <w:p w:rsidR="009E5ECC" w:rsidRPr="00390130" w:rsidRDefault="009E5ECC" w:rsidP="00346796">
      <w:pPr>
        <w:pStyle w:val="Caption"/>
        <w:rPr>
          <w:rFonts w:cs="Arial"/>
        </w:rPr>
      </w:pPr>
      <w:bookmarkStart w:id="31" w:name="_Ref438018291"/>
      <w:bookmarkStart w:id="32" w:name="_Toc438047485"/>
      <w:r w:rsidRPr="00390130">
        <w:rPr>
          <w:rFonts w:cs="Arial"/>
        </w:rPr>
        <w:t xml:space="preserve">Table </w:t>
      </w:r>
      <w:r w:rsidR="009861DE" w:rsidRPr="00390130">
        <w:rPr>
          <w:rFonts w:cs="Arial"/>
        </w:rPr>
        <w:fldChar w:fldCharType="begin"/>
      </w:r>
      <w:r w:rsidR="009861DE" w:rsidRPr="00390130">
        <w:rPr>
          <w:rFonts w:cs="Arial"/>
        </w:rPr>
        <w:instrText xml:space="preserve"> SEQ Table \* ARABIC </w:instrText>
      </w:r>
      <w:r w:rsidR="009861DE" w:rsidRPr="00390130">
        <w:rPr>
          <w:rFonts w:cs="Arial"/>
        </w:rPr>
        <w:fldChar w:fldCharType="separate"/>
      </w:r>
      <w:r w:rsidR="00940E51" w:rsidRPr="00390130">
        <w:rPr>
          <w:rFonts w:cs="Arial"/>
          <w:noProof/>
        </w:rPr>
        <w:t>3</w:t>
      </w:r>
      <w:r w:rsidR="009861DE" w:rsidRPr="00390130">
        <w:rPr>
          <w:rFonts w:cs="Arial"/>
          <w:noProof/>
        </w:rPr>
        <w:fldChar w:fldCharType="end"/>
      </w:r>
      <w:bookmarkEnd w:id="31"/>
      <w:r w:rsidRPr="00FF214D">
        <w:rPr>
          <w:rFonts w:cs="Arial"/>
        </w:rPr>
        <w:t xml:space="preserve"> - Variable Assumptions</w:t>
      </w:r>
      <w:bookmarkEnd w:id="32"/>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166"/>
        <w:gridCol w:w="1183"/>
        <w:gridCol w:w="1244"/>
        <w:gridCol w:w="1244"/>
        <w:gridCol w:w="1285"/>
        <w:gridCol w:w="2454"/>
      </w:tblGrid>
      <w:tr w:rsidR="009E5ECC" w:rsidRPr="004D2BCB" w:rsidTr="00312A1F">
        <w:tc>
          <w:tcPr>
            <w:tcW w:w="0" w:type="auto"/>
            <w:shd w:val="clear" w:color="auto" w:fill="262626"/>
            <w:vAlign w:val="bottom"/>
          </w:tcPr>
          <w:p w:rsidR="009E5ECC" w:rsidRPr="00390130" w:rsidRDefault="009E5ECC" w:rsidP="00312A1F">
            <w:pPr>
              <w:keepNext/>
              <w:keepLines/>
              <w:jc w:val="center"/>
              <w:rPr>
                <w:rFonts w:ascii="Arial" w:hAnsi="Arial" w:cs="Arial"/>
                <w:b/>
                <w:color w:val="F2F2F2"/>
                <w:sz w:val="20"/>
              </w:rPr>
            </w:pPr>
            <w:r w:rsidRPr="00390130">
              <w:rPr>
                <w:rFonts w:ascii="Arial" w:hAnsi="Arial" w:cs="Arial"/>
                <w:b/>
                <w:color w:val="F2F2F2"/>
                <w:sz w:val="20"/>
              </w:rPr>
              <w:t>Input Variable</w:t>
            </w:r>
          </w:p>
        </w:tc>
        <w:tc>
          <w:tcPr>
            <w:tcW w:w="0" w:type="auto"/>
            <w:shd w:val="clear" w:color="auto" w:fill="262626"/>
            <w:vAlign w:val="bottom"/>
          </w:tcPr>
          <w:p w:rsidR="009E5ECC" w:rsidRPr="00390130" w:rsidRDefault="009E5ECC" w:rsidP="00312A1F">
            <w:pPr>
              <w:keepNext/>
              <w:keepLines/>
              <w:jc w:val="center"/>
              <w:rPr>
                <w:rFonts w:ascii="Arial" w:hAnsi="Arial" w:cs="Arial"/>
                <w:b/>
                <w:color w:val="F2F2F2"/>
                <w:sz w:val="20"/>
              </w:rPr>
            </w:pPr>
            <w:r w:rsidRPr="00390130">
              <w:rPr>
                <w:rFonts w:ascii="Arial" w:hAnsi="Arial" w:cs="Arial"/>
                <w:b/>
                <w:color w:val="F2F2F2"/>
                <w:sz w:val="20"/>
              </w:rPr>
              <w:t>Variations</w:t>
            </w:r>
          </w:p>
        </w:tc>
        <w:tc>
          <w:tcPr>
            <w:tcW w:w="0" w:type="auto"/>
            <w:shd w:val="clear" w:color="auto" w:fill="262626"/>
            <w:vAlign w:val="bottom"/>
          </w:tcPr>
          <w:p w:rsidR="009E5ECC" w:rsidRPr="00390130" w:rsidRDefault="009E5ECC" w:rsidP="00312A1F">
            <w:pPr>
              <w:keepNext/>
              <w:keepLines/>
              <w:jc w:val="center"/>
              <w:rPr>
                <w:rFonts w:ascii="Arial" w:hAnsi="Arial" w:cs="Arial"/>
                <w:b/>
                <w:color w:val="F2F2F2"/>
                <w:sz w:val="20"/>
              </w:rPr>
            </w:pPr>
            <w:r w:rsidRPr="00390130">
              <w:rPr>
                <w:rFonts w:ascii="Arial" w:hAnsi="Arial" w:cs="Arial"/>
                <w:b/>
                <w:color w:val="F2F2F2"/>
                <w:sz w:val="20"/>
              </w:rPr>
              <w:t>Base Case 1 Average Value</w:t>
            </w:r>
          </w:p>
        </w:tc>
        <w:tc>
          <w:tcPr>
            <w:tcW w:w="0" w:type="auto"/>
            <w:shd w:val="clear" w:color="auto" w:fill="262626"/>
            <w:vAlign w:val="bottom"/>
          </w:tcPr>
          <w:p w:rsidR="009E5ECC" w:rsidRPr="00390130" w:rsidRDefault="009E5ECC" w:rsidP="00312A1F">
            <w:pPr>
              <w:keepNext/>
              <w:keepLines/>
              <w:jc w:val="center"/>
              <w:rPr>
                <w:rFonts w:ascii="Arial" w:hAnsi="Arial" w:cs="Arial"/>
                <w:b/>
                <w:color w:val="F2F2F2"/>
                <w:sz w:val="20"/>
              </w:rPr>
            </w:pPr>
            <w:r w:rsidRPr="00390130">
              <w:rPr>
                <w:rFonts w:ascii="Arial" w:hAnsi="Arial" w:cs="Arial"/>
                <w:b/>
                <w:color w:val="F2F2F2"/>
                <w:sz w:val="20"/>
              </w:rPr>
              <w:t>Base Case 2 Average Value</w:t>
            </w:r>
          </w:p>
        </w:tc>
        <w:tc>
          <w:tcPr>
            <w:tcW w:w="0" w:type="auto"/>
            <w:shd w:val="clear" w:color="auto" w:fill="262626"/>
            <w:vAlign w:val="bottom"/>
          </w:tcPr>
          <w:p w:rsidR="009E5ECC" w:rsidRPr="00390130" w:rsidRDefault="009E5ECC" w:rsidP="00312A1F">
            <w:pPr>
              <w:keepNext/>
              <w:keepLines/>
              <w:jc w:val="center"/>
              <w:rPr>
                <w:rFonts w:ascii="Arial" w:hAnsi="Arial" w:cs="Arial"/>
                <w:b/>
                <w:color w:val="F2F2F2"/>
                <w:sz w:val="20"/>
              </w:rPr>
            </w:pPr>
            <w:r w:rsidRPr="00390130">
              <w:rPr>
                <w:rFonts w:ascii="Arial" w:hAnsi="Arial" w:cs="Arial"/>
                <w:b/>
                <w:color w:val="F2F2F2"/>
                <w:sz w:val="20"/>
              </w:rPr>
              <w:t>Measure Case Average Value</w:t>
            </w:r>
          </w:p>
        </w:tc>
        <w:tc>
          <w:tcPr>
            <w:tcW w:w="0" w:type="auto"/>
            <w:shd w:val="clear" w:color="auto" w:fill="262626"/>
            <w:vAlign w:val="bottom"/>
          </w:tcPr>
          <w:p w:rsidR="009E5ECC" w:rsidRPr="00390130" w:rsidRDefault="009E5ECC" w:rsidP="00312A1F">
            <w:pPr>
              <w:keepNext/>
              <w:keepLines/>
              <w:jc w:val="center"/>
              <w:rPr>
                <w:rFonts w:ascii="Arial" w:hAnsi="Arial" w:cs="Arial"/>
                <w:b/>
                <w:color w:val="F2F2F2"/>
                <w:sz w:val="20"/>
              </w:rPr>
            </w:pPr>
            <w:r w:rsidRPr="00390130">
              <w:rPr>
                <w:rFonts w:ascii="Arial" w:hAnsi="Arial" w:cs="Arial"/>
                <w:b/>
                <w:color w:val="F2F2F2"/>
                <w:sz w:val="20"/>
              </w:rPr>
              <w:t>Reference Section</w:t>
            </w:r>
          </w:p>
        </w:tc>
      </w:tr>
      <w:tr w:rsidR="009E5ECC" w:rsidRPr="004D2BCB" w:rsidTr="00312A1F">
        <w:tc>
          <w:tcPr>
            <w:tcW w:w="0" w:type="auto"/>
            <w:shd w:val="pct5" w:color="000000" w:fill="FFFFFF"/>
          </w:tcPr>
          <w:p w:rsidR="009E5ECC" w:rsidRPr="004D2BCB" w:rsidRDefault="009E5ECC" w:rsidP="00F332CB">
            <w:pPr>
              <w:keepNext/>
              <w:rPr>
                <w:rFonts w:ascii="Arial" w:hAnsi="Arial" w:cs="Arial"/>
                <w:b/>
                <w:sz w:val="20"/>
                <w:szCs w:val="20"/>
              </w:rPr>
            </w:pPr>
            <w:r w:rsidRPr="004D2BCB">
              <w:rPr>
                <w:rFonts w:ascii="Arial" w:hAnsi="Arial" w:cs="Arial"/>
                <w:b/>
                <w:sz w:val="20"/>
                <w:szCs w:val="20"/>
              </w:rPr>
              <w:t>Luminaire Power (32W to 24W)</w:t>
            </w:r>
          </w:p>
        </w:tc>
        <w:tc>
          <w:tcPr>
            <w:tcW w:w="0" w:type="auto"/>
            <w:shd w:val="pct5" w:color="000000" w:fill="FFFFFF"/>
          </w:tcPr>
          <w:p w:rsidR="009E5ECC" w:rsidRPr="004D2BCB" w:rsidRDefault="009E5ECC" w:rsidP="00312A1F">
            <w:pPr>
              <w:keepNext/>
              <w:jc w:val="center"/>
              <w:rPr>
                <w:rFonts w:ascii="Arial" w:eastAsia="Calibri" w:hAnsi="Arial" w:cs="Arial"/>
                <w:i/>
                <w:color w:val="FF0000"/>
                <w:sz w:val="20"/>
                <w:szCs w:val="20"/>
              </w:rPr>
            </w:pPr>
            <w:r w:rsidRPr="004D2BCB">
              <w:rPr>
                <w:rFonts w:ascii="Arial" w:hAnsi="Arial" w:cs="Arial"/>
                <w:sz w:val="20"/>
                <w:szCs w:val="20"/>
              </w:rPr>
              <w:t>N/A</w:t>
            </w:r>
          </w:p>
        </w:tc>
        <w:tc>
          <w:tcPr>
            <w:tcW w:w="0" w:type="auto"/>
            <w:shd w:val="pct5"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32</w:t>
            </w:r>
          </w:p>
        </w:tc>
        <w:tc>
          <w:tcPr>
            <w:tcW w:w="0" w:type="auto"/>
            <w:shd w:val="pct5" w:color="000000" w:fill="FFFFFF"/>
          </w:tcPr>
          <w:p w:rsidR="009E5ECC" w:rsidRPr="004D2BCB" w:rsidRDefault="009E5ECC" w:rsidP="00312A1F">
            <w:pPr>
              <w:keepNext/>
              <w:jc w:val="center"/>
              <w:rPr>
                <w:rFonts w:ascii="Arial" w:hAnsi="Arial" w:cs="Arial"/>
                <w:i/>
                <w:sz w:val="20"/>
                <w:szCs w:val="20"/>
              </w:rPr>
            </w:pPr>
            <w:r w:rsidRPr="004D2BCB">
              <w:rPr>
                <w:rFonts w:ascii="Arial" w:hAnsi="Arial" w:cs="Arial"/>
                <w:sz w:val="20"/>
                <w:szCs w:val="20"/>
              </w:rPr>
              <w:t>32</w:t>
            </w:r>
          </w:p>
        </w:tc>
        <w:tc>
          <w:tcPr>
            <w:tcW w:w="0" w:type="auto"/>
            <w:shd w:val="pct5" w:color="000000" w:fill="FFFFFF"/>
          </w:tcPr>
          <w:p w:rsidR="009E5ECC" w:rsidRPr="004D2BCB" w:rsidRDefault="009E5ECC" w:rsidP="00312A1F">
            <w:pPr>
              <w:keepNext/>
              <w:jc w:val="center"/>
              <w:rPr>
                <w:rFonts w:ascii="Arial" w:hAnsi="Arial" w:cs="Arial"/>
                <w:i/>
                <w:sz w:val="20"/>
                <w:szCs w:val="20"/>
              </w:rPr>
            </w:pPr>
            <w:r w:rsidRPr="004D2BCB">
              <w:rPr>
                <w:rFonts w:ascii="Arial" w:hAnsi="Arial" w:cs="Arial"/>
                <w:sz w:val="20"/>
                <w:szCs w:val="20"/>
              </w:rPr>
              <w:t>24</w:t>
            </w:r>
          </w:p>
        </w:tc>
        <w:tc>
          <w:tcPr>
            <w:tcW w:w="0" w:type="auto"/>
            <w:shd w:val="pct5" w:color="000000" w:fill="FFFFFF"/>
          </w:tcPr>
          <w:p w:rsidR="009E5ECC" w:rsidRPr="004D2BCB" w:rsidRDefault="009E5ECC" w:rsidP="00312A1F">
            <w:pPr>
              <w:keepNext/>
              <w:jc w:val="center"/>
              <w:rPr>
                <w:rFonts w:ascii="Arial" w:eastAsia="Calibri" w:hAnsi="Arial" w:cs="Arial"/>
                <w:i/>
                <w:color w:val="FF0000"/>
                <w:sz w:val="20"/>
                <w:szCs w:val="20"/>
              </w:rPr>
            </w:pPr>
            <w:r w:rsidRPr="004D2BCB">
              <w:rPr>
                <w:rFonts w:ascii="Arial" w:hAnsi="Arial" w:cs="Arial"/>
                <w:sz w:val="20"/>
                <w:szCs w:val="20"/>
              </w:rPr>
              <w:t>Section 1.1 Measure Description &amp; Background</w:t>
            </w:r>
          </w:p>
        </w:tc>
      </w:tr>
      <w:tr w:rsidR="009E5ECC" w:rsidRPr="004D2BCB" w:rsidTr="00312A1F">
        <w:tc>
          <w:tcPr>
            <w:tcW w:w="0" w:type="auto"/>
            <w:shd w:val="pct20" w:color="000000" w:fill="FFFFFF"/>
          </w:tcPr>
          <w:p w:rsidR="009E5ECC" w:rsidRPr="004D2BCB" w:rsidRDefault="009E5ECC" w:rsidP="00F332CB">
            <w:pPr>
              <w:keepNext/>
              <w:rPr>
                <w:rFonts w:ascii="Arial" w:hAnsi="Arial" w:cs="Arial"/>
                <w:b/>
                <w:sz w:val="20"/>
                <w:szCs w:val="20"/>
              </w:rPr>
            </w:pPr>
            <w:r w:rsidRPr="004D2BCB">
              <w:rPr>
                <w:rFonts w:ascii="Arial" w:hAnsi="Arial" w:cs="Arial"/>
                <w:b/>
                <w:sz w:val="20"/>
                <w:szCs w:val="20"/>
              </w:rPr>
              <w:t>Luminaire Power (60W to 38W)</w:t>
            </w:r>
          </w:p>
        </w:tc>
        <w:tc>
          <w:tcPr>
            <w:tcW w:w="0" w:type="auto"/>
            <w:shd w:val="pct20" w:color="000000" w:fill="FFFFFF"/>
          </w:tcPr>
          <w:p w:rsidR="009E5ECC" w:rsidRPr="004D2BCB" w:rsidRDefault="009E5ECC" w:rsidP="00312A1F">
            <w:pPr>
              <w:keepNext/>
              <w:jc w:val="center"/>
              <w:rPr>
                <w:rFonts w:ascii="Arial" w:eastAsia="Calibri" w:hAnsi="Arial" w:cs="Arial"/>
                <w:i/>
                <w:color w:val="FF0000"/>
                <w:sz w:val="20"/>
                <w:szCs w:val="20"/>
              </w:rPr>
            </w:pPr>
            <w:r w:rsidRPr="004D2BCB">
              <w:rPr>
                <w:rFonts w:ascii="Arial" w:hAnsi="Arial" w:cs="Arial"/>
                <w:sz w:val="20"/>
                <w:szCs w:val="20"/>
              </w:rPr>
              <w:t>N/A</w:t>
            </w:r>
          </w:p>
        </w:tc>
        <w:tc>
          <w:tcPr>
            <w:tcW w:w="0" w:type="auto"/>
            <w:shd w:val="pct20"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60</w:t>
            </w:r>
          </w:p>
        </w:tc>
        <w:tc>
          <w:tcPr>
            <w:tcW w:w="0" w:type="auto"/>
            <w:shd w:val="pct20"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60</w:t>
            </w:r>
          </w:p>
        </w:tc>
        <w:tc>
          <w:tcPr>
            <w:tcW w:w="0" w:type="auto"/>
            <w:shd w:val="pct20"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38</w:t>
            </w:r>
          </w:p>
        </w:tc>
        <w:tc>
          <w:tcPr>
            <w:tcW w:w="0" w:type="auto"/>
            <w:shd w:val="pct20"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Section 1.1 Measure Description &amp; Background</w:t>
            </w:r>
          </w:p>
        </w:tc>
      </w:tr>
      <w:tr w:rsidR="009E5ECC" w:rsidRPr="004D2BCB" w:rsidTr="00312A1F">
        <w:tc>
          <w:tcPr>
            <w:tcW w:w="0" w:type="auto"/>
            <w:shd w:val="pct5" w:color="000000" w:fill="FFFFFF"/>
          </w:tcPr>
          <w:p w:rsidR="009E5ECC" w:rsidRPr="004D2BCB" w:rsidRDefault="009E5ECC" w:rsidP="00F332CB">
            <w:pPr>
              <w:keepNext/>
              <w:rPr>
                <w:rFonts w:ascii="Arial" w:hAnsi="Arial" w:cs="Arial"/>
                <w:b/>
                <w:sz w:val="20"/>
                <w:szCs w:val="20"/>
              </w:rPr>
            </w:pPr>
            <w:r w:rsidRPr="004D2BCB">
              <w:rPr>
                <w:rFonts w:ascii="Arial" w:hAnsi="Arial" w:cs="Arial"/>
                <w:b/>
                <w:sz w:val="20"/>
                <w:szCs w:val="20"/>
              </w:rPr>
              <w:t>Luminaire Power (75W to 38W)</w:t>
            </w:r>
          </w:p>
        </w:tc>
        <w:tc>
          <w:tcPr>
            <w:tcW w:w="0" w:type="auto"/>
            <w:shd w:val="pct5" w:color="000000" w:fill="FFFFFF"/>
          </w:tcPr>
          <w:p w:rsidR="009E5ECC" w:rsidRPr="004D2BCB" w:rsidRDefault="009E5ECC" w:rsidP="00312A1F">
            <w:pPr>
              <w:keepNext/>
              <w:jc w:val="center"/>
              <w:rPr>
                <w:rFonts w:ascii="Arial" w:eastAsia="Calibri" w:hAnsi="Arial" w:cs="Arial"/>
                <w:i/>
                <w:color w:val="FF0000"/>
                <w:sz w:val="20"/>
                <w:szCs w:val="20"/>
              </w:rPr>
            </w:pPr>
            <w:r w:rsidRPr="004D2BCB">
              <w:rPr>
                <w:rFonts w:ascii="Arial" w:hAnsi="Arial" w:cs="Arial"/>
                <w:sz w:val="20"/>
                <w:szCs w:val="20"/>
              </w:rPr>
              <w:t>N/A</w:t>
            </w:r>
          </w:p>
        </w:tc>
        <w:tc>
          <w:tcPr>
            <w:tcW w:w="0" w:type="auto"/>
            <w:shd w:val="pct5"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75</w:t>
            </w:r>
          </w:p>
        </w:tc>
        <w:tc>
          <w:tcPr>
            <w:tcW w:w="0" w:type="auto"/>
            <w:shd w:val="pct5"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75</w:t>
            </w:r>
          </w:p>
        </w:tc>
        <w:tc>
          <w:tcPr>
            <w:tcW w:w="0" w:type="auto"/>
            <w:shd w:val="pct5"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38</w:t>
            </w:r>
          </w:p>
        </w:tc>
        <w:tc>
          <w:tcPr>
            <w:tcW w:w="0" w:type="auto"/>
            <w:shd w:val="pct5"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Section 1.1 Measure Description &amp; Background</w:t>
            </w:r>
          </w:p>
        </w:tc>
      </w:tr>
      <w:tr w:rsidR="009E5ECC" w:rsidRPr="004D2BCB" w:rsidTr="00312A1F">
        <w:tc>
          <w:tcPr>
            <w:tcW w:w="0" w:type="auto"/>
            <w:shd w:val="pct20" w:color="000000" w:fill="FFFFFF"/>
          </w:tcPr>
          <w:p w:rsidR="009E5ECC" w:rsidRPr="004D2BCB" w:rsidRDefault="009E5ECC" w:rsidP="00F332CB">
            <w:pPr>
              <w:keepNext/>
              <w:rPr>
                <w:rFonts w:ascii="Arial" w:hAnsi="Arial" w:cs="Arial"/>
                <w:b/>
                <w:sz w:val="20"/>
                <w:szCs w:val="20"/>
              </w:rPr>
            </w:pPr>
            <w:r w:rsidRPr="004D2BCB">
              <w:rPr>
                <w:rFonts w:ascii="Arial" w:hAnsi="Arial" w:cs="Arial"/>
                <w:b/>
                <w:sz w:val="20"/>
                <w:szCs w:val="20"/>
              </w:rPr>
              <w:t>Luminaire Power (100W to 38W)</w:t>
            </w:r>
          </w:p>
        </w:tc>
        <w:tc>
          <w:tcPr>
            <w:tcW w:w="0" w:type="auto"/>
            <w:shd w:val="pct20" w:color="000000" w:fill="FFFFFF"/>
          </w:tcPr>
          <w:p w:rsidR="009E5ECC" w:rsidRPr="004D2BCB" w:rsidRDefault="009E5ECC" w:rsidP="00312A1F">
            <w:pPr>
              <w:keepNext/>
              <w:jc w:val="center"/>
              <w:rPr>
                <w:rFonts w:ascii="Arial" w:eastAsia="Calibri" w:hAnsi="Arial" w:cs="Arial"/>
                <w:i/>
                <w:color w:val="FF0000"/>
                <w:sz w:val="20"/>
                <w:szCs w:val="20"/>
              </w:rPr>
            </w:pPr>
            <w:r w:rsidRPr="004D2BCB">
              <w:rPr>
                <w:rFonts w:ascii="Arial" w:hAnsi="Arial" w:cs="Arial"/>
                <w:sz w:val="20"/>
                <w:szCs w:val="20"/>
              </w:rPr>
              <w:t>N/A</w:t>
            </w:r>
          </w:p>
        </w:tc>
        <w:tc>
          <w:tcPr>
            <w:tcW w:w="0" w:type="auto"/>
            <w:shd w:val="pct20"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100</w:t>
            </w:r>
          </w:p>
        </w:tc>
        <w:tc>
          <w:tcPr>
            <w:tcW w:w="0" w:type="auto"/>
            <w:shd w:val="pct20"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100</w:t>
            </w:r>
          </w:p>
        </w:tc>
        <w:tc>
          <w:tcPr>
            <w:tcW w:w="0" w:type="auto"/>
            <w:shd w:val="pct20"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38</w:t>
            </w:r>
          </w:p>
        </w:tc>
        <w:tc>
          <w:tcPr>
            <w:tcW w:w="0" w:type="auto"/>
            <w:shd w:val="pct20"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Section 1.1 Measure Description &amp; Background</w:t>
            </w:r>
          </w:p>
        </w:tc>
      </w:tr>
      <w:tr w:rsidR="009E5ECC" w:rsidRPr="004D2BCB" w:rsidTr="00312A1F">
        <w:tc>
          <w:tcPr>
            <w:tcW w:w="0" w:type="auto"/>
            <w:shd w:val="pct5" w:color="000000" w:fill="FFFFFF"/>
          </w:tcPr>
          <w:p w:rsidR="009E5ECC" w:rsidRPr="004D2BCB" w:rsidRDefault="009E5ECC" w:rsidP="00F332CB">
            <w:pPr>
              <w:keepNext/>
              <w:rPr>
                <w:rFonts w:ascii="Arial" w:hAnsi="Arial" w:cs="Arial"/>
                <w:b/>
                <w:sz w:val="20"/>
                <w:szCs w:val="20"/>
              </w:rPr>
            </w:pPr>
            <w:r w:rsidRPr="004D2BCB">
              <w:rPr>
                <w:rFonts w:ascii="Arial" w:hAnsi="Arial" w:cs="Arial"/>
                <w:b/>
                <w:sz w:val="20"/>
                <w:szCs w:val="20"/>
              </w:rPr>
              <w:t>Luminaire Power (220W to 80W)</w:t>
            </w:r>
          </w:p>
        </w:tc>
        <w:tc>
          <w:tcPr>
            <w:tcW w:w="0" w:type="auto"/>
            <w:shd w:val="pct5" w:color="000000" w:fill="FFFFFF"/>
          </w:tcPr>
          <w:p w:rsidR="009E5ECC" w:rsidRPr="004D2BCB" w:rsidRDefault="009E5ECC" w:rsidP="00312A1F">
            <w:pPr>
              <w:keepNext/>
              <w:jc w:val="center"/>
              <w:rPr>
                <w:rFonts w:ascii="Arial" w:eastAsia="Calibri" w:hAnsi="Arial" w:cs="Arial"/>
                <w:i/>
                <w:color w:val="FF0000"/>
                <w:sz w:val="20"/>
                <w:szCs w:val="20"/>
              </w:rPr>
            </w:pPr>
            <w:r w:rsidRPr="004D2BCB">
              <w:rPr>
                <w:rFonts w:ascii="Arial" w:hAnsi="Arial" w:cs="Arial"/>
                <w:sz w:val="20"/>
                <w:szCs w:val="20"/>
              </w:rPr>
              <w:t>N/A</w:t>
            </w:r>
          </w:p>
        </w:tc>
        <w:tc>
          <w:tcPr>
            <w:tcW w:w="0" w:type="auto"/>
            <w:shd w:val="pct5"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220</w:t>
            </w:r>
          </w:p>
        </w:tc>
        <w:tc>
          <w:tcPr>
            <w:tcW w:w="0" w:type="auto"/>
            <w:shd w:val="pct5"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220</w:t>
            </w:r>
          </w:p>
        </w:tc>
        <w:tc>
          <w:tcPr>
            <w:tcW w:w="0" w:type="auto"/>
            <w:shd w:val="pct5"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80</w:t>
            </w:r>
          </w:p>
        </w:tc>
        <w:tc>
          <w:tcPr>
            <w:tcW w:w="0" w:type="auto"/>
            <w:shd w:val="pct5"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Section 1.1 Measure Description &amp; Background</w:t>
            </w:r>
          </w:p>
        </w:tc>
      </w:tr>
      <w:tr w:rsidR="009E5ECC" w:rsidRPr="004D2BCB" w:rsidTr="00312A1F">
        <w:tc>
          <w:tcPr>
            <w:tcW w:w="0" w:type="auto"/>
            <w:shd w:val="pct20" w:color="000000" w:fill="FFFFFF"/>
          </w:tcPr>
          <w:p w:rsidR="009E5ECC" w:rsidRPr="004D2BCB" w:rsidRDefault="009E5ECC" w:rsidP="00F332CB">
            <w:pPr>
              <w:keepNext/>
              <w:rPr>
                <w:rFonts w:ascii="Arial" w:hAnsi="Arial" w:cs="Arial"/>
                <w:b/>
                <w:sz w:val="20"/>
                <w:szCs w:val="20"/>
              </w:rPr>
            </w:pPr>
            <w:r w:rsidRPr="004D2BCB">
              <w:rPr>
                <w:rFonts w:ascii="Arial" w:hAnsi="Arial" w:cs="Arial"/>
                <w:b/>
                <w:sz w:val="20"/>
                <w:szCs w:val="20"/>
              </w:rPr>
              <w:t>Annual Hours of Operation</w:t>
            </w:r>
          </w:p>
        </w:tc>
        <w:tc>
          <w:tcPr>
            <w:tcW w:w="0" w:type="auto"/>
            <w:shd w:val="pct20" w:color="000000" w:fill="FFFFFF"/>
          </w:tcPr>
          <w:p w:rsidR="009E5ECC" w:rsidRPr="004D2BCB" w:rsidRDefault="009E5ECC" w:rsidP="00312A1F">
            <w:pPr>
              <w:keepNext/>
              <w:jc w:val="center"/>
              <w:rPr>
                <w:rFonts w:ascii="Arial" w:eastAsia="Calibri" w:hAnsi="Arial" w:cs="Arial"/>
                <w:i/>
                <w:color w:val="FF0000"/>
                <w:sz w:val="20"/>
                <w:szCs w:val="20"/>
              </w:rPr>
            </w:pPr>
            <w:r w:rsidRPr="004D2BCB">
              <w:rPr>
                <w:rFonts w:ascii="Arial" w:hAnsi="Arial" w:cs="Arial"/>
                <w:sz w:val="20"/>
                <w:szCs w:val="20"/>
              </w:rPr>
              <w:t>N/A</w:t>
            </w:r>
          </w:p>
        </w:tc>
        <w:tc>
          <w:tcPr>
            <w:tcW w:w="0" w:type="auto"/>
            <w:shd w:val="pct20" w:color="000000" w:fill="FFFFFF"/>
          </w:tcPr>
          <w:p w:rsidR="009E5ECC" w:rsidRPr="004D2BCB" w:rsidRDefault="00706E8C" w:rsidP="00312A1F">
            <w:pPr>
              <w:keepNext/>
              <w:jc w:val="center"/>
              <w:rPr>
                <w:rFonts w:ascii="Arial" w:hAnsi="Arial" w:cs="Arial"/>
                <w:sz w:val="20"/>
                <w:szCs w:val="20"/>
              </w:rPr>
            </w:pPr>
            <w:r w:rsidRPr="004D2BCB">
              <w:rPr>
                <w:rFonts w:ascii="Arial" w:hAnsi="Arial" w:cs="Arial"/>
                <w:sz w:val="20"/>
                <w:szCs w:val="20"/>
              </w:rPr>
              <w:t>4,810</w:t>
            </w:r>
          </w:p>
        </w:tc>
        <w:tc>
          <w:tcPr>
            <w:tcW w:w="0" w:type="auto"/>
            <w:shd w:val="pct20" w:color="000000" w:fill="FFFFFF"/>
          </w:tcPr>
          <w:p w:rsidR="009E5ECC" w:rsidRPr="004D2BCB" w:rsidRDefault="00706E8C" w:rsidP="00312A1F">
            <w:pPr>
              <w:keepNext/>
              <w:jc w:val="center"/>
              <w:rPr>
                <w:rFonts w:ascii="Arial" w:hAnsi="Arial" w:cs="Arial"/>
                <w:sz w:val="20"/>
                <w:szCs w:val="20"/>
              </w:rPr>
            </w:pPr>
            <w:r w:rsidRPr="004D2BCB">
              <w:rPr>
                <w:rFonts w:ascii="Arial" w:hAnsi="Arial" w:cs="Arial"/>
                <w:sz w:val="20"/>
                <w:szCs w:val="20"/>
              </w:rPr>
              <w:t>4,810</w:t>
            </w:r>
          </w:p>
        </w:tc>
        <w:tc>
          <w:tcPr>
            <w:tcW w:w="0" w:type="auto"/>
            <w:shd w:val="pct20" w:color="000000" w:fill="FFFFFF"/>
          </w:tcPr>
          <w:p w:rsidR="009E5ECC" w:rsidRPr="004D2BCB" w:rsidRDefault="00706E8C" w:rsidP="00312A1F">
            <w:pPr>
              <w:keepNext/>
              <w:jc w:val="center"/>
              <w:rPr>
                <w:rFonts w:ascii="Arial" w:hAnsi="Arial" w:cs="Arial"/>
                <w:sz w:val="20"/>
                <w:szCs w:val="20"/>
              </w:rPr>
            </w:pPr>
            <w:r w:rsidRPr="004D2BCB">
              <w:rPr>
                <w:rFonts w:ascii="Arial" w:hAnsi="Arial" w:cs="Arial"/>
                <w:sz w:val="20"/>
                <w:szCs w:val="20"/>
              </w:rPr>
              <w:t>4,710</w:t>
            </w:r>
          </w:p>
        </w:tc>
        <w:tc>
          <w:tcPr>
            <w:tcW w:w="0" w:type="auto"/>
            <w:shd w:val="pct20" w:color="000000" w:fill="FFFFFF"/>
          </w:tcPr>
          <w:p w:rsidR="009E5ECC" w:rsidRPr="004D2BCB" w:rsidRDefault="00706E8C" w:rsidP="00312A1F">
            <w:pPr>
              <w:keepNext/>
              <w:jc w:val="center"/>
              <w:rPr>
                <w:rFonts w:ascii="Arial" w:hAnsi="Arial" w:cs="Arial"/>
                <w:sz w:val="20"/>
                <w:szCs w:val="20"/>
              </w:rPr>
            </w:pPr>
            <w:r w:rsidRPr="004D2BCB">
              <w:rPr>
                <w:rFonts w:ascii="Arial" w:hAnsi="Arial" w:cs="Arial"/>
                <w:sz w:val="20"/>
                <w:szCs w:val="20"/>
              </w:rPr>
              <w:t>2016 DEER Grocery Building: Refrigerated Areas</w:t>
            </w:r>
            <w:r w:rsidRPr="004D2BCB" w:rsidDel="00706E8C">
              <w:rPr>
                <w:rFonts w:ascii="Arial" w:hAnsi="Arial" w:cs="Arial"/>
                <w:sz w:val="20"/>
                <w:szCs w:val="20"/>
              </w:rPr>
              <w:t xml:space="preserve"> </w:t>
            </w:r>
          </w:p>
        </w:tc>
      </w:tr>
      <w:tr w:rsidR="009E5ECC" w:rsidRPr="004D2BCB" w:rsidTr="00312A1F">
        <w:tc>
          <w:tcPr>
            <w:tcW w:w="0" w:type="auto"/>
            <w:shd w:val="pct5" w:color="000000" w:fill="FFFFFF"/>
          </w:tcPr>
          <w:p w:rsidR="009E5ECC" w:rsidRPr="004D2BCB" w:rsidRDefault="009E5ECC" w:rsidP="00F332CB">
            <w:pPr>
              <w:keepNext/>
              <w:rPr>
                <w:rFonts w:ascii="Arial" w:hAnsi="Arial" w:cs="Arial"/>
                <w:b/>
                <w:sz w:val="20"/>
                <w:szCs w:val="20"/>
              </w:rPr>
            </w:pPr>
            <w:r w:rsidRPr="004D2BCB">
              <w:rPr>
                <w:rFonts w:ascii="Arial" w:hAnsi="Arial" w:cs="Arial"/>
                <w:b/>
                <w:sz w:val="20"/>
                <w:szCs w:val="20"/>
              </w:rPr>
              <w:t>Annual Average EER- Medium Temp Refrigeration System (Btu/</w:t>
            </w:r>
            <w:proofErr w:type="spellStart"/>
            <w:r w:rsidRPr="004D2BCB">
              <w:rPr>
                <w:rFonts w:ascii="Arial" w:hAnsi="Arial" w:cs="Arial"/>
                <w:b/>
                <w:sz w:val="20"/>
                <w:szCs w:val="20"/>
              </w:rPr>
              <w:t>hr</w:t>
            </w:r>
            <w:proofErr w:type="spellEnd"/>
            <w:r w:rsidRPr="004D2BCB">
              <w:rPr>
                <w:rFonts w:ascii="Arial" w:hAnsi="Arial" w:cs="Arial"/>
                <w:b/>
                <w:sz w:val="20"/>
                <w:szCs w:val="20"/>
              </w:rPr>
              <w:t xml:space="preserve"> / W)</w:t>
            </w:r>
          </w:p>
        </w:tc>
        <w:tc>
          <w:tcPr>
            <w:tcW w:w="0" w:type="auto"/>
            <w:shd w:val="pct5" w:color="000000" w:fill="FFFFFF"/>
          </w:tcPr>
          <w:p w:rsidR="009E5ECC" w:rsidRPr="004D2BCB" w:rsidRDefault="009E5ECC" w:rsidP="00312A1F">
            <w:pPr>
              <w:keepNext/>
              <w:jc w:val="center"/>
              <w:rPr>
                <w:rFonts w:ascii="Arial" w:eastAsia="Calibri" w:hAnsi="Arial" w:cs="Arial"/>
                <w:i/>
                <w:color w:val="FF0000"/>
                <w:sz w:val="20"/>
                <w:szCs w:val="20"/>
              </w:rPr>
            </w:pPr>
            <w:r w:rsidRPr="004D2BCB">
              <w:rPr>
                <w:rFonts w:ascii="Arial" w:hAnsi="Arial" w:cs="Arial"/>
                <w:sz w:val="20"/>
                <w:szCs w:val="20"/>
              </w:rPr>
              <w:t>N/A</w:t>
            </w:r>
          </w:p>
        </w:tc>
        <w:tc>
          <w:tcPr>
            <w:tcW w:w="0" w:type="auto"/>
            <w:shd w:val="pct5"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10.9</w:t>
            </w:r>
          </w:p>
        </w:tc>
        <w:tc>
          <w:tcPr>
            <w:tcW w:w="0" w:type="auto"/>
            <w:shd w:val="pct5"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10.9</w:t>
            </w:r>
          </w:p>
        </w:tc>
        <w:tc>
          <w:tcPr>
            <w:tcW w:w="0" w:type="auto"/>
            <w:shd w:val="pct5"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10.9</w:t>
            </w:r>
          </w:p>
        </w:tc>
        <w:tc>
          <w:tcPr>
            <w:tcW w:w="0" w:type="auto"/>
            <w:shd w:val="pct5"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DOE2.2R Models representing a range of Refrigeration System Operational Parameters and Climate Zones</w:t>
            </w:r>
          </w:p>
        </w:tc>
      </w:tr>
      <w:tr w:rsidR="009E5ECC" w:rsidRPr="004D2BCB" w:rsidTr="00312A1F">
        <w:tc>
          <w:tcPr>
            <w:tcW w:w="0" w:type="auto"/>
            <w:shd w:val="pct20" w:color="000000" w:fill="FFFFFF"/>
          </w:tcPr>
          <w:p w:rsidR="009E5ECC" w:rsidRPr="004D2BCB" w:rsidRDefault="009E5ECC" w:rsidP="00F332CB">
            <w:pPr>
              <w:keepNext/>
              <w:rPr>
                <w:rFonts w:ascii="Arial" w:hAnsi="Arial" w:cs="Arial"/>
                <w:b/>
                <w:sz w:val="20"/>
                <w:szCs w:val="20"/>
              </w:rPr>
            </w:pPr>
            <w:r w:rsidRPr="004D2BCB">
              <w:rPr>
                <w:rFonts w:ascii="Arial" w:hAnsi="Arial" w:cs="Arial"/>
                <w:b/>
                <w:sz w:val="20"/>
                <w:szCs w:val="20"/>
              </w:rPr>
              <w:t>EER at Utility Peak- Medium Temp Refrigeration System (Btu/</w:t>
            </w:r>
            <w:proofErr w:type="spellStart"/>
            <w:r w:rsidRPr="004D2BCB">
              <w:rPr>
                <w:rFonts w:ascii="Arial" w:hAnsi="Arial" w:cs="Arial"/>
                <w:b/>
                <w:sz w:val="20"/>
                <w:szCs w:val="20"/>
              </w:rPr>
              <w:t>hr</w:t>
            </w:r>
            <w:proofErr w:type="spellEnd"/>
            <w:r w:rsidRPr="004D2BCB">
              <w:rPr>
                <w:rFonts w:ascii="Arial" w:hAnsi="Arial" w:cs="Arial"/>
                <w:b/>
                <w:sz w:val="20"/>
                <w:szCs w:val="20"/>
              </w:rPr>
              <w:t xml:space="preserve"> / W)</w:t>
            </w:r>
          </w:p>
        </w:tc>
        <w:tc>
          <w:tcPr>
            <w:tcW w:w="0" w:type="auto"/>
            <w:shd w:val="pct20" w:color="000000" w:fill="FFFFFF"/>
          </w:tcPr>
          <w:p w:rsidR="009E5ECC" w:rsidRPr="004D2BCB" w:rsidRDefault="009E5ECC" w:rsidP="00312A1F">
            <w:pPr>
              <w:keepNext/>
              <w:jc w:val="center"/>
              <w:rPr>
                <w:rFonts w:ascii="Arial" w:eastAsia="Calibri" w:hAnsi="Arial" w:cs="Arial"/>
                <w:i/>
                <w:color w:val="FF0000"/>
                <w:sz w:val="20"/>
                <w:szCs w:val="20"/>
              </w:rPr>
            </w:pPr>
            <w:r w:rsidRPr="004D2BCB">
              <w:rPr>
                <w:rFonts w:ascii="Arial" w:hAnsi="Arial" w:cs="Arial"/>
                <w:sz w:val="20"/>
                <w:szCs w:val="20"/>
              </w:rPr>
              <w:t>N/A</w:t>
            </w:r>
          </w:p>
        </w:tc>
        <w:tc>
          <w:tcPr>
            <w:tcW w:w="0" w:type="auto"/>
            <w:shd w:val="pct20"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9.4</w:t>
            </w:r>
          </w:p>
        </w:tc>
        <w:tc>
          <w:tcPr>
            <w:tcW w:w="0" w:type="auto"/>
            <w:shd w:val="pct20"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9.4</w:t>
            </w:r>
          </w:p>
        </w:tc>
        <w:tc>
          <w:tcPr>
            <w:tcW w:w="0" w:type="auto"/>
            <w:shd w:val="pct20"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9.4</w:t>
            </w:r>
          </w:p>
        </w:tc>
        <w:tc>
          <w:tcPr>
            <w:tcW w:w="0" w:type="auto"/>
            <w:shd w:val="pct20"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DOE2.2R Models representing a range of Refrigeration System Operational Parameters and Climate Zones</w:t>
            </w:r>
          </w:p>
        </w:tc>
      </w:tr>
      <w:tr w:rsidR="009E5ECC" w:rsidRPr="004D2BCB" w:rsidTr="00312A1F">
        <w:trPr>
          <w:trHeight w:val="792"/>
        </w:trPr>
        <w:tc>
          <w:tcPr>
            <w:tcW w:w="0" w:type="auto"/>
            <w:shd w:val="pct5" w:color="000000" w:fill="FFFFFF"/>
            <w:vAlign w:val="center"/>
          </w:tcPr>
          <w:p w:rsidR="009E5ECC" w:rsidRPr="004D2BCB" w:rsidRDefault="009E5ECC" w:rsidP="00F332CB">
            <w:pPr>
              <w:rPr>
                <w:rFonts w:ascii="Arial" w:hAnsi="Arial" w:cs="Arial"/>
                <w:b/>
                <w:sz w:val="20"/>
                <w:szCs w:val="20"/>
              </w:rPr>
            </w:pPr>
            <w:r w:rsidRPr="004D2BCB">
              <w:rPr>
                <w:rFonts w:ascii="Arial" w:hAnsi="Arial" w:cs="Arial"/>
                <w:b/>
                <w:color w:val="000000"/>
                <w:sz w:val="20"/>
                <w:szCs w:val="20"/>
              </w:rPr>
              <w:t xml:space="preserve">Annual Average EER- Low Temp </w:t>
            </w:r>
            <w:r w:rsidRPr="004D2BCB">
              <w:rPr>
                <w:rFonts w:ascii="Arial" w:hAnsi="Arial" w:cs="Arial"/>
                <w:b/>
                <w:color w:val="000000"/>
                <w:sz w:val="20"/>
                <w:szCs w:val="20"/>
              </w:rPr>
              <w:br/>
              <w:t>Refrigeration System (Btu/</w:t>
            </w:r>
            <w:proofErr w:type="spellStart"/>
            <w:r w:rsidRPr="004D2BCB">
              <w:rPr>
                <w:rFonts w:ascii="Arial" w:hAnsi="Arial" w:cs="Arial"/>
                <w:b/>
                <w:color w:val="000000"/>
                <w:sz w:val="20"/>
                <w:szCs w:val="20"/>
              </w:rPr>
              <w:t>hr</w:t>
            </w:r>
            <w:proofErr w:type="spellEnd"/>
            <w:r w:rsidRPr="004D2BCB">
              <w:rPr>
                <w:rFonts w:ascii="Arial" w:hAnsi="Arial" w:cs="Arial"/>
                <w:b/>
                <w:color w:val="000000"/>
                <w:sz w:val="20"/>
                <w:szCs w:val="20"/>
              </w:rPr>
              <w:t xml:space="preserve"> / W)</w:t>
            </w:r>
          </w:p>
        </w:tc>
        <w:tc>
          <w:tcPr>
            <w:tcW w:w="0" w:type="auto"/>
            <w:shd w:val="pct5" w:color="000000" w:fill="FFFFFF"/>
            <w:vAlign w:val="center"/>
          </w:tcPr>
          <w:p w:rsidR="009E5ECC" w:rsidRPr="004D2BCB" w:rsidRDefault="009E5ECC" w:rsidP="00312A1F">
            <w:pPr>
              <w:jc w:val="center"/>
              <w:rPr>
                <w:rFonts w:ascii="Arial" w:eastAsia="Calibri" w:hAnsi="Arial" w:cs="Arial"/>
                <w:i/>
                <w:color w:val="FF0000"/>
                <w:sz w:val="20"/>
                <w:szCs w:val="20"/>
              </w:rPr>
            </w:pPr>
            <w:r w:rsidRPr="004D2BCB">
              <w:rPr>
                <w:rFonts w:ascii="Arial" w:hAnsi="Arial" w:cs="Arial"/>
                <w:sz w:val="20"/>
                <w:szCs w:val="20"/>
              </w:rPr>
              <w:t>N/A</w:t>
            </w:r>
          </w:p>
        </w:tc>
        <w:tc>
          <w:tcPr>
            <w:tcW w:w="0" w:type="auto"/>
            <w:shd w:val="pct5" w:color="000000" w:fill="FFFFFF"/>
            <w:vAlign w:val="center"/>
          </w:tcPr>
          <w:p w:rsidR="009E5ECC" w:rsidRPr="004D2BCB" w:rsidRDefault="009E5ECC" w:rsidP="00312A1F">
            <w:pPr>
              <w:jc w:val="center"/>
              <w:rPr>
                <w:rFonts w:ascii="Arial" w:hAnsi="Arial" w:cs="Arial"/>
                <w:i/>
                <w:sz w:val="20"/>
                <w:szCs w:val="20"/>
              </w:rPr>
            </w:pPr>
            <w:r w:rsidRPr="004D2BCB">
              <w:rPr>
                <w:rFonts w:ascii="Arial" w:hAnsi="Arial" w:cs="Arial"/>
                <w:color w:val="000000"/>
                <w:sz w:val="20"/>
                <w:szCs w:val="20"/>
              </w:rPr>
              <w:t>5.0</w:t>
            </w:r>
          </w:p>
        </w:tc>
        <w:tc>
          <w:tcPr>
            <w:tcW w:w="0" w:type="auto"/>
            <w:shd w:val="pct5" w:color="000000" w:fill="FFFFFF"/>
            <w:vAlign w:val="center"/>
          </w:tcPr>
          <w:p w:rsidR="009E5ECC" w:rsidRPr="004D2BCB" w:rsidRDefault="009E5ECC" w:rsidP="00312A1F">
            <w:pPr>
              <w:jc w:val="center"/>
              <w:rPr>
                <w:rFonts w:ascii="Arial" w:hAnsi="Arial" w:cs="Arial"/>
                <w:i/>
                <w:sz w:val="20"/>
                <w:szCs w:val="20"/>
              </w:rPr>
            </w:pPr>
            <w:r w:rsidRPr="004D2BCB">
              <w:rPr>
                <w:rFonts w:ascii="Arial" w:hAnsi="Arial" w:cs="Arial"/>
                <w:color w:val="000000"/>
                <w:sz w:val="20"/>
                <w:szCs w:val="20"/>
              </w:rPr>
              <w:t>5.0</w:t>
            </w:r>
          </w:p>
        </w:tc>
        <w:tc>
          <w:tcPr>
            <w:tcW w:w="0" w:type="auto"/>
            <w:shd w:val="pct5" w:color="000000" w:fill="FFFFFF"/>
            <w:vAlign w:val="center"/>
          </w:tcPr>
          <w:p w:rsidR="009E5ECC" w:rsidRPr="004D2BCB" w:rsidRDefault="009E5ECC" w:rsidP="00312A1F">
            <w:pPr>
              <w:jc w:val="center"/>
              <w:rPr>
                <w:rFonts w:ascii="Arial" w:hAnsi="Arial" w:cs="Arial"/>
                <w:i/>
                <w:sz w:val="20"/>
                <w:szCs w:val="20"/>
              </w:rPr>
            </w:pPr>
            <w:r w:rsidRPr="004D2BCB">
              <w:rPr>
                <w:rFonts w:ascii="Arial" w:hAnsi="Arial" w:cs="Arial"/>
                <w:color w:val="000000"/>
                <w:sz w:val="20"/>
                <w:szCs w:val="20"/>
              </w:rPr>
              <w:t>5.0</w:t>
            </w:r>
          </w:p>
        </w:tc>
        <w:tc>
          <w:tcPr>
            <w:tcW w:w="0" w:type="auto"/>
            <w:shd w:val="pct5" w:color="000000" w:fill="FFFFFF"/>
            <w:vAlign w:val="center"/>
          </w:tcPr>
          <w:p w:rsidR="009E5ECC" w:rsidRPr="004D2BCB" w:rsidRDefault="009E5ECC" w:rsidP="00312A1F">
            <w:pPr>
              <w:jc w:val="center"/>
              <w:rPr>
                <w:rFonts w:ascii="Arial" w:eastAsia="Calibri" w:hAnsi="Arial" w:cs="Arial"/>
                <w:i/>
                <w:color w:val="FF0000"/>
                <w:sz w:val="20"/>
                <w:szCs w:val="20"/>
              </w:rPr>
            </w:pPr>
            <w:r w:rsidRPr="004D2BCB">
              <w:rPr>
                <w:rFonts w:ascii="Arial" w:hAnsi="Arial" w:cs="Arial"/>
                <w:color w:val="000000"/>
                <w:sz w:val="20"/>
                <w:szCs w:val="20"/>
              </w:rPr>
              <w:t>DOE2.2R Models representing a range of Refrigeration System Operational Parameters and Climate Zones</w:t>
            </w:r>
          </w:p>
        </w:tc>
      </w:tr>
      <w:tr w:rsidR="009E5ECC" w:rsidRPr="004D2BCB" w:rsidTr="009E5ECC">
        <w:tc>
          <w:tcPr>
            <w:tcW w:w="0" w:type="auto"/>
            <w:shd w:val="pct20" w:color="000000" w:fill="FFFFFF"/>
          </w:tcPr>
          <w:p w:rsidR="009E5ECC" w:rsidRPr="004D2BCB" w:rsidRDefault="009E5ECC" w:rsidP="00F332CB">
            <w:pPr>
              <w:keepNext/>
              <w:rPr>
                <w:rFonts w:ascii="Arial" w:hAnsi="Arial" w:cs="Arial"/>
                <w:b/>
                <w:sz w:val="20"/>
                <w:szCs w:val="20"/>
              </w:rPr>
            </w:pPr>
            <w:r w:rsidRPr="004D2BCB">
              <w:rPr>
                <w:rFonts w:ascii="Arial" w:hAnsi="Arial" w:cs="Arial"/>
                <w:b/>
                <w:sz w:val="20"/>
                <w:szCs w:val="20"/>
              </w:rPr>
              <w:t>EER at Utility Peak- Low Temp Refrigeration System (Btu/</w:t>
            </w:r>
            <w:proofErr w:type="spellStart"/>
            <w:r w:rsidRPr="004D2BCB">
              <w:rPr>
                <w:rFonts w:ascii="Arial" w:hAnsi="Arial" w:cs="Arial"/>
                <w:b/>
                <w:sz w:val="20"/>
                <w:szCs w:val="20"/>
              </w:rPr>
              <w:t>hr</w:t>
            </w:r>
            <w:proofErr w:type="spellEnd"/>
            <w:r w:rsidRPr="004D2BCB">
              <w:rPr>
                <w:rFonts w:ascii="Arial" w:hAnsi="Arial" w:cs="Arial"/>
                <w:b/>
                <w:sz w:val="20"/>
                <w:szCs w:val="20"/>
              </w:rPr>
              <w:t xml:space="preserve"> / W)</w:t>
            </w:r>
          </w:p>
        </w:tc>
        <w:tc>
          <w:tcPr>
            <w:tcW w:w="0" w:type="auto"/>
            <w:shd w:val="pct20" w:color="000000" w:fill="FFFFFF"/>
          </w:tcPr>
          <w:p w:rsidR="009E5ECC" w:rsidRPr="004D2BCB" w:rsidRDefault="009E5ECC" w:rsidP="00312A1F">
            <w:pPr>
              <w:keepNext/>
              <w:jc w:val="center"/>
              <w:rPr>
                <w:rFonts w:ascii="Arial" w:eastAsia="Calibri" w:hAnsi="Arial" w:cs="Arial"/>
                <w:i/>
                <w:color w:val="FF0000"/>
                <w:sz w:val="20"/>
                <w:szCs w:val="20"/>
              </w:rPr>
            </w:pPr>
            <w:r w:rsidRPr="004D2BCB">
              <w:rPr>
                <w:rFonts w:ascii="Arial" w:hAnsi="Arial" w:cs="Arial"/>
                <w:sz w:val="20"/>
                <w:szCs w:val="20"/>
              </w:rPr>
              <w:t>N/A</w:t>
            </w:r>
          </w:p>
        </w:tc>
        <w:tc>
          <w:tcPr>
            <w:tcW w:w="0" w:type="auto"/>
            <w:shd w:val="pct20"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4.7</w:t>
            </w:r>
          </w:p>
        </w:tc>
        <w:tc>
          <w:tcPr>
            <w:tcW w:w="0" w:type="auto"/>
            <w:shd w:val="pct20"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4.7</w:t>
            </w:r>
          </w:p>
        </w:tc>
        <w:tc>
          <w:tcPr>
            <w:tcW w:w="0" w:type="auto"/>
            <w:shd w:val="pct20"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4.7</w:t>
            </w:r>
          </w:p>
        </w:tc>
        <w:tc>
          <w:tcPr>
            <w:tcW w:w="0" w:type="auto"/>
            <w:shd w:val="pct20" w:color="000000" w:fill="FFFFFF"/>
          </w:tcPr>
          <w:p w:rsidR="009E5ECC" w:rsidRPr="004D2BCB" w:rsidRDefault="009E5ECC" w:rsidP="00312A1F">
            <w:pPr>
              <w:keepNext/>
              <w:jc w:val="center"/>
              <w:rPr>
                <w:rFonts w:ascii="Arial" w:hAnsi="Arial" w:cs="Arial"/>
                <w:sz w:val="20"/>
                <w:szCs w:val="20"/>
              </w:rPr>
            </w:pPr>
            <w:r w:rsidRPr="004D2BCB">
              <w:rPr>
                <w:rFonts w:ascii="Arial" w:hAnsi="Arial" w:cs="Arial"/>
                <w:sz w:val="20"/>
                <w:szCs w:val="20"/>
              </w:rPr>
              <w:t>DOE2.2R Models representing a range of Refrigeration System Operational Parameters and Climate Zones</w:t>
            </w:r>
          </w:p>
        </w:tc>
      </w:tr>
      <w:tr w:rsidR="009E5ECC" w:rsidRPr="004D2BCB" w:rsidTr="009E5ECC">
        <w:tc>
          <w:tcPr>
            <w:tcW w:w="0" w:type="auto"/>
            <w:shd w:val="pct5" w:color="000000" w:fill="FFFFFF"/>
          </w:tcPr>
          <w:p w:rsidR="009E5ECC" w:rsidRPr="004D2BCB" w:rsidRDefault="009E5ECC" w:rsidP="00F332CB">
            <w:pPr>
              <w:rPr>
                <w:rFonts w:ascii="Arial" w:hAnsi="Arial" w:cs="Arial"/>
                <w:b/>
                <w:sz w:val="20"/>
                <w:szCs w:val="20"/>
              </w:rPr>
            </w:pPr>
            <w:r w:rsidRPr="004D2BCB">
              <w:rPr>
                <w:rFonts w:ascii="Arial" w:hAnsi="Arial" w:cs="Arial"/>
                <w:b/>
                <w:sz w:val="20"/>
                <w:szCs w:val="20"/>
              </w:rPr>
              <w:t>Peak Coincidence Factor</w:t>
            </w:r>
          </w:p>
        </w:tc>
        <w:tc>
          <w:tcPr>
            <w:tcW w:w="0" w:type="auto"/>
            <w:shd w:val="pct5" w:color="000000" w:fill="FFFFFF"/>
          </w:tcPr>
          <w:p w:rsidR="009E5ECC" w:rsidRPr="004D2BCB" w:rsidRDefault="009E5ECC" w:rsidP="00312A1F">
            <w:pPr>
              <w:jc w:val="center"/>
              <w:rPr>
                <w:rFonts w:ascii="Arial" w:eastAsia="Calibri" w:hAnsi="Arial" w:cs="Arial"/>
                <w:i/>
                <w:color w:val="FF0000"/>
                <w:sz w:val="20"/>
                <w:szCs w:val="20"/>
              </w:rPr>
            </w:pPr>
            <w:r w:rsidRPr="004D2BCB">
              <w:rPr>
                <w:rFonts w:ascii="Arial" w:hAnsi="Arial" w:cs="Arial"/>
                <w:sz w:val="20"/>
                <w:szCs w:val="20"/>
              </w:rPr>
              <w:t>N/A</w:t>
            </w:r>
          </w:p>
        </w:tc>
        <w:tc>
          <w:tcPr>
            <w:tcW w:w="0" w:type="auto"/>
            <w:shd w:val="pct5" w:color="000000" w:fill="FFFFFF"/>
          </w:tcPr>
          <w:p w:rsidR="009E5ECC" w:rsidRPr="004D2BCB" w:rsidRDefault="00706E8C" w:rsidP="00312A1F">
            <w:pPr>
              <w:jc w:val="center"/>
              <w:rPr>
                <w:rFonts w:ascii="Arial" w:hAnsi="Arial" w:cs="Arial"/>
                <w:i/>
                <w:sz w:val="20"/>
                <w:szCs w:val="20"/>
              </w:rPr>
            </w:pPr>
            <w:r w:rsidRPr="004D2BCB">
              <w:rPr>
                <w:rFonts w:ascii="Arial" w:hAnsi="Arial" w:cs="Arial"/>
                <w:sz w:val="20"/>
                <w:szCs w:val="20"/>
              </w:rPr>
              <w:t>0.762</w:t>
            </w:r>
          </w:p>
        </w:tc>
        <w:tc>
          <w:tcPr>
            <w:tcW w:w="0" w:type="auto"/>
            <w:shd w:val="pct5" w:color="000000" w:fill="FFFFFF"/>
          </w:tcPr>
          <w:p w:rsidR="009E5ECC" w:rsidRPr="004D2BCB" w:rsidRDefault="00706E8C" w:rsidP="00312A1F">
            <w:pPr>
              <w:jc w:val="center"/>
              <w:rPr>
                <w:rFonts w:ascii="Arial" w:hAnsi="Arial" w:cs="Arial"/>
                <w:i/>
                <w:sz w:val="20"/>
                <w:szCs w:val="20"/>
              </w:rPr>
            </w:pPr>
            <w:r w:rsidRPr="004D2BCB">
              <w:rPr>
                <w:rFonts w:ascii="Arial" w:hAnsi="Arial" w:cs="Arial"/>
                <w:sz w:val="20"/>
                <w:szCs w:val="20"/>
              </w:rPr>
              <w:t>0.762</w:t>
            </w:r>
          </w:p>
        </w:tc>
        <w:tc>
          <w:tcPr>
            <w:tcW w:w="0" w:type="auto"/>
            <w:shd w:val="pct5" w:color="000000" w:fill="FFFFFF"/>
          </w:tcPr>
          <w:p w:rsidR="009E5ECC" w:rsidRPr="004D2BCB" w:rsidRDefault="00706E8C" w:rsidP="00312A1F">
            <w:pPr>
              <w:jc w:val="center"/>
              <w:rPr>
                <w:rFonts w:ascii="Arial" w:hAnsi="Arial" w:cs="Arial"/>
                <w:i/>
                <w:sz w:val="20"/>
                <w:szCs w:val="20"/>
              </w:rPr>
            </w:pPr>
            <w:r w:rsidRPr="004D2BCB">
              <w:rPr>
                <w:rFonts w:ascii="Arial" w:hAnsi="Arial" w:cs="Arial"/>
                <w:sz w:val="20"/>
                <w:szCs w:val="20"/>
              </w:rPr>
              <w:t>0.746</w:t>
            </w:r>
          </w:p>
        </w:tc>
        <w:tc>
          <w:tcPr>
            <w:tcW w:w="0" w:type="auto"/>
            <w:shd w:val="pct5" w:color="000000" w:fill="FFFFFF"/>
          </w:tcPr>
          <w:p w:rsidR="009E5ECC" w:rsidRPr="004D2BCB" w:rsidRDefault="009E5ECC" w:rsidP="005D3312">
            <w:pPr>
              <w:jc w:val="center"/>
              <w:rPr>
                <w:rFonts w:ascii="Arial" w:eastAsia="Calibri" w:hAnsi="Arial" w:cs="Arial"/>
                <w:i/>
                <w:color w:val="FF0000"/>
                <w:sz w:val="20"/>
                <w:szCs w:val="20"/>
              </w:rPr>
            </w:pPr>
            <w:r w:rsidRPr="004D2BCB">
              <w:rPr>
                <w:rFonts w:ascii="Arial" w:hAnsi="Arial" w:cs="Arial"/>
                <w:sz w:val="20"/>
                <w:szCs w:val="20"/>
              </w:rPr>
              <w:t>20</w:t>
            </w:r>
            <w:r w:rsidR="00706E8C" w:rsidRPr="004D2BCB">
              <w:rPr>
                <w:rFonts w:ascii="Arial" w:hAnsi="Arial" w:cs="Arial"/>
                <w:sz w:val="20"/>
                <w:szCs w:val="20"/>
              </w:rPr>
              <w:t>16</w:t>
            </w:r>
            <w:r w:rsidRPr="004D2BCB">
              <w:rPr>
                <w:rFonts w:ascii="Arial" w:hAnsi="Arial" w:cs="Arial"/>
                <w:sz w:val="20"/>
                <w:szCs w:val="20"/>
              </w:rPr>
              <w:t xml:space="preserve"> DEER Grocery Building: Refrigerated Areas</w:t>
            </w:r>
          </w:p>
        </w:tc>
      </w:tr>
    </w:tbl>
    <w:p w:rsidR="009E5ECC" w:rsidRPr="004D2BCB" w:rsidRDefault="009E5ECC" w:rsidP="00243BAC">
      <w:pPr>
        <w:rPr>
          <w:rFonts w:ascii="Arial" w:hAnsi="Arial" w:cs="Arial"/>
        </w:rPr>
      </w:pPr>
    </w:p>
    <w:p w:rsidR="009E5ECC" w:rsidRPr="004D2BCB" w:rsidRDefault="009E5ECC" w:rsidP="00243BAC">
      <w:pPr>
        <w:rPr>
          <w:rFonts w:ascii="Arial" w:hAnsi="Arial" w:cs="Arial"/>
        </w:rPr>
      </w:pPr>
    </w:p>
    <w:p w:rsidR="00B2535F" w:rsidRPr="004D2BCB" w:rsidRDefault="00142940" w:rsidP="00312A1F">
      <w:pPr>
        <w:jc w:val="both"/>
        <w:rPr>
          <w:rFonts w:ascii="Arial" w:hAnsi="Arial" w:cs="Arial"/>
          <w:sz w:val="20"/>
        </w:rPr>
      </w:pPr>
      <w:r w:rsidRPr="00390130">
        <w:rPr>
          <w:rFonts w:ascii="Arial" w:hAnsi="Arial" w:cs="Arial"/>
          <w:sz w:val="20"/>
        </w:rPr>
        <w:lastRenderedPageBreak/>
        <w:fldChar w:fldCharType="begin"/>
      </w:r>
      <w:r w:rsidRPr="004D2BCB">
        <w:rPr>
          <w:rFonts w:ascii="Arial" w:hAnsi="Arial" w:cs="Arial"/>
          <w:sz w:val="20"/>
        </w:rPr>
        <w:instrText xml:space="preserve"> REF _Ref438018291 \h  \* MERGEFORMAT </w:instrText>
      </w:r>
      <w:r w:rsidRPr="00390130">
        <w:rPr>
          <w:rFonts w:ascii="Arial" w:hAnsi="Arial" w:cs="Arial"/>
          <w:sz w:val="20"/>
        </w:rPr>
      </w:r>
      <w:r w:rsidRPr="00390130">
        <w:rPr>
          <w:rFonts w:ascii="Arial" w:hAnsi="Arial" w:cs="Arial"/>
          <w:sz w:val="20"/>
        </w:rPr>
        <w:fldChar w:fldCharType="separate"/>
      </w:r>
      <w:r w:rsidRPr="00390130">
        <w:rPr>
          <w:rFonts w:ascii="Arial" w:hAnsi="Arial" w:cs="Arial"/>
          <w:sz w:val="20"/>
        </w:rPr>
        <w:t>Table 3</w:t>
      </w:r>
      <w:r w:rsidRPr="00390130">
        <w:rPr>
          <w:rFonts w:ascii="Arial" w:hAnsi="Arial" w:cs="Arial"/>
          <w:sz w:val="20"/>
        </w:rPr>
        <w:fldChar w:fldCharType="end"/>
      </w:r>
      <w:r w:rsidR="008E3A9C" w:rsidRPr="004D2BCB">
        <w:rPr>
          <w:rFonts w:ascii="Arial" w:hAnsi="Arial" w:cs="Arial"/>
          <w:sz w:val="20"/>
        </w:rPr>
        <w:t xml:space="preserve"> </w:t>
      </w:r>
      <w:r w:rsidR="00B2535F" w:rsidRPr="004D2BCB">
        <w:rPr>
          <w:rFonts w:ascii="Arial" w:hAnsi="Arial" w:cs="Arial"/>
          <w:sz w:val="20"/>
        </w:rPr>
        <w:t>displays all of the assumed values for the variables that affect energy and demand savings cal</w:t>
      </w:r>
      <w:r w:rsidR="00282F89" w:rsidRPr="004D2BCB">
        <w:rPr>
          <w:rFonts w:ascii="Arial" w:hAnsi="Arial" w:cs="Arial"/>
          <w:sz w:val="20"/>
        </w:rPr>
        <w:t>culations.</w:t>
      </w:r>
    </w:p>
    <w:p w:rsidR="00B2535F" w:rsidRDefault="00B2535F" w:rsidP="00312A1F">
      <w:pPr>
        <w:jc w:val="both"/>
        <w:rPr>
          <w:rFonts w:ascii="Arial" w:hAnsi="Arial" w:cs="Arial"/>
          <w:sz w:val="20"/>
        </w:rPr>
      </w:pPr>
    </w:p>
    <w:p w:rsidR="008D6F1D" w:rsidRPr="004D2BCB" w:rsidRDefault="008D6F1D" w:rsidP="00312A1F">
      <w:pPr>
        <w:jc w:val="both"/>
        <w:rPr>
          <w:rFonts w:ascii="Arial" w:hAnsi="Arial" w:cs="Arial"/>
          <w:sz w:val="20"/>
        </w:rPr>
      </w:pPr>
    </w:p>
    <w:p w:rsidR="00B2535F" w:rsidRPr="004D2BCB" w:rsidRDefault="00B2535F" w:rsidP="00312A1F">
      <w:pPr>
        <w:jc w:val="both"/>
        <w:rPr>
          <w:rFonts w:ascii="Arial" w:hAnsi="Arial" w:cs="Arial"/>
          <w:sz w:val="20"/>
        </w:rPr>
      </w:pPr>
      <w:r w:rsidRPr="004D2BCB">
        <w:rPr>
          <w:rFonts w:ascii="Arial" w:hAnsi="Arial" w:cs="Arial"/>
          <w:sz w:val="20"/>
        </w:rPr>
        <w:t>Ten iterations of the measure were developed to account for the range of existing lighting technologies used in the grocery sector and for the impact of case temperature on refrigeration system efficiency.</w:t>
      </w:r>
    </w:p>
    <w:p w:rsidR="00B2535F" w:rsidRDefault="00B2535F" w:rsidP="00312A1F">
      <w:pPr>
        <w:jc w:val="both"/>
        <w:rPr>
          <w:rFonts w:ascii="Arial" w:hAnsi="Arial" w:cs="Arial"/>
          <w:sz w:val="20"/>
        </w:rPr>
      </w:pPr>
    </w:p>
    <w:p w:rsidR="008D6F1D" w:rsidRPr="004D2BCB" w:rsidRDefault="008D6F1D" w:rsidP="00312A1F">
      <w:pPr>
        <w:jc w:val="both"/>
        <w:rPr>
          <w:rFonts w:ascii="Arial" w:hAnsi="Arial" w:cs="Arial"/>
          <w:sz w:val="20"/>
        </w:rPr>
      </w:pPr>
    </w:p>
    <w:p w:rsidR="00B2535F" w:rsidRPr="004D2BCB" w:rsidRDefault="000051FF" w:rsidP="00312A1F">
      <w:pPr>
        <w:jc w:val="both"/>
        <w:rPr>
          <w:rFonts w:ascii="Arial" w:hAnsi="Arial" w:cs="Arial"/>
          <w:sz w:val="20"/>
        </w:rPr>
      </w:pPr>
      <w:r w:rsidRPr="00390130">
        <w:rPr>
          <w:rFonts w:ascii="Arial" w:hAnsi="Arial" w:cs="Arial"/>
          <w:sz w:val="20"/>
          <w:szCs w:val="20"/>
        </w:rPr>
        <w:fldChar w:fldCharType="begin"/>
      </w:r>
      <w:r w:rsidRPr="004D2BCB">
        <w:rPr>
          <w:rFonts w:ascii="Arial" w:hAnsi="Arial" w:cs="Arial"/>
          <w:sz w:val="20"/>
          <w:szCs w:val="20"/>
        </w:rPr>
        <w:instrText xml:space="preserve"> REF _Ref326912817 \h  \* MERGEFORMAT </w:instrText>
      </w:r>
      <w:r w:rsidRPr="00390130">
        <w:rPr>
          <w:rFonts w:ascii="Arial" w:hAnsi="Arial" w:cs="Arial"/>
          <w:sz w:val="20"/>
          <w:szCs w:val="20"/>
        </w:rPr>
      </w:r>
      <w:r w:rsidRPr="00390130">
        <w:rPr>
          <w:rFonts w:ascii="Arial" w:hAnsi="Arial" w:cs="Arial"/>
          <w:sz w:val="20"/>
          <w:szCs w:val="20"/>
        </w:rPr>
        <w:fldChar w:fldCharType="separate"/>
      </w:r>
      <w:r w:rsidR="00B82FAA" w:rsidRPr="00390130">
        <w:rPr>
          <w:rFonts w:ascii="Arial" w:hAnsi="Arial" w:cs="Arial"/>
          <w:sz w:val="20"/>
          <w:szCs w:val="20"/>
        </w:rPr>
        <w:t xml:space="preserve">Table </w:t>
      </w:r>
      <w:r w:rsidR="00B82FAA" w:rsidRPr="00390130">
        <w:rPr>
          <w:rFonts w:ascii="Arial" w:hAnsi="Arial" w:cs="Arial"/>
          <w:noProof/>
          <w:sz w:val="20"/>
          <w:szCs w:val="20"/>
        </w:rPr>
        <w:t>4</w:t>
      </w:r>
      <w:r w:rsidRPr="00390130">
        <w:rPr>
          <w:rFonts w:ascii="Arial" w:hAnsi="Arial" w:cs="Arial"/>
          <w:sz w:val="20"/>
          <w:szCs w:val="20"/>
        </w:rPr>
        <w:fldChar w:fldCharType="end"/>
      </w:r>
      <w:r w:rsidRPr="004D2BCB">
        <w:rPr>
          <w:rFonts w:ascii="Arial" w:hAnsi="Arial" w:cs="Arial"/>
          <w:sz w:val="20"/>
        </w:rPr>
        <w:t xml:space="preserve"> </w:t>
      </w:r>
      <w:r w:rsidR="00B2535F" w:rsidRPr="004D2BCB">
        <w:rPr>
          <w:rFonts w:ascii="Arial" w:hAnsi="Arial" w:cs="Arial"/>
          <w:sz w:val="20"/>
        </w:rPr>
        <w:t>illustrates a number of retrofit scenarios that were used to develop the power levels for each measure. The system power for the linear fluorescent scenarios assumes a ballast factor of 1.00. While ballasts are available in a wide range of ballast factors, a ballast factor of 1.00 or more is often used in refrigerated spaces to avoid striation and other issues associated with fluorescent technology in sub-room temperature environments. The lumen output levels of the fluorescent baselines are also reduced from rated values to account for fixture losses and the impact of the cold environment. The light output for the retrofit scenario is not adjusted in the same way because the LM-79 testing already includes the fixture efficiency.</w:t>
      </w:r>
      <w:r w:rsidR="00B2535F" w:rsidRPr="00390130">
        <w:rPr>
          <w:rFonts w:ascii="Arial" w:hAnsi="Arial" w:cs="Arial"/>
          <w:sz w:val="20"/>
          <w:vertAlign w:val="superscript"/>
        </w:rPr>
        <w:endnoteReference w:id="10"/>
      </w:r>
      <w:r w:rsidR="00B2535F" w:rsidRPr="004D2BCB">
        <w:rPr>
          <w:rFonts w:ascii="Arial" w:hAnsi="Arial" w:cs="Arial"/>
          <w:sz w:val="20"/>
          <w:vertAlign w:val="superscript"/>
        </w:rPr>
        <w:t xml:space="preserve"> </w:t>
      </w:r>
      <w:r w:rsidR="00B2535F" w:rsidRPr="004D2BCB">
        <w:rPr>
          <w:rFonts w:ascii="Arial" w:hAnsi="Arial" w:cs="Arial"/>
          <w:sz w:val="20"/>
        </w:rPr>
        <w:t>Additionally the LED luminaires should actually perform better in the refrigerated spaces than at the temperatures at which they were tested.</w:t>
      </w:r>
      <w:r w:rsidR="00B2535F" w:rsidRPr="00390130">
        <w:rPr>
          <w:rFonts w:ascii="Arial" w:hAnsi="Arial" w:cs="Arial"/>
          <w:sz w:val="20"/>
          <w:vertAlign w:val="superscript"/>
        </w:rPr>
        <w:endnoteReference w:id="11"/>
      </w:r>
      <w:r w:rsidR="00B2535F" w:rsidRPr="004D2BCB">
        <w:rPr>
          <w:rFonts w:ascii="Arial" w:hAnsi="Arial" w:cs="Arial"/>
          <w:sz w:val="20"/>
        </w:rPr>
        <w:t xml:space="preserve"> Based on a review of available products two LED luminaires will be required to reach the typical light output of an 8 </w:t>
      </w:r>
      <w:proofErr w:type="spellStart"/>
      <w:r w:rsidR="00B2535F" w:rsidRPr="004D2BCB">
        <w:rPr>
          <w:rFonts w:ascii="Arial" w:hAnsi="Arial" w:cs="Arial"/>
          <w:sz w:val="20"/>
        </w:rPr>
        <w:t>ft</w:t>
      </w:r>
      <w:proofErr w:type="spellEnd"/>
      <w:r w:rsidR="00B2535F" w:rsidRPr="004D2BCB">
        <w:rPr>
          <w:rFonts w:ascii="Arial" w:hAnsi="Arial" w:cs="Arial"/>
          <w:sz w:val="20"/>
        </w:rPr>
        <w:t xml:space="preserve"> Double Lamp HO T12 Fixture. This assumption carries throughout this document. </w:t>
      </w:r>
    </w:p>
    <w:p w:rsidR="00B2535F" w:rsidRDefault="00B2535F" w:rsidP="00B2535F">
      <w:pPr>
        <w:rPr>
          <w:rFonts w:ascii="Arial" w:hAnsi="Arial" w:cs="Arial"/>
          <w:i/>
        </w:rPr>
      </w:pPr>
    </w:p>
    <w:p w:rsidR="008D6F1D" w:rsidRPr="004D2BCB" w:rsidRDefault="008D6F1D" w:rsidP="00B2535F">
      <w:pPr>
        <w:rPr>
          <w:rFonts w:ascii="Arial" w:hAnsi="Arial" w:cs="Arial"/>
          <w:i/>
        </w:rPr>
      </w:pPr>
    </w:p>
    <w:p w:rsidR="00B2535F" w:rsidRPr="00390130" w:rsidRDefault="001C6598" w:rsidP="00346796">
      <w:pPr>
        <w:pStyle w:val="Caption"/>
        <w:rPr>
          <w:rFonts w:cs="Arial"/>
        </w:rPr>
      </w:pPr>
      <w:bookmarkStart w:id="33" w:name="_Ref326912817"/>
      <w:bookmarkStart w:id="34" w:name="_Ref390071291"/>
      <w:bookmarkStart w:id="35" w:name="_Toc438047486"/>
      <w:r w:rsidRPr="00FF214D">
        <w:rPr>
          <w:rFonts w:cs="Arial"/>
        </w:rPr>
        <w:t xml:space="preserve">Table </w:t>
      </w:r>
      <w:r w:rsidR="009861DE" w:rsidRPr="00390130">
        <w:rPr>
          <w:rFonts w:cs="Arial"/>
        </w:rPr>
        <w:fldChar w:fldCharType="begin"/>
      </w:r>
      <w:r w:rsidR="009861DE" w:rsidRPr="00390130">
        <w:rPr>
          <w:rFonts w:cs="Arial"/>
        </w:rPr>
        <w:instrText xml:space="preserve"> SEQ Table \* ARABIC </w:instrText>
      </w:r>
      <w:r w:rsidR="009861DE" w:rsidRPr="00390130">
        <w:rPr>
          <w:rFonts w:cs="Arial"/>
        </w:rPr>
        <w:fldChar w:fldCharType="separate"/>
      </w:r>
      <w:r w:rsidR="00940E51" w:rsidRPr="00390130">
        <w:rPr>
          <w:rFonts w:cs="Arial"/>
          <w:noProof/>
        </w:rPr>
        <w:t>4</w:t>
      </w:r>
      <w:r w:rsidR="009861DE" w:rsidRPr="00390130">
        <w:rPr>
          <w:rFonts w:cs="Arial"/>
          <w:noProof/>
        </w:rPr>
        <w:fldChar w:fldCharType="end"/>
      </w:r>
      <w:bookmarkEnd w:id="33"/>
      <w:r w:rsidR="00B2535F" w:rsidRPr="00390130">
        <w:rPr>
          <w:rFonts w:cs="Arial"/>
        </w:rPr>
        <w:t xml:space="preserve"> - Example Retrofit Scenarios</w:t>
      </w:r>
      <w:bookmarkEnd w:id="34"/>
      <w:bookmarkEnd w:id="35"/>
    </w:p>
    <w:tbl>
      <w:tblPr>
        <w:tblW w:w="9720" w:type="dxa"/>
        <w:tblInd w:w="108" w:type="dxa"/>
        <w:tblLook w:val="04A0" w:firstRow="1" w:lastRow="0" w:firstColumn="1" w:lastColumn="0" w:noHBand="0" w:noVBand="1"/>
      </w:tblPr>
      <w:tblGrid>
        <w:gridCol w:w="3240"/>
        <w:gridCol w:w="3330"/>
        <w:gridCol w:w="1530"/>
        <w:gridCol w:w="1620"/>
      </w:tblGrid>
      <w:tr w:rsidR="00B2535F" w:rsidRPr="004D2BCB" w:rsidTr="00B2535F">
        <w:trPr>
          <w:trHeight w:val="450"/>
        </w:trPr>
        <w:tc>
          <w:tcPr>
            <w:tcW w:w="3240" w:type="dxa"/>
            <w:tcBorders>
              <w:top w:val="nil"/>
              <w:left w:val="nil"/>
              <w:bottom w:val="nil"/>
              <w:right w:val="single" w:sz="12" w:space="0" w:color="FFFFFF"/>
            </w:tcBorders>
            <w:shd w:val="pct75" w:color="000000" w:fill="000000"/>
            <w:vAlign w:val="bottom"/>
          </w:tcPr>
          <w:p w:rsidR="00B2535F" w:rsidRPr="004D2BCB" w:rsidRDefault="00B2535F" w:rsidP="00B2535F">
            <w:pPr>
              <w:jc w:val="center"/>
              <w:rPr>
                <w:rFonts w:ascii="Arial" w:hAnsi="Arial" w:cs="Arial"/>
                <w:b/>
                <w:bCs/>
                <w:color w:val="FFFFFF"/>
                <w:sz w:val="16"/>
                <w:szCs w:val="16"/>
              </w:rPr>
            </w:pPr>
            <w:r w:rsidRPr="004D2BCB">
              <w:rPr>
                <w:rFonts w:ascii="Arial" w:hAnsi="Arial" w:cs="Arial"/>
                <w:b/>
                <w:bCs/>
                <w:color w:val="FFFFFF"/>
                <w:sz w:val="16"/>
                <w:szCs w:val="16"/>
              </w:rPr>
              <w:t>Measure Name</w:t>
            </w:r>
          </w:p>
        </w:tc>
        <w:tc>
          <w:tcPr>
            <w:tcW w:w="3330" w:type="dxa"/>
            <w:tcBorders>
              <w:top w:val="nil"/>
              <w:left w:val="nil"/>
              <w:bottom w:val="nil"/>
              <w:right w:val="single" w:sz="12" w:space="0" w:color="FFFFFF"/>
            </w:tcBorders>
            <w:shd w:val="pct75" w:color="000000" w:fill="000000"/>
            <w:vAlign w:val="bottom"/>
          </w:tcPr>
          <w:p w:rsidR="00B2535F" w:rsidRPr="004D2BCB" w:rsidRDefault="00B2535F" w:rsidP="00B2535F">
            <w:pPr>
              <w:jc w:val="center"/>
              <w:rPr>
                <w:rFonts w:ascii="Arial" w:hAnsi="Arial" w:cs="Arial"/>
                <w:b/>
                <w:bCs/>
                <w:color w:val="FFFFFF"/>
                <w:sz w:val="16"/>
                <w:szCs w:val="16"/>
              </w:rPr>
            </w:pPr>
            <w:r w:rsidRPr="004D2BCB">
              <w:rPr>
                <w:rFonts w:ascii="Arial" w:hAnsi="Arial" w:cs="Arial"/>
                <w:b/>
                <w:bCs/>
                <w:color w:val="FFFFFF"/>
                <w:sz w:val="16"/>
                <w:szCs w:val="16"/>
              </w:rPr>
              <w:t>Typical Baseline Product</w:t>
            </w:r>
          </w:p>
        </w:tc>
        <w:tc>
          <w:tcPr>
            <w:tcW w:w="1530" w:type="dxa"/>
            <w:tcBorders>
              <w:top w:val="nil"/>
              <w:left w:val="nil"/>
              <w:bottom w:val="nil"/>
              <w:right w:val="single" w:sz="12" w:space="0" w:color="FFFFFF"/>
            </w:tcBorders>
            <w:shd w:val="pct75" w:color="000000" w:fill="000000"/>
            <w:vAlign w:val="bottom"/>
          </w:tcPr>
          <w:p w:rsidR="00B2535F" w:rsidRPr="004D2BCB" w:rsidRDefault="00B2535F" w:rsidP="00B2535F">
            <w:pPr>
              <w:jc w:val="center"/>
              <w:rPr>
                <w:rFonts w:ascii="Arial" w:hAnsi="Arial" w:cs="Arial"/>
                <w:b/>
                <w:bCs/>
                <w:color w:val="FFFFFF"/>
                <w:sz w:val="16"/>
                <w:szCs w:val="16"/>
              </w:rPr>
            </w:pPr>
            <w:r w:rsidRPr="004D2BCB">
              <w:rPr>
                <w:rFonts w:ascii="Arial" w:hAnsi="Arial" w:cs="Arial"/>
                <w:b/>
                <w:bCs/>
                <w:color w:val="FFFFFF"/>
                <w:sz w:val="16"/>
                <w:szCs w:val="16"/>
              </w:rPr>
              <w:t>Typical Baseline Lumen Output</w:t>
            </w:r>
          </w:p>
        </w:tc>
        <w:tc>
          <w:tcPr>
            <w:tcW w:w="1620" w:type="dxa"/>
            <w:tcBorders>
              <w:top w:val="nil"/>
              <w:left w:val="nil"/>
              <w:bottom w:val="nil"/>
              <w:right w:val="nil"/>
            </w:tcBorders>
            <w:shd w:val="pct75" w:color="000000" w:fill="000000"/>
            <w:vAlign w:val="bottom"/>
          </w:tcPr>
          <w:p w:rsidR="00B2535F" w:rsidRPr="004D2BCB" w:rsidRDefault="00B2535F" w:rsidP="00B2535F">
            <w:pPr>
              <w:jc w:val="center"/>
              <w:rPr>
                <w:rFonts w:ascii="Arial" w:hAnsi="Arial" w:cs="Arial"/>
                <w:b/>
                <w:bCs/>
                <w:color w:val="FFFFFF"/>
                <w:sz w:val="16"/>
                <w:szCs w:val="16"/>
              </w:rPr>
            </w:pPr>
            <w:r w:rsidRPr="004D2BCB">
              <w:rPr>
                <w:rFonts w:ascii="Arial" w:hAnsi="Arial" w:cs="Arial"/>
                <w:b/>
                <w:bCs/>
                <w:color w:val="FFFFFF"/>
                <w:sz w:val="16"/>
                <w:szCs w:val="16"/>
              </w:rPr>
              <w:t xml:space="preserve">Sample Retrofit Lumen Output </w:t>
            </w:r>
          </w:p>
        </w:tc>
      </w:tr>
      <w:tr w:rsidR="00B2535F" w:rsidRPr="004D2BCB" w:rsidTr="00B2535F">
        <w:trPr>
          <w:trHeight w:val="315"/>
        </w:trPr>
        <w:tc>
          <w:tcPr>
            <w:tcW w:w="3240" w:type="dxa"/>
            <w:tcBorders>
              <w:top w:val="nil"/>
              <w:left w:val="nil"/>
              <w:bottom w:val="single" w:sz="12" w:space="0" w:color="FFFFFF"/>
              <w:right w:val="single" w:sz="12" w:space="0" w:color="FFFFFF"/>
            </w:tcBorders>
            <w:shd w:val="clear" w:color="000000" w:fill="969696"/>
            <w:vAlign w:val="center"/>
          </w:tcPr>
          <w:p w:rsidR="00B2535F" w:rsidRPr="004D2BCB" w:rsidRDefault="00B2535F" w:rsidP="00B2535F">
            <w:pPr>
              <w:jc w:val="center"/>
              <w:rPr>
                <w:rFonts w:ascii="Arial" w:hAnsi="Arial" w:cs="Arial"/>
                <w:sz w:val="20"/>
                <w:szCs w:val="20"/>
              </w:rPr>
            </w:pPr>
            <w:r w:rsidRPr="004D2BCB">
              <w:rPr>
                <w:rFonts w:ascii="Arial" w:hAnsi="Arial" w:cs="Arial"/>
                <w:sz w:val="20"/>
                <w:szCs w:val="20"/>
              </w:rPr>
              <w:t>LED Walk-in Fixture- 32W to 24W</w:t>
            </w:r>
          </w:p>
        </w:tc>
        <w:tc>
          <w:tcPr>
            <w:tcW w:w="3330" w:type="dxa"/>
            <w:tcBorders>
              <w:top w:val="nil"/>
              <w:left w:val="nil"/>
              <w:bottom w:val="single" w:sz="12" w:space="0" w:color="FFFFFF"/>
              <w:right w:val="single" w:sz="12" w:space="0" w:color="FFFFFF"/>
            </w:tcBorders>
            <w:shd w:val="clear" w:color="000000" w:fill="969696"/>
            <w:vAlign w:val="center"/>
          </w:tcPr>
          <w:p w:rsidR="00B2535F" w:rsidRPr="004D2BCB" w:rsidRDefault="00B2535F" w:rsidP="00B2535F">
            <w:pPr>
              <w:jc w:val="center"/>
              <w:rPr>
                <w:rFonts w:ascii="Arial" w:hAnsi="Arial" w:cs="Arial"/>
                <w:color w:val="000000"/>
                <w:sz w:val="20"/>
                <w:szCs w:val="20"/>
              </w:rPr>
            </w:pPr>
            <w:r w:rsidRPr="004D2BCB">
              <w:rPr>
                <w:rFonts w:ascii="Arial" w:hAnsi="Arial" w:cs="Arial"/>
                <w:color w:val="000000"/>
                <w:sz w:val="20"/>
                <w:szCs w:val="20"/>
              </w:rPr>
              <w:t xml:space="preserve">4 </w:t>
            </w:r>
            <w:proofErr w:type="spellStart"/>
            <w:r w:rsidRPr="004D2BCB">
              <w:rPr>
                <w:rFonts w:ascii="Arial" w:hAnsi="Arial" w:cs="Arial"/>
                <w:color w:val="000000"/>
                <w:sz w:val="20"/>
                <w:szCs w:val="20"/>
              </w:rPr>
              <w:t>ft</w:t>
            </w:r>
            <w:proofErr w:type="spellEnd"/>
            <w:r w:rsidRPr="004D2BCB">
              <w:rPr>
                <w:rFonts w:ascii="Arial" w:hAnsi="Arial" w:cs="Arial"/>
                <w:color w:val="000000"/>
                <w:sz w:val="20"/>
                <w:szCs w:val="20"/>
              </w:rPr>
              <w:t xml:space="preserve"> Single Lamp T8 Fixture</w:t>
            </w:r>
          </w:p>
        </w:tc>
        <w:tc>
          <w:tcPr>
            <w:tcW w:w="1530" w:type="dxa"/>
            <w:tcBorders>
              <w:top w:val="nil"/>
              <w:left w:val="nil"/>
              <w:bottom w:val="single" w:sz="12" w:space="0" w:color="FFFFFF"/>
              <w:right w:val="single" w:sz="12" w:space="0" w:color="FFFFFF"/>
            </w:tcBorders>
            <w:shd w:val="clear" w:color="000000" w:fill="969696"/>
            <w:vAlign w:val="center"/>
          </w:tcPr>
          <w:p w:rsidR="00B2535F" w:rsidRPr="004D2BCB" w:rsidRDefault="00B2535F" w:rsidP="00B2535F">
            <w:pPr>
              <w:jc w:val="center"/>
              <w:rPr>
                <w:rFonts w:ascii="Arial" w:hAnsi="Arial" w:cs="Arial"/>
                <w:color w:val="000000"/>
                <w:sz w:val="20"/>
                <w:szCs w:val="20"/>
              </w:rPr>
            </w:pPr>
            <w:r w:rsidRPr="004D2BCB">
              <w:rPr>
                <w:rFonts w:ascii="Arial" w:hAnsi="Arial" w:cs="Arial"/>
                <w:color w:val="000000"/>
                <w:sz w:val="20"/>
                <w:szCs w:val="20"/>
              </w:rPr>
              <w:t>1,460</w:t>
            </w:r>
          </w:p>
        </w:tc>
        <w:tc>
          <w:tcPr>
            <w:tcW w:w="1620" w:type="dxa"/>
            <w:tcBorders>
              <w:top w:val="nil"/>
              <w:left w:val="nil"/>
              <w:bottom w:val="single" w:sz="12" w:space="0" w:color="FFFFFF"/>
              <w:right w:val="single" w:sz="12" w:space="0" w:color="FFFFFF"/>
            </w:tcBorders>
            <w:shd w:val="clear" w:color="000000" w:fill="969696"/>
            <w:vAlign w:val="center"/>
          </w:tcPr>
          <w:p w:rsidR="00B2535F" w:rsidRPr="004D2BCB" w:rsidRDefault="00B2535F" w:rsidP="00B2535F">
            <w:pPr>
              <w:jc w:val="center"/>
              <w:rPr>
                <w:rFonts w:ascii="Arial" w:hAnsi="Arial" w:cs="Arial"/>
                <w:color w:val="000000"/>
                <w:sz w:val="20"/>
                <w:szCs w:val="20"/>
              </w:rPr>
            </w:pPr>
            <w:r w:rsidRPr="004D2BCB">
              <w:rPr>
                <w:rFonts w:ascii="Arial" w:hAnsi="Arial" w:cs="Arial"/>
                <w:color w:val="000000"/>
                <w:sz w:val="20"/>
                <w:szCs w:val="20"/>
              </w:rPr>
              <w:t>1,423</w:t>
            </w:r>
          </w:p>
        </w:tc>
      </w:tr>
      <w:tr w:rsidR="00B2535F" w:rsidRPr="004D2BCB" w:rsidTr="00B2535F">
        <w:trPr>
          <w:trHeight w:val="555"/>
        </w:trPr>
        <w:tc>
          <w:tcPr>
            <w:tcW w:w="3240" w:type="dxa"/>
            <w:tcBorders>
              <w:top w:val="nil"/>
              <w:left w:val="nil"/>
              <w:bottom w:val="single" w:sz="12" w:space="0" w:color="FFFFFF"/>
              <w:right w:val="single" w:sz="12" w:space="0" w:color="FFFFFF"/>
            </w:tcBorders>
            <w:shd w:val="clear" w:color="000000" w:fill="C0C0C0"/>
            <w:vAlign w:val="center"/>
          </w:tcPr>
          <w:p w:rsidR="00B2535F" w:rsidRPr="004D2BCB" w:rsidRDefault="00B2535F" w:rsidP="00B2535F">
            <w:pPr>
              <w:jc w:val="center"/>
              <w:rPr>
                <w:rFonts w:ascii="Arial" w:hAnsi="Arial" w:cs="Arial"/>
                <w:sz w:val="20"/>
                <w:szCs w:val="20"/>
              </w:rPr>
            </w:pPr>
            <w:r w:rsidRPr="004D2BCB">
              <w:rPr>
                <w:rFonts w:ascii="Arial" w:hAnsi="Arial" w:cs="Arial"/>
                <w:sz w:val="20"/>
                <w:szCs w:val="20"/>
              </w:rPr>
              <w:t>LED Walk-in Fixture- 60W to 38W</w:t>
            </w:r>
          </w:p>
        </w:tc>
        <w:tc>
          <w:tcPr>
            <w:tcW w:w="3330" w:type="dxa"/>
            <w:tcBorders>
              <w:top w:val="nil"/>
              <w:left w:val="nil"/>
              <w:bottom w:val="single" w:sz="12" w:space="0" w:color="FFFFFF"/>
              <w:right w:val="single" w:sz="12" w:space="0" w:color="FFFFFF"/>
            </w:tcBorders>
            <w:shd w:val="clear" w:color="000000" w:fill="C0C0C0"/>
            <w:vAlign w:val="center"/>
          </w:tcPr>
          <w:p w:rsidR="00B2535F" w:rsidRPr="004D2BCB" w:rsidRDefault="00B2535F" w:rsidP="00B2535F">
            <w:pPr>
              <w:jc w:val="center"/>
              <w:rPr>
                <w:rFonts w:ascii="Arial" w:hAnsi="Arial" w:cs="Arial"/>
                <w:color w:val="000000"/>
                <w:sz w:val="20"/>
                <w:szCs w:val="20"/>
              </w:rPr>
            </w:pPr>
            <w:r w:rsidRPr="004D2BCB">
              <w:rPr>
                <w:rFonts w:ascii="Arial" w:hAnsi="Arial" w:cs="Arial"/>
                <w:color w:val="000000"/>
                <w:sz w:val="20"/>
                <w:szCs w:val="20"/>
              </w:rPr>
              <w:t xml:space="preserve">60W Incandescent </w:t>
            </w:r>
            <w:r w:rsidRPr="004D2BCB">
              <w:rPr>
                <w:rFonts w:ascii="Arial" w:hAnsi="Arial" w:cs="Arial"/>
                <w:i/>
                <w:iCs/>
                <w:color w:val="000000"/>
                <w:sz w:val="20"/>
                <w:szCs w:val="20"/>
              </w:rPr>
              <w:t>or</w:t>
            </w:r>
            <w:r w:rsidRPr="004D2BCB">
              <w:rPr>
                <w:rFonts w:ascii="Arial" w:hAnsi="Arial" w:cs="Arial"/>
                <w:color w:val="000000"/>
                <w:sz w:val="20"/>
                <w:szCs w:val="20"/>
              </w:rPr>
              <w:t xml:space="preserve"> </w:t>
            </w:r>
            <w:r w:rsidRPr="004D2BCB">
              <w:rPr>
                <w:rFonts w:ascii="Arial" w:hAnsi="Arial" w:cs="Arial"/>
                <w:color w:val="000000"/>
                <w:sz w:val="20"/>
                <w:szCs w:val="20"/>
              </w:rPr>
              <w:br/>
              <w:t xml:space="preserve">4 </w:t>
            </w:r>
            <w:proofErr w:type="spellStart"/>
            <w:r w:rsidRPr="004D2BCB">
              <w:rPr>
                <w:rFonts w:ascii="Arial" w:hAnsi="Arial" w:cs="Arial"/>
                <w:color w:val="000000"/>
                <w:sz w:val="20"/>
                <w:szCs w:val="20"/>
              </w:rPr>
              <w:t>ft</w:t>
            </w:r>
            <w:proofErr w:type="spellEnd"/>
            <w:r w:rsidRPr="004D2BCB">
              <w:rPr>
                <w:rFonts w:ascii="Arial" w:hAnsi="Arial" w:cs="Arial"/>
                <w:color w:val="000000"/>
                <w:sz w:val="20"/>
                <w:szCs w:val="20"/>
              </w:rPr>
              <w:t xml:space="preserve"> Double Lamp T8 Fixture</w:t>
            </w:r>
          </w:p>
        </w:tc>
        <w:tc>
          <w:tcPr>
            <w:tcW w:w="1530" w:type="dxa"/>
            <w:tcBorders>
              <w:top w:val="nil"/>
              <w:left w:val="nil"/>
              <w:bottom w:val="single" w:sz="12" w:space="0" w:color="FFFFFF"/>
              <w:right w:val="single" w:sz="12" w:space="0" w:color="FFFFFF"/>
            </w:tcBorders>
            <w:shd w:val="clear" w:color="000000" w:fill="C0C0C0"/>
            <w:vAlign w:val="center"/>
          </w:tcPr>
          <w:p w:rsidR="00B2535F" w:rsidRPr="004D2BCB" w:rsidRDefault="00B2535F" w:rsidP="00B2535F">
            <w:pPr>
              <w:jc w:val="center"/>
              <w:rPr>
                <w:rFonts w:ascii="Arial" w:hAnsi="Arial" w:cs="Arial"/>
                <w:color w:val="000000"/>
                <w:sz w:val="20"/>
                <w:szCs w:val="20"/>
              </w:rPr>
            </w:pPr>
            <w:r w:rsidRPr="004D2BCB">
              <w:rPr>
                <w:rFonts w:ascii="Arial" w:hAnsi="Arial" w:cs="Arial"/>
                <w:color w:val="000000"/>
                <w:sz w:val="20"/>
                <w:szCs w:val="20"/>
              </w:rPr>
              <w:t>850-2,920</w:t>
            </w:r>
          </w:p>
        </w:tc>
        <w:tc>
          <w:tcPr>
            <w:tcW w:w="1620" w:type="dxa"/>
            <w:tcBorders>
              <w:top w:val="nil"/>
              <w:left w:val="nil"/>
              <w:bottom w:val="single" w:sz="12" w:space="0" w:color="FFFFFF"/>
              <w:right w:val="single" w:sz="12" w:space="0" w:color="FFFFFF"/>
            </w:tcBorders>
            <w:shd w:val="clear" w:color="000000" w:fill="C0C0C0"/>
            <w:vAlign w:val="center"/>
          </w:tcPr>
          <w:p w:rsidR="00B2535F" w:rsidRPr="004D2BCB" w:rsidRDefault="00B2535F" w:rsidP="00B2535F">
            <w:pPr>
              <w:jc w:val="center"/>
              <w:rPr>
                <w:rFonts w:ascii="Arial" w:hAnsi="Arial" w:cs="Arial"/>
                <w:color w:val="000000"/>
                <w:sz w:val="20"/>
                <w:szCs w:val="20"/>
              </w:rPr>
            </w:pPr>
            <w:r w:rsidRPr="004D2BCB">
              <w:rPr>
                <w:rFonts w:ascii="Arial" w:hAnsi="Arial" w:cs="Arial"/>
                <w:color w:val="000000"/>
                <w:sz w:val="20"/>
                <w:szCs w:val="20"/>
              </w:rPr>
              <w:t>2,250</w:t>
            </w:r>
          </w:p>
        </w:tc>
      </w:tr>
      <w:tr w:rsidR="00B2535F" w:rsidRPr="004D2BCB" w:rsidTr="00B2535F">
        <w:trPr>
          <w:trHeight w:val="555"/>
        </w:trPr>
        <w:tc>
          <w:tcPr>
            <w:tcW w:w="3240" w:type="dxa"/>
            <w:tcBorders>
              <w:top w:val="nil"/>
              <w:left w:val="nil"/>
              <w:bottom w:val="single" w:sz="12" w:space="0" w:color="FFFFFF"/>
              <w:right w:val="single" w:sz="12" w:space="0" w:color="FFFFFF"/>
            </w:tcBorders>
            <w:shd w:val="clear" w:color="000000" w:fill="969696"/>
            <w:vAlign w:val="center"/>
          </w:tcPr>
          <w:p w:rsidR="00B2535F" w:rsidRPr="004D2BCB" w:rsidRDefault="00B2535F" w:rsidP="00B2535F">
            <w:pPr>
              <w:jc w:val="center"/>
              <w:rPr>
                <w:rFonts w:ascii="Arial" w:hAnsi="Arial" w:cs="Arial"/>
                <w:sz w:val="20"/>
                <w:szCs w:val="20"/>
              </w:rPr>
            </w:pPr>
            <w:r w:rsidRPr="004D2BCB">
              <w:rPr>
                <w:rFonts w:ascii="Arial" w:hAnsi="Arial" w:cs="Arial"/>
                <w:sz w:val="20"/>
                <w:szCs w:val="20"/>
              </w:rPr>
              <w:t>LED Walk-in Fixture- 75W to 38W</w:t>
            </w:r>
          </w:p>
        </w:tc>
        <w:tc>
          <w:tcPr>
            <w:tcW w:w="3330" w:type="dxa"/>
            <w:tcBorders>
              <w:top w:val="nil"/>
              <w:left w:val="nil"/>
              <w:bottom w:val="single" w:sz="12" w:space="0" w:color="FFFFFF"/>
              <w:right w:val="single" w:sz="12" w:space="0" w:color="FFFFFF"/>
            </w:tcBorders>
            <w:shd w:val="clear" w:color="000000" w:fill="969696"/>
            <w:vAlign w:val="center"/>
          </w:tcPr>
          <w:p w:rsidR="00B2535F" w:rsidRPr="004D2BCB" w:rsidRDefault="00B2535F" w:rsidP="00B2535F">
            <w:pPr>
              <w:jc w:val="center"/>
              <w:rPr>
                <w:rFonts w:ascii="Arial" w:hAnsi="Arial" w:cs="Arial"/>
                <w:color w:val="000000"/>
                <w:sz w:val="20"/>
                <w:szCs w:val="20"/>
              </w:rPr>
            </w:pPr>
            <w:r w:rsidRPr="004D2BCB">
              <w:rPr>
                <w:rFonts w:ascii="Arial" w:hAnsi="Arial" w:cs="Arial"/>
                <w:color w:val="000000"/>
                <w:sz w:val="20"/>
                <w:szCs w:val="20"/>
              </w:rPr>
              <w:t xml:space="preserve">75W Incandescent </w:t>
            </w:r>
            <w:r w:rsidRPr="004D2BCB">
              <w:rPr>
                <w:rFonts w:ascii="Arial" w:hAnsi="Arial" w:cs="Arial"/>
                <w:i/>
                <w:iCs/>
                <w:color w:val="000000"/>
                <w:sz w:val="20"/>
                <w:szCs w:val="20"/>
              </w:rPr>
              <w:t>or</w:t>
            </w:r>
            <w:r w:rsidRPr="004D2BCB">
              <w:rPr>
                <w:rFonts w:ascii="Arial" w:hAnsi="Arial" w:cs="Arial"/>
                <w:color w:val="000000"/>
                <w:sz w:val="20"/>
                <w:szCs w:val="20"/>
              </w:rPr>
              <w:t xml:space="preserve"> </w:t>
            </w:r>
            <w:r w:rsidRPr="004D2BCB">
              <w:rPr>
                <w:rFonts w:ascii="Arial" w:hAnsi="Arial" w:cs="Arial"/>
                <w:color w:val="000000"/>
                <w:sz w:val="20"/>
                <w:szCs w:val="20"/>
              </w:rPr>
              <w:br/>
              <w:t xml:space="preserve">4 </w:t>
            </w:r>
            <w:proofErr w:type="spellStart"/>
            <w:r w:rsidRPr="004D2BCB">
              <w:rPr>
                <w:rFonts w:ascii="Arial" w:hAnsi="Arial" w:cs="Arial"/>
                <w:color w:val="000000"/>
                <w:sz w:val="20"/>
                <w:szCs w:val="20"/>
              </w:rPr>
              <w:t>ft</w:t>
            </w:r>
            <w:proofErr w:type="spellEnd"/>
            <w:r w:rsidRPr="004D2BCB">
              <w:rPr>
                <w:rFonts w:ascii="Arial" w:hAnsi="Arial" w:cs="Arial"/>
                <w:color w:val="000000"/>
                <w:sz w:val="20"/>
                <w:szCs w:val="20"/>
              </w:rPr>
              <w:t xml:space="preserve"> Double Lamp T12 Fixture</w:t>
            </w:r>
          </w:p>
        </w:tc>
        <w:tc>
          <w:tcPr>
            <w:tcW w:w="1530" w:type="dxa"/>
            <w:tcBorders>
              <w:top w:val="nil"/>
              <w:left w:val="nil"/>
              <w:bottom w:val="single" w:sz="12" w:space="0" w:color="FFFFFF"/>
              <w:right w:val="single" w:sz="12" w:space="0" w:color="FFFFFF"/>
            </w:tcBorders>
            <w:shd w:val="clear" w:color="000000" w:fill="969696"/>
            <w:vAlign w:val="center"/>
          </w:tcPr>
          <w:p w:rsidR="00B2535F" w:rsidRPr="004D2BCB" w:rsidRDefault="00B2535F" w:rsidP="00B2535F">
            <w:pPr>
              <w:jc w:val="center"/>
              <w:rPr>
                <w:rFonts w:ascii="Arial" w:hAnsi="Arial" w:cs="Arial"/>
                <w:color w:val="000000"/>
                <w:sz w:val="20"/>
                <w:szCs w:val="20"/>
              </w:rPr>
            </w:pPr>
            <w:r w:rsidRPr="004D2BCB">
              <w:rPr>
                <w:rFonts w:ascii="Arial" w:hAnsi="Arial" w:cs="Arial"/>
                <w:color w:val="000000"/>
                <w:sz w:val="20"/>
                <w:szCs w:val="20"/>
              </w:rPr>
              <w:t>1,200-2,350</w:t>
            </w:r>
          </w:p>
        </w:tc>
        <w:tc>
          <w:tcPr>
            <w:tcW w:w="1620" w:type="dxa"/>
            <w:tcBorders>
              <w:top w:val="nil"/>
              <w:left w:val="nil"/>
              <w:bottom w:val="single" w:sz="12" w:space="0" w:color="FFFFFF"/>
              <w:right w:val="single" w:sz="12" w:space="0" w:color="FFFFFF"/>
            </w:tcBorders>
            <w:shd w:val="clear" w:color="000000" w:fill="969696"/>
            <w:vAlign w:val="center"/>
          </w:tcPr>
          <w:p w:rsidR="00B2535F" w:rsidRPr="004D2BCB" w:rsidRDefault="00B2535F" w:rsidP="00B2535F">
            <w:pPr>
              <w:jc w:val="center"/>
              <w:rPr>
                <w:rFonts w:ascii="Arial" w:hAnsi="Arial" w:cs="Arial"/>
                <w:color w:val="000000"/>
                <w:sz w:val="20"/>
                <w:szCs w:val="20"/>
              </w:rPr>
            </w:pPr>
            <w:r w:rsidRPr="004D2BCB">
              <w:rPr>
                <w:rFonts w:ascii="Arial" w:hAnsi="Arial" w:cs="Arial"/>
                <w:color w:val="000000"/>
                <w:sz w:val="20"/>
                <w:szCs w:val="20"/>
              </w:rPr>
              <w:t>2,250</w:t>
            </w:r>
          </w:p>
        </w:tc>
      </w:tr>
      <w:tr w:rsidR="00B2535F" w:rsidRPr="004D2BCB" w:rsidTr="00B2535F">
        <w:trPr>
          <w:trHeight w:val="330"/>
        </w:trPr>
        <w:tc>
          <w:tcPr>
            <w:tcW w:w="3240" w:type="dxa"/>
            <w:tcBorders>
              <w:top w:val="nil"/>
              <w:left w:val="nil"/>
              <w:bottom w:val="single" w:sz="12" w:space="0" w:color="FFFFFF"/>
              <w:right w:val="single" w:sz="12" w:space="0" w:color="FFFFFF"/>
            </w:tcBorders>
            <w:shd w:val="clear" w:color="000000" w:fill="C0C0C0"/>
            <w:vAlign w:val="center"/>
          </w:tcPr>
          <w:p w:rsidR="00B2535F" w:rsidRPr="004D2BCB" w:rsidRDefault="00B2535F" w:rsidP="00B2535F">
            <w:pPr>
              <w:jc w:val="center"/>
              <w:rPr>
                <w:rFonts w:ascii="Arial" w:hAnsi="Arial" w:cs="Arial"/>
                <w:sz w:val="20"/>
                <w:szCs w:val="20"/>
              </w:rPr>
            </w:pPr>
            <w:r w:rsidRPr="004D2BCB">
              <w:rPr>
                <w:rFonts w:ascii="Arial" w:hAnsi="Arial" w:cs="Arial"/>
                <w:sz w:val="20"/>
                <w:szCs w:val="20"/>
              </w:rPr>
              <w:t>LED Walk-in Fixture- 100W to 38W</w:t>
            </w:r>
          </w:p>
        </w:tc>
        <w:tc>
          <w:tcPr>
            <w:tcW w:w="3330" w:type="dxa"/>
            <w:tcBorders>
              <w:top w:val="nil"/>
              <w:left w:val="nil"/>
              <w:bottom w:val="single" w:sz="12" w:space="0" w:color="FFFFFF"/>
              <w:right w:val="single" w:sz="12" w:space="0" w:color="FFFFFF"/>
            </w:tcBorders>
            <w:shd w:val="clear" w:color="000000" w:fill="C0C0C0"/>
            <w:vAlign w:val="center"/>
          </w:tcPr>
          <w:p w:rsidR="00B2535F" w:rsidRPr="004D2BCB" w:rsidRDefault="00B2535F" w:rsidP="00B2535F">
            <w:pPr>
              <w:jc w:val="center"/>
              <w:rPr>
                <w:rFonts w:ascii="Arial" w:hAnsi="Arial" w:cs="Arial"/>
                <w:color w:val="000000"/>
                <w:sz w:val="20"/>
                <w:szCs w:val="20"/>
              </w:rPr>
            </w:pPr>
            <w:r w:rsidRPr="004D2BCB">
              <w:rPr>
                <w:rFonts w:ascii="Arial" w:hAnsi="Arial" w:cs="Arial"/>
                <w:color w:val="000000"/>
                <w:sz w:val="20"/>
                <w:szCs w:val="20"/>
              </w:rPr>
              <w:t>100W Incandescent</w:t>
            </w:r>
          </w:p>
        </w:tc>
        <w:tc>
          <w:tcPr>
            <w:tcW w:w="1530" w:type="dxa"/>
            <w:tcBorders>
              <w:top w:val="nil"/>
              <w:left w:val="nil"/>
              <w:bottom w:val="single" w:sz="12" w:space="0" w:color="FFFFFF"/>
              <w:right w:val="single" w:sz="12" w:space="0" w:color="FFFFFF"/>
            </w:tcBorders>
            <w:shd w:val="clear" w:color="000000" w:fill="C0C0C0"/>
            <w:vAlign w:val="center"/>
          </w:tcPr>
          <w:p w:rsidR="00B2535F" w:rsidRPr="004D2BCB" w:rsidRDefault="00B2535F" w:rsidP="00B2535F">
            <w:pPr>
              <w:jc w:val="center"/>
              <w:rPr>
                <w:rFonts w:ascii="Arial" w:hAnsi="Arial" w:cs="Arial"/>
                <w:color w:val="000000"/>
                <w:sz w:val="20"/>
                <w:szCs w:val="20"/>
              </w:rPr>
            </w:pPr>
            <w:r w:rsidRPr="004D2BCB">
              <w:rPr>
                <w:rFonts w:ascii="Arial" w:hAnsi="Arial" w:cs="Arial"/>
                <w:color w:val="000000"/>
                <w:sz w:val="20"/>
                <w:szCs w:val="20"/>
              </w:rPr>
              <w:t>1,700</w:t>
            </w:r>
          </w:p>
        </w:tc>
        <w:tc>
          <w:tcPr>
            <w:tcW w:w="1620" w:type="dxa"/>
            <w:tcBorders>
              <w:top w:val="nil"/>
              <w:left w:val="nil"/>
              <w:bottom w:val="single" w:sz="12" w:space="0" w:color="FFFFFF"/>
              <w:right w:val="single" w:sz="12" w:space="0" w:color="FFFFFF"/>
            </w:tcBorders>
            <w:shd w:val="clear" w:color="000000" w:fill="C0C0C0"/>
            <w:vAlign w:val="center"/>
          </w:tcPr>
          <w:p w:rsidR="00B2535F" w:rsidRPr="004D2BCB" w:rsidRDefault="00B2535F" w:rsidP="00B2535F">
            <w:pPr>
              <w:jc w:val="center"/>
              <w:rPr>
                <w:rFonts w:ascii="Arial" w:hAnsi="Arial" w:cs="Arial"/>
                <w:color w:val="000000"/>
                <w:sz w:val="20"/>
                <w:szCs w:val="20"/>
              </w:rPr>
            </w:pPr>
            <w:r w:rsidRPr="004D2BCB">
              <w:rPr>
                <w:rFonts w:ascii="Arial" w:hAnsi="Arial" w:cs="Arial"/>
                <w:color w:val="000000"/>
                <w:sz w:val="20"/>
                <w:szCs w:val="20"/>
              </w:rPr>
              <w:t>2,250</w:t>
            </w:r>
          </w:p>
        </w:tc>
      </w:tr>
      <w:tr w:rsidR="00B2535F" w:rsidRPr="004D2BCB" w:rsidTr="00B2535F">
        <w:trPr>
          <w:trHeight w:val="555"/>
        </w:trPr>
        <w:tc>
          <w:tcPr>
            <w:tcW w:w="3240" w:type="dxa"/>
            <w:tcBorders>
              <w:top w:val="nil"/>
              <w:left w:val="nil"/>
              <w:bottom w:val="single" w:sz="12" w:space="0" w:color="FFFFFF"/>
              <w:right w:val="single" w:sz="12" w:space="0" w:color="FFFFFF"/>
            </w:tcBorders>
            <w:shd w:val="clear" w:color="000000" w:fill="969696"/>
            <w:vAlign w:val="center"/>
          </w:tcPr>
          <w:p w:rsidR="00B2535F" w:rsidRPr="004D2BCB" w:rsidRDefault="00B2535F" w:rsidP="00B2535F">
            <w:pPr>
              <w:jc w:val="center"/>
              <w:rPr>
                <w:rFonts w:ascii="Arial" w:hAnsi="Arial" w:cs="Arial"/>
                <w:sz w:val="20"/>
                <w:szCs w:val="20"/>
              </w:rPr>
            </w:pPr>
            <w:r w:rsidRPr="004D2BCB">
              <w:rPr>
                <w:rFonts w:ascii="Arial" w:hAnsi="Arial" w:cs="Arial"/>
                <w:sz w:val="20"/>
                <w:szCs w:val="20"/>
              </w:rPr>
              <w:t>LED Walk-in Fixture- 220W to 80W</w:t>
            </w:r>
          </w:p>
        </w:tc>
        <w:tc>
          <w:tcPr>
            <w:tcW w:w="3330" w:type="dxa"/>
            <w:tcBorders>
              <w:top w:val="nil"/>
              <w:left w:val="nil"/>
              <w:bottom w:val="single" w:sz="12" w:space="0" w:color="FFFFFF"/>
              <w:right w:val="single" w:sz="12" w:space="0" w:color="FFFFFF"/>
            </w:tcBorders>
            <w:shd w:val="clear" w:color="000000" w:fill="969696"/>
            <w:vAlign w:val="center"/>
          </w:tcPr>
          <w:p w:rsidR="00B2535F" w:rsidRPr="004D2BCB" w:rsidRDefault="00B2535F" w:rsidP="00B2535F">
            <w:pPr>
              <w:jc w:val="center"/>
              <w:rPr>
                <w:rFonts w:ascii="Arial" w:hAnsi="Arial" w:cs="Arial"/>
                <w:color w:val="000000"/>
                <w:sz w:val="20"/>
                <w:szCs w:val="20"/>
              </w:rPr>
            </w:pPr>
            <w:r w:rsidRPr="004D2BCB">
              <w:rPr>
                <w:rFonts w:ascii="Arial" w:hAnsi="Arial" w:cs="Arial"/>
                <w:color w:val="000000"/>
                <w:sz w:val="20"/>
                <w:szCs w:val="20"/>
              </w:rPr>
              <w:t xml:space="preserve">8 </w:t>
            </w:r>
            <w:proofErr w:type="spellStart"/>
            <w:r w:rsidRPr="004D2BCB">
              <w:rPr>
                <w:rFonts w:ascii="Arial" w:hAnsi="Arial" w:cs="Arial"/>
                <w:color w:val="000000"/>
                <w:sz w:val="20"/>
                <w:szCs w:val="20"/>
              </w:rPr>
              <w:t>ft</w:t>
            </w:r>
            <w:proofErr w:type="spellEnd"/>
            <w:r w:rsidRPr="004D2BCB">
              <w:rPr>
                <w:rFonts w:ascii="Arial" w:hAnsi="Arial" w:cs="Arial"/>
                <w:color w:val="000000"/>
                <w:sz w:val="20"/>
                <w:szCs w:val="20"/>
              </w:rPr>
              <w:t xml:space="preserve"> Double Lamp HO T12 Fixture</w:t>
            </w:r>
          </w:p>
        </w:tc>
        <w:tc>
          <w:tcPr>
            <w:tcW w:w="1530" w:type="dxa"/>
            <w:tcBorders>
              <w:top w:val="nil"/>
              <w:left w:val="nil"/>
              <w:bottom w:val="single" w:sz="12" w:space="0" w:color="FFFFFF"/>
              <w:right w:val="single" w:sz="12" w:space="0" w:color="FFFFFF"/>
            </w:tcBorders>
            <w:shd w:val="clear" w:color="000000" w:fill="969696"/>
            <w:vAlign w:val="center"/>
          </w:tcPr>
          <w:p w:rsidR="00B2535F" w:rsidRPr="004D2BCB" w:rsidRDefault="00B2535F" w:rsidP="00B2535F">
            <w:pPr>
              <w:jc w:val="center"/>
              <w:rPr>
                <w:rFonts w:ascii="Arial" w:hAnsi="Arial" w:cs="Arial"/>
                <w:sz w:val="20"/>
                <w:szCs w:val="20"/>
              </w:rPr>
            </w:pPr>
            <w:r w:rsidRPr="004D2BCB">
              <w:rPr>
                <w:rFonts w:ascii="Arial" w:hAnsi="Arial" w:cs="Arial"/>
                <w:sz w:val="20"/>
                <w:szCs w:val="20"/>
              </w:rPr>
              <w:t>4,100</w:t>
            </w:r>
          </w:p>
        </w:tc>
        <w:tc>
          <w:tcPr>
            <w:tcW w:w="1620" w:type="dxa"/>
            <w:tcBorders>
              <w:top w:val="nil"/>
              <w:left w:val="nil"/>
              <w:bottom w:val="single" w:sz="12" w:space="0" w:color="FFFFFF"/>
              <w:right w:val="single" w:sz="12" w:space="0" w:color="FFFFFF"/>
            </w:tcBorders>
            <w:shd w:val="clear" w:color="000000" w:fill="969696"/>
            <w:vAlign w:val="center"/>
          </w:tcPr>
          <w:p w:rsidR="00B2535F" w:rsidRPr="004D2BCB" w:rsidRDefault="00B2535F" w:rsidP="00B2535F">
            <w:pPr>
              <w:jc w:val="center"/>
              <w:rPr>
                <w:rFonts w:ascii="Arial" w:hAnsi="Arial" w:cs="Arial"/>
                <w:sz w:val="20"/>
                <w:szCs w:val="20"/>
              </w:rPr>
            </w:pPr>
            <w:r w:rsidRPr="004D2BCB">
              <w:rPr>
                <w:rFonts w:ascii="Arial" w:hAnsi="Arial" w:cs="Arial"/>
                <w:sz w:val="20"/>
                <w:szCs w:val="20"/>
              </w:rPr>
              <w:t>4,500</w:t>
            </w:r>
          </w:p>
        </w:tc>
      </w:tr>
    </w:tbl>
    <w:p w:rsidR="00E0522F" w:rsidRDefault="00E0522F">
      <w:pPr>
        <w:rPr>
          <w:rFonts w:ascii="Arial" w:hAnsi="Arial" w:cs="Arial"/>
          <w:b/>
          <w:bCs/>
          <w:kern w:val="32"/>
          <w:sz w:val="32"/>
          <w:szCs w:val="32"/>
        </w:rPr>
      </w:pPr>
    </w:p>
    <w:p w:rsidR="008D6F1D" w:rsidRDefault="008D6F1D">
      <w:pPr>
        <w:rPr>
          <w:rFonts w:ascii="Arial" w:hAnsi="Arial" w:cs="Arial"/>
          <w:b/>
          <w:bCs/>
          <w:kern w:val="32"/>
          <w:sz w:val="32"/>
          <w:szCs w:val="32"/>
        </w:rPr>
      </w:pPr>
    </w:p>
    <w:p w:rsidR="008D6F1D" w:rsidRDefault="008D6F1D">
      <w:pPr>
        <w:rPr>
          <w:rFonts w:ascii="Arial" w:hAnsi="Arial" w:cs="Arial"/>
          <w:b/>
          <w:bCs/>
          <w:kern w:val="32"/>
          <w:sz w:val="32"/>
          <w:szCs w:val="32"/>
        </w:rPr>
      </w:pPr>
    </w:p>
    <w:p w:rsidR="008D6F1D" w:rsidRDefault="008D6F1D">
      <w:pPr>
        <w:rPr>
          <w:rFonts w:ascii="Arial" w:hAnsi="Arial" w:cs="Arial"/>
          <w:b/>
          <w:bCs/>
          <w:kern w:val="32"/>
          <w:sz w:val="32"/>
          <w:szCs w:val="32"/>
        </w:rPr>
      </w:pPr>
    </w:p>
    <w:p w:rsidR="008D6F1D" w:rsidRDefault="008D6F1D">
      <w:pPr>
        <w:rPr>
          <w:rFonts w:ascii="Arial" w:hAnsi="Arial" w:cs="Arial"/>
          <w:b/>
          <w:bCs/>
          <w:kern w:val="32"/>
          <w:sz w:val="32"/>
          <w:szCs w:val="32"/>
        </w:rPr>
      </w:pPr>
    </w:p>
    <w:p w:rsidR="008D6F1D" w:rsidRDefault="008D6F1D">
      <w:pPr>
        <w:rPr>
          <w:rFonts w:ascii="Arial" w:hAnsi="Arial" w:cs="Arial"/>
          <w:b/>
          <w:bCs/>
          <w:kern w:val="32"/>
          <w:sz w:val="32"/>
          <w:szCs w:val="32"/>
        </w:rPr>
      </w:pPr>
    </w:p>
    <w:p w:rsidR="008D6F1D" w:rsidRDefault="008D6F1D">
      <w:pPr>
        <w:rPr>
          <w:rFonts w:ascii="Arial" w:hAnsi="Arial" w:cs="Arial"/>
          <w:b/>
          <w:bCs/>
          <w:kern w:val="32"/>
          <w:sz w:val="32"/>
          <w:szCs w:val="32"/>
        </w:rPr>
      </w:pPr>
    </w:p>
    <w:p w:rsidR="008D6F1D" w:rsidRDefault="008D6F1D">
      <w:pPr>
        <w:rPr>
          <w:rFonts w:ascii="Arial" w:hAnsi="Arial" w:cs="Arial"/>
          <w:b/>
          <w:bCs/>
          <w:kern w:val="32"/>
          <w:sz w:val="32"/>
          <w:szCs w:val="32"/>
        </w:rPr>
      </w:pPr>
    </w:p>
    <w:p w:rsidR="008D6F1D" w:rsidRDefault="008D6F1D">
      <w:pPr>
        <w:rPr>
          <w:rFonts w:ascii="Arial" w:hAnsi="Arial" w:cs="Arial"/>
          <w:b/>
          <w:bCs/>
          <w:kern w:val="32"/>
          <w:sz w:val="32"/>
          <w:szCs w:val="32"/>
        </w:rPr>
      </w:pPr>
    </w:p>
    <w:p w:rsidR="008D6F1D" w:rsidRDefault="008D6F1D">
      <w:pPr>
        <w:rPr>
          <w:rFonts w:ascii="Arial" w:hAnsi="Arial" w:cs="Arial"/>
          <w:b/>
          <w:bCs/>
          <w:kern w:val="32"/>
          <w:sz w:val="32"/>
          <w:szCs w:val="32"/>
        </w:rPr>
      </w:pPr>
    </w:p>
    <w:p w:rsidR="008D6F1D" w:rsidRPr="004D2BCB" w:rsidRDefault="008D6F1D">
      <w:pPr>
        <w:rPr>
          <w:rFonts w:ascii="Arial" w:hAnsi="Arial" w:cs="Arial"/>
          <w:b/>
          <w:bCs/>
          <w:kern w:val="32"/>
          <w:sz w:val="32"/>
          <w:szCs w:val="32"/>
        </w:rPr>
      </w:pPr>
    </w:p>
    <w:p w:rsidR="00C069A2" w:rsidRPr="004D2BCB" w:rsidRDefault="00CF3FF0" w:rsidP="00774447">
      <w:pPr>
        <w:pStyle w:val="Heading1"/>
      </w:pPr>
      <w:bookmarkStart w:id="36" w:name="_Toc438047466"/>
      <w:proofErr w:type="gramStart"/>
      <w:r w:rsidRPr="004D2BCB">
        <w:lastRenderedPageBreak/>
        <w:t xml:space="preserve">Section </w:t>
      </w:r>
      <w:r w:rsidR="00C069A2" w:rsidRPr="004D2BCB">
        <w:t>2</w:t>
      </w:r>
      <w:r w:rsidR="003129E8" w:rsidRPr="004D2BCB">
        <w:t>.</w:t>
      </w:r>
      <w:proofErr w:type="gramEnd"/>
      <w:r w:rsidR="00C069A2" w:rsidRPr="004D2BCB">
        <w:t xml:space="preserve"> Calculation Methods</w:t>
      </w:r>
      <w:bookmarkEnd w:id="36"/>
    </w:p>
    <w:p w:rsidR="00F332CB" w:rsidRPr="00390130" w:rsidRDefault="00F332CB" w:rsidP="00F332CB">
      <w:pPr>
        <w:rPr>
          <w:rFonts w:ascii="Arial" w:hAnsi="Arial" w:cs="Arial"/>
        </w:rPr>
      </w:pPr>
    </w:p>
    <w:p w:rsidR="002A5CDC" w:rsidRPr="00390130" w:rsidRDefault="002A5CDC" w:rsidP="00F332CB">
      <w:pPr>
        <w:rPr>
          <w:rFonts w:ascii="Arial" w:hAnsi="Arial" w:cs="Arial"/>
        </w:rPr>
      </w:pPr>
    </w:p>
    <w:p w:rsidR="00FD3721" w:rsidRPr="00390130" w:rsidRDefault="00FD3721" w:rsidP="00346796">
      <w:pPr>
        <w:pStyle w:val="Caption"/>
        <w:rPr>
          <w:rFonts w:cs="Arial"/>
        </w:rPr>
      </w:pPr>
      <w:bookmarkStart w:id="37" w:name="_Toc438047487"/>
      <w:r w:rsidRPr="00FF214D">
        <w:rPr>
          <w:rFonts w:cs="Arial"/>
        </w:rPr>
        <w:t xml:space="preserve">Table </w:t>
      </w:r>
      <w:r w:rsidR="009861DE" w:rsidRPr="00390130">
        <w:rPr>
          <w:rFonts w:cs="Arial"/>
        </w:rPr>
        <w:fldChar w:fldCharType="begin"/>
      </w:r>
      <w:r w:rsidR="009861DE" w:rsidRPr="00390130">
        <w:rPr>
          <w:rFonts w:cs="Arial"/>
        </w:rPr>
        <w:instrText xml:space="preserve"> SEQ Table \* ARABIC </w:instrText>
      </w:r>
      <w:r w:rsidR="009861DE" w:rsidRPr="00390130">
        <w:rPr>
          <w:rFonts w:cs="Arial"/>
        </w:rPr>
        <w:fldChar w:fldCharType="separate"/>
      </w:r>
      <w:r w:rsidR="00940E51" w:rsidRPr="00390130">
        <w:rPr>
          <w:rFonts w:cs="Arial"/>
          <w:noProof/>
        </w:rPr>
        <w:t>5</w:t>
      </w:r>
      <w:r w:rsidR="009861DE" w:rsidRPr="00390130">
        <w:rPr>
          <w:rFonts w:cs="Arial"/>
          <w:noProof/>
        </w:rPr>
        <w:fldChar w:fldCharType="end"/>
      </w:r>
      <w:r w:rsidR="00AF2B65" w:rsidRPr="00390130">
        <w:rPr>
          <w:rFonts w:cs="Arial"/>
        </w:rPr>
        <w:t xml:space="preserve"> -</w:t>
      </w:r>
      <w:r w:rsidRPr="00390130">
        <w:rPr>
          <w:rFonts w:cs="Arial"/>
        </w:rPr>
        <w:t xml:space="preserve"> Baseline by Measure Application Type</w:t>
      </w:r>
      <w:bookmarkEnd w:id="37"/>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513DAC" w:rsidRPr="004D2BCB" w:rsidTr="00953425">
        <w:trPr>
          <w:trHeight w:val="927"/>
        </w:trPr>
        <w:tc>
          <w:tcPr>
            <w:tcW w:w="2808" w:type="dxa"/>
            <w:shd w:val="clear" w:color="auto" w:fill="262626"/>
            <w:vAlign w:val="bottom"/>
          </w:tcPr>
          <w:p w:rsidR="00513DAC" w:rsidRPr="00FF214D" w:rsidRDefault="00513DAC" w:rsidP="00953425">
            <w:pPr>
              <w:pStyle w:val="Heading2"/>
              <w:keepLines/>
              <w:jc w:val="center"/>
              <w:rPr>
                <w:rStyle w:val="Strong"/>
                <w:b/>
                <w:bCs/>
                <w:i w:val="0"/>
                <w:color w:val="F2F2F2"/>
              </w:rPr>
            </w:pPr>
            <w:bookmarkStart w:id="38" w:name="_Toc324340490"/>
            <w:bookmarkStart w:id="39" w:name="_Toc383441995"/>
            <w:bookmarkStart w:id="40" w:name="_Toc438047467"/>
            <w:r w:rsidRPr="004D2BCB">
              <w:rPr>
                <w:rStyle w:val="Strong"/>
                <w:i w:val="0"/>
                <w:color w:val="F2F2F2"/>
              </w:rPr>
              <w:t>Measure Application Type</w:t>
            </w:r>
            <w:bookmarkEnd w:id="38"/>
            <w:bookmarkEnd w:id="39"/>
            <w:bookmarkEnd w:id="40"/>
          </w:p>
        </w:tc>
        <w:tc>
          <w:tcPr>
            <w:tcW w:w="1710" w:type="dxa"/>
            <w:shd w:val="clear" w:color="auto" w:fill="262626"/>
            <w:vAlign w:val="bottom"/>
          </w:tcPr>
          <w:p w:rsidR="00513DAC" w:rsidRPr="004D2BCB" w:rsidRDefault="00513DAC" w:rsidP="00953425">
            <w:pPr>
              <w:pStyle w:val="Heading2"/>
              <w:keepLines/>
              <w:jc w:val="center"/>
              <w:rPr>
                <w:rStyle w:val="Strong"/>
                <w:b/>
                <w:bCs/>
                <w:i w:val="0"/>
                <w:color w:val="F2F2F2"/>
              </w:rPr>
            </w:pPr>
            <w:bookmarkStart w:id="41" w:name="_Toc324340491"/>
            <w:bookmarkStart w:id="42" w:name="_Toc383441996"/>
            <w:bookmarkStart w:id="43" w:name="_Toc438047468"/>
            <w:r w:rsidRPr="004D2BCB">
              <w:rPr>
                <w:rStyle w:val="Strong"/>
                <w:i w:val="0"/>
                <w:color w:val="F2F2F2"/>
              </w:rPr>
              <w:t>Measure Life Basis</w:t>
            </w:r>
            <w:bookmarkEnd w:id="41"/>
            <w:bookmarkEnd w:id="42"/>
            <w:bookmarkEnd w:id="43"/>
          </w:p>
        </w:tc>
        <w:tc>
          <w:tcPr>
            <w:tcW w:w="2790" w:type="dxa"/>
            <w:shd w:val="clear" w:color="auto" w:fill="262626"/>
            <w:vAlign w:val="bottom"/>
          </w:tcPr>
          <w:p w:rsidR="00513DAC" w:rsidRPr="004D2BCB" w:rsidRDefault="00513DAC" w:rsidP="00953425">
            <w:pPr>
              <w:pStyle w:val="Heading2"/>
              <w:keepLines/>
              <w:jc w:val="center"/>
              <w:rPr>
                <w:rStyle w:val="Strong"/>
                <w:b/>
                <w:bCs/>
                <w:i w:val="0"/>
                <w:color w:val="F2F2F2"/>
              </w:rPr>
            </w:pPr>
            <w:bookmarkStart w:id="44" w:name="_Toc324340492"/>
            <w:bookmarkStart w:id="45" w:name="_Toc383441997"/>
            <w:bookmarkStart w:id="46" w:name="_Toc438047469"/>
            <w:r w:rsidRPr="004D2BCB">
              <w:rPr>
                <w:rStyle w:val="Strong"/>
                <w:i w:val="0"/>
                <w:color w:val="F2F2F2"/>
              </w:rPr>
              <w:t>First Baseline Period: Energy Savings Baseline</w:t>
            </w:r>
            <w:bookmarkEnd w:id="44"/>
            <w:bookmarkEnd w:id="45"/>
            <w:bookmarkEnd w:id="46"/>
          </w:p>
        </w:tc>
        <w:tc>
          <w:tcPr>
            <w:tcW w:w="2268" w:type="dxa"/>
            <w:shd w:val="clear" w:color="auto" w:fill="262626"/>
            <w:vAlign w:val="bottom"/>
          </w:tcPr>
          <w:p w:rsidR="00513DAC" w:rsidRPr="004D2BCB" w:rsidRDefault="00513DAC" w:rsidP="00953425">
            <w:pPr>
              <w:pStyle w:val="Heading2"/>
              <w:keepLines/>
              <w:jc w:val="center"/>
              <w:rPr>
                <w:rStyle w:val="Strong"/>
                <w:b/>
                <w:bCs/>
                <w:i w:val="0"/>
                <w:color w:val="F2F2F2"/>
              </w:rPr>
            </w:pPr>
            <w:bookmarkStart w:id="47" w:name="_Toc324340493"/>
            <w:bookmarkStart w:id="48" w:name="_Toc383441998"/>
            <w:bookmarkStart w:id="49" w:name="_Toc438047470"/>
            <w:r w:rsidRPr="004D2BCB">
              <w:rPr>
                <w:rStyle w:val="Strong"/>
                <w:i w:val="0"/>
                <w:color w:val="F2F2F2"/>
              </w:rPr>
              <w:t>Second Baseline Period: Energy Savings Baseline</w:t>
            </w:r>
            <w:bookmarkEnd w:id="47"/>
            <w:bookmarkEnd w:id="48"/>
            <w:bookmarkEnd w:id="49"/>
          </w:p>
        </w:tc>
      </w:tr>
      <w:tr w:rsidR="002A5CDC" w:rsidRPr="004D2BCB" w:rsidTr="00953425">
        <w:tc>
          <w:tcPr>
            <w:tcW w:w="2808" w:type="dxa"/>
            <w:shd w:val="pct5" w:color="000000" w:fill="FFFFFF"/>
            <w:vAlign w:val="bottom"/>
          </w:tcPr>
          <w:p w:rsidR="002A5CDC" w:rsidRPr="00390130" w:rsidRDefault="002A5CDC" w:rsidP="00683C25">
            <w:pPr>
              <w:spacing w:before="120" w:after="120"/>
              <w:jc w:val="center"/>
              <w:rPr>
                <w:rStyle w:val="Strong"/>
                <w:rFonts w:cs="Arial"/>
                <w:b w:val="0"/>
              </w:rPr>
            </w:pPr>
            <w:bookmarkStart w:id="50" w:name="_Toc324318353"/>
            <w:r w:rsidRPr="00FF214D">
              <w:rPr>
                <w:rStyle w:val="Strong"/>
                <w:rFonts w:cs="Arial"/>
                <w:i/>
              </w:rPr>
              <w:t>ROB</w:t>
            </w:r>
            <w:r w:rsidRPr="00390130">
              <w:rPr>
                <w:rStyle w:val="Strong"/>
                <w:rFonts w:cs="Arial"/>
              </w:rPr>
              <w:t xml:space="preserve"> (replace-on-burnout)</w:t>
            </w:r>
            <w:bookmarkEnd w:id="50"/>
          </w:p>
        </w:tc>
        <w:tc>
          <w:tcPr>
            <w:tcW w:w="1710" w:type="dxa"/>
            <w:shd w:val="pct5" w:color="000000" w:fill="FFFFFF"/>
            <w:vAlign w:val="bottom"/>
          </w:tcPr>
          <w:p w:rsidR="002A5CDC" w:rsidRPr="00390130" w:rsidRDefault="002A5CDC" w:rsidP="00683C25">
            <w:pPr>
              <w:spacing w:before="120" w:after="120"/>
              <w:jc w:val="center"/>
              <w:rPr>
                <w:rStyle w:val="Strong"/>
                <w:rFonts w:cs="Arial"/>
                <w:b w:val="0"/>
              </w:rPr>
            </w:pPr>
            <w:bookmarkStart w:id="51" w:name="_Toc324318354"/>
            <w:r w:rsidRPr="00FF214D">
              <w:rPr>
                <w:rStyle w:val="Strong"/>
                <w:rFonts w:cs="Arial"/>
              </w:rPr>
              <w:t>EUL</w:t>
            </w:r>
            <w:bookmarkEnd w:id="51"/>
          </w:p>
        </w:tc>
        <w:tc>
          <w:tcPr>
            <w:tcW w:w="2790" w:type="dxa"/>
            <w:shd w:val="pct5" w:color="000000" w:fill="FFFFFF"/>
            <w:vAlign w:val="bottom"/>
          </w:tcPr>
          <w:p w:rsidR="002A5CDC" w:rsidRPr="00390130" w:rsidRDefault="002A5CDC" w:rsidP="00683C25">
            <w:pPr>
              <w:spacing w:before="120" w:after="120"/>
              <w:jc w:val="center"/>
              <w:rPr>
                <w:rFonts w:ascii="Arial" w:hAnsi="Arial" w:cs="Arial"/>
                <w:sz w:val="20"/>
                <w:szCs w:val="20"/>
              </w:rPr>
            </w:pPr>
            <w:bookmarkStart w:id="52" w:name="_Toc324318355"/>
            <w:r w:rsidRPr="00390130">
              <w:rPr>
                <w:rFonts w:ascii="Arial" w:hAnsi="Arial" w:cs="Arial"/>
                <w:sz w:val="20"/>
                <w:szCs w:val="20"/>
              </w:rPr>
              <w:t>Code Baseline</w:t>
            </w:r>
            <w:bookmarkEnd w:id="52"/>
          </w:p>
        </w:tc>
        <w:tc>
          <w:tcPr>
            <w:tcW w:w="2268" w:type="dxa"/>
            <w:shd w:val="pct5" w:color="000000" w:fill="FFFFFF"/>
            <w:vAlign w:val="bottom"/>
          </w:tcPr>
          <w:p w:rsidR="002A5CDC" w:rsidRPr="00390130" w:rsidRDefault="002A5CDC" w:rsidP="00683C25">
            <w:pPr>
              <w:spacing w:before="120" w:after="120"/>
              <w:jc w:val="center"/>
              <w:rPr>
                <w:rFonts w:ascii="Arial" w:hAnsi="Arial" w:cs="Arial"/>
                <w:sz w:val="20"/>
                <w:szCs w:val="20"/>
              </w:rPr>
            </w:pPr>
            <w:bookmarkStart w:id="53" w:name="_Toc324318356"/>
            <w:r w:rsidRPr="00390130">
              <w:rPr>
                <w:rFonts w:ascii="Arial" w:hAnsi="Arial" w:cs="Arial"/>
                <w:sz w:val="20"/>
                <w:szCs w:val="20"/>
              </w:rPr>
              <w:t>N/A</w:t>
            </w:r>
            <w:bookmarkEnd w:id="53"/>
          </w:p>
        </w:tc>
      </w:tr>
    </w:tbl>
    <w:p w:rsidR="008D6F1D" w:rsidRDefault="008D6F1D" w:rsidP="00D20486">
      <w:pPr>
        <w:pStyle w:val="Heading2"/>
      </w:pPr>
    </w:p>
    <w:p w:rsidR="00C069A2" w:rsidRPr="004D2BCB" w:rsidRDefault="00C069A2" w:rsidP="00D20486">
      <w:pPr>
        <w:pStyle w:val="Heading2"/>
      </w:pPr>
      <w:bookmarkStart w:id="54" w:name="_Toc438047471"/>
      <w:r w:rsidRPr="004D2BCB">
        <w:t xml:space="preserve">2.1 </w:t>
      </w:r>
      <w:r w:rsidR="007878B9" w:rsidRPr="004D2BCB">
        <w:t xml:space="preserve">Electric </w:t>
      </w:r>
      <w:r w:rsidRPr="004D2BCB">
        <w:t>Energy Savings Estimation Methodologies</w:t>
      </w:r>
      <w:bookmarkEnd w:id="54"/>
    </w:p>
    <w:p w:rsidR="00014EA8" w:rsidRPr="004D2BCB" w:rsidRDefault="00B0397A" w:rsidP="00312A1F">
      <w:pPr>
        <w:jc w:val="both"/>
        <w:rPr>
          <w:rFonts w:ascii="Arial" w:hAnsi="Arial" w:cs="Arial"/>
          <w:sz w:val="20"/>
        </w:rPr>
      </w:pPr>
      <w:r w:rsidRPr="004D2BCB">
        <w:rPr>
          <w:rFonts w:ascii="Arial" w:hAnsi="Arial" w:cs="Arial"/>
          <w:sz w:val="20"/>
        </w:rPr>
        <w:t>N</w:t>
      </w:r>
      <w:r w:rsidR="00C17C7D" w:rsidRPr="004D2BCB">
        <w:rPr>
          <w:rFonts w:ascii="Arial" w:hAnsi="Arial" w:cs="Arial"/>
          <w:sz w:val="20"/>
        </w:rPr>
        <w:t xml:space="preserve">o state or federal codes guide the energy efficiency standards for lighting in existing walk-in freezers and coolers. Therefore there is a single baseline that spans the effective useful life of the measure. The savings from these are represented in the calculations below. </w:t>
      </w:r>
      <w:r w:rsidR="00014EA8" w:rsidRPr="004D2BCB">
        <w:rPr>
          <w:rFonts w:ascii="Arial" w:hAnsi="Arial" w:cs="Arial"/>
          <w:sz w:val="20"/>
        </w:rPr>
        <w:t>Each equation is accompanied by a sample calculation using the inputs used for LED Luminaire in Walk-In Cooler: 32W to 24W, one of the 10 iterations of the LED Lighting in Walk-i</w:t>
      </w:r>
      <w:r w:rsidR="00166CD1" w:rsidRPr="004D2BCB">
        <w:rPr>
          <w:rFonts w:ascii="Arial" w:hAnsi="Arial" w:cs="Arial"/>
          <w:sz w:val="20"/>
        </w:rPr>
        <w:t>n Coolers and Freezers measure. Appendix A contains the spreadsheet used to calculate all values presented in the At a Glance Measure List.</w:t>
      </w:r>
      <w:r w:rsidR="00014EA8" w:rsidRPr="00FF214D">
        <w:rPr>
          <w:rFonts w:ascii="Arial" w:hAnsi="Arial" w:cs="Arial"/>
          <w:sz w:val="20"/>
          <w:szCs w:val="20"/>
        </w:rPr>
        <w:t xml:space="preserve"> </w:t>
      </w:r>
      <w:r w:rsidR="00D52498" w:rsidRPr="00390130">
        <w:rPr>
          <w:rFonts w:ascii="Arial" w:hAnsi="Arial" w:cs="Arial"/>
          <w:sz w:val="20"/>
          <w:szCs w:val="20"/>
        </w:rPr>
        <w:fldChar w:fldCharType="begin"/>
      </w:r>
      <w:r w:rsidR="00D52498" w:rsidRPr="00390130">
        <w:rPr>
          <w:rFonts w:ascii="Arial" w:hAnsi="Arial" w:cs="Arial"/>
          <w:sz w:val="20"/>
          <w:szCs w:val="20"/>
        </w:rPr>
        <w:instrText xml:space="preserve"> REF _Ref390071907 \h </w:instrText>
      </w:r>
      <w:r w:rsidR="004D2BCB" w:rsidRPr="00390130">
        <w:rPr>
          <w:rFonts w:ascii="Arial" w:hAnsi="Arial" w:cs="Arial"/>
          <w:sz w:val="20"/>
          <w:szCs w:val="20"/>
        </w:rPr>
        <w:instrText xml:space="preserve"> \* MERGEFORMAT </w:instrText>
      </w:r>
      <w:r w:rsidR="00D52498" w:rsidRPr="00390130">
        <w:rPr>
          <w:rFonts w:ascii="Arial" w:hAnsi="Arial" w:cs="Arial"/>
          <w:sz w:val="20"/>
          <w:szCs w:val="20"/>
        </w:rPr>
      </w:r>
      <w:r w:rsidR="00D52498" w:rsidRPr="00390130">
        <w:rPr>
          <w:rFonts w:ascii="Arial" w:hAnsi="Arial" w:cs="Arial"/>
          <w:sz w:val="20"/>
          <w:szCs w:val="20"/>
        </w:rPr>
        <w:fldChar w:fldCharType="separate"/>
      </w:r>
      <w:r w:rsidR="00D52498" w:rsidRPr="00390130">
        <w:rPr>
          <w:rFonts w:ascii="Arial" w:hAnsi="Arial" w:cs="Arial"/>
          <w:sz w:val="20"/>
          <w:szCs w:val="20"/>
        </w:rPr>
        <w:t xml:space="preserve">Equation </w:t>
      </w:r>
      <w:r w:rsidR="00D52498" w:rsidRPr="00390130">
        <w:rPr>
          <w:rFonts w:ascii="Arial" w:hAnsi="Arial" w:cs="Arial"/>
          <w:noProof/>
          <w:sz w:val="20"/>
          <w:szCs w:val="20"/>
        </w:rPr>
        <w:t>1</w:t>
      </w:r>
      <w:r w:rsidR="00D52498" w:rsidRPr="00390130">
        <w:rPr>
          <w:rFonts w:ascii="Arial" w:hAnsi="Arial" w:cs="Arial"/>
          <w:sz w:val="20"/>
          <w:szCs w:val="20"/>
        </w:rPr>
        <w:fldChar w:fldCharType="end"/>
      </w:r>
      <w:r w:rsidR="00D52498" w:rsidRPr="00FF214D">
        <w:rPr>
          <w:rFonts w:ascii="Arial" w:hAnsi="Arial" w:cs="Arial"/>
          <w:sz w:val="20"/>
          <w:szCs w:val="20"/>
        </w:rPr>
        <w:t xml:space="preserve">- </w:t>
      </w:r>
      <w:r w:rsidR="00837E7D" w:rsidRPr="00390130">
        <w:rPr>
          <w:rFonts w:ascii="Arial" w:hAnsi="Arial" w:cs="Arial"/>
          <w:sz w:val="20"/>
          <w:szCs w:val="20"/>
        </w:rPr>
        <w:fldChar w:fldCharType="begin"/>
      </w:r>
      <w:r w:rsidR="00837E7D" w:rsidRPr="00390130">
        <w:rPr>
          <w:rFonts w:ascii="Arial" w:hAnsi="Arial" w:cs="Arial"/>
          <w:sz w:val="20"/>
          <w:szCs w:val="20"/>
        </w:rPr>
        <w:instrText xml:space="preserve"> REF _Ref437956114 \h </w:instrText>
      </w:r>
      <w:r w:rsidR="004D2BCB" w:rsidRPr="00390130">
        <w:rPr>
          <w:rFonts w:ascii="Arial" w:hAnsi="Arial" w:cs="Arial"/>
          <w:sz w:val="20"/>
          <w:szCs w:val="20"/>
        </w:rPr>
        <w:instrText xml:space="preserve"> \* MERGEFORMAT </w:instrText>
      </w:r>
      <w:r w:rsidR="00837E7D" w:rsidRPr="00390130">
        <w:rPr>
          <w:rFonts w:ascii="Arial" w:hAnsi="Arial" w:cs="Arial"/>
          <w:sz w:val="20"/>
          <w:szCs w:val="20"/>
        </w:rPr>
      </w:r>
      <w:r w:rsidR="00837E7D" w:rsidRPr="00390130">
        <w:rPr>
          <w:rFonts w:ascii="Arial" w:hAnsi="Arial" w:cs="Arial"/>
          <w:sz w:val="20"/>
          <w:szCs w:val="20"/>
        </w:rPr>
        <w:fldChar w:fldCharType="separate"/>
      </w:r>
      <w:r w:rsidR="00837E7D" w:rsidRPr="00390130">
        <w:rPr>
          <w:rFonts w:ascii="Arial" w:hAnsi="Arial" w:cs="Arial"/>
          <w:sz w:val="20"/>
          <w:szCs w:val="20"/>
        </w:rPr>
        <w:t xml:space="preserve">Equation </w:t>
      </w:r>
      <w:r w:rsidR="00837E7D" w:rsidRPr="00390130">
        <w:rPr>
          <w:rFonts w:ascii="Arial" w:hAnsi="Arial" w:cs="Arial"/>
          <w:noProof/>
          <w:sz w:val="20"/>
          <w:szCs w:val="20"/>
        </w:rPr>
        <w:t>7</w:t>
      </w:r>
      <w:r w:rsidR="00837E7D" w:rsidRPr="00390130">
        <w:rPr>
          <w:rFonts w:ascii="Arial" w:hAnsi="Arial" w:cs="Arial"/>
          <w:sz w:val="20"/>
          <w:szCs w:val="20"/>
        </w:rPr>
        <w:fldChar w:fldCharType="end"/>
      </w:r>
      <w:r w:rsidR="00837E7D" w:rsidRPr="00FF214D">
        <w:rPr>
          <w:rFonts w:ascii="Arial" w:hAnsi="Arial" w:cs="Arial"/>
          <w:sz w:val="20"/>
          <w:szCs w:val="20"/>
        </w:rPr>
        <w:t xml:space="preserve"> </w:t>
      </w:r>
      <w:proofErr w:type="gramStart"/>
      <w:r w:rsidR="00D52498" w:rsidRPr="00390130">
        <w:rPr>
          <w:rFonts w:ascii="Arial" w:hAnsi="Arial" w:cs="Arial"/>
          <w:sz w:val="20"/>
          <w:szCs w:val="20"/>
        </w:rPr>
        <w:t>d</w:t>
      </w:r>
      <w:r w:rsidR="000051FF" w:rsidRPr="00390130">
        <w:rPr>
          <w:rFonts w:ascii="Arial" w:hAnsi="Arial" w:cs="Arial"/>
          <w:sz w:val="20"/>
          <w:szCs w:val="20"/>
        </w:rPr>
        <w:t>isplay</w:t>
      </w:r>
      <w:proofErr w:type="gramEnd"/>
      <w:r w:rsidR="00014EA8" w:rsidRPr="00390130">
        <w:rPr>
          <w:rFonts w:ascii="Arial" w:hAnsi="Arial" w:cs="Arial"/>
          <w:sz w:val="20"/>
          <w:szCs w:val="20"/>
        </w:rPr>
        <w:t xml:space="preserve"> all of the assumed values for the variables</w:t>
      </w:r>
      <w:r w:rsidR="00014EA8" w:rsidRPr="004D2BCB">
        <w:rPr>
          <w:rFonts w:ascii="Arial" w:hAnsi="Arial" w:cs="Arial"/>
          <w:sz w:val="20"/>
        </w:rPr>
        <w:t xml:space="preserve"> that affect energy and demand savings calculations:</w:t>
      </w:r>
    </w:p>
    <w:p w:rsidR="00D52498" w:rsidRPr="004D2BCB" w:rsidRDefault="00D52498" w:rsidP="00312A1F">
      <w:pPr>
        <w:jc w:val="both"/>
        <w:rPr>
          <w:rFonts w:ascii="Arial" w:hAnsi="Arial" w:cs="Arial"/>
          <w:sz w:val="20"/>
        </w:rPr>
      </w:pPr>
    </w:p>
    <w:p w:rsidR="00014EA8" w:rsidRPr="004D2BCB" w:rsidRDefault="00014EA8" w:rsidP="00312A1F">
      <w:pPr>
        <w:jc w:val="both"/>
        <w:rPr>
          <w:rFonts w:ascii="Arial" w:hAnsi="Arial" w:cs="Arial"/>
          <w:sz w:val="20"/>
        </w:rPr>
      </w:pPr>
    </w:p>
    <w:p w:rsidR="00D52498" w:rsidRPr="004D2BCB" w:rsidRDefault="00D52498" w:rsidP="00312A1F">
      <w:pPr>
        <w:jc w:val="both"/>
        <w:rPr>
          <w:rFonts w:ascii="Arial" w:hAnsi="Arial" w:cs="Arial"/>
          <w:sz w:val="20"/>
        </w:rPr>
      </w:pPr>
    </w:p>
    <w:p w:rsidR="00E62D24" w:rsidRPr="004D2BCB" w:rsidRDefault="00E62D24" w:rsidP="00312A1F">
      <w:pPr>
        <w:jc w:val="both"/>
        <w:rPr>
          <w:rFonts w:ascii="Arial" w:hAnsi="Arial" w:cs="Arial"/>
          <w:sz w:val="20"/>
        </w:rPr>
      </w:pPr>
    </w:p>
    <w:p w:rsidR="00E62D24" w:rsidRPr="00390130" w:rsidRDefault="001C6598" w:rsidP="00346796">
      <w:pPr>
        <w:pStyle w:val="Caption"/>
        <w:rPr>
          <w:rFonts w:cs="Arial"/>
        </w:rPr>
      </w:pPr>
      <w:bookmarkStart w:id="55" w:name="_Ref390071907"/>
      <w:r w:rsidRPr="00FF214D">
        <w:rPr>
          <w:rFonts w:cs="Arial"/>
        </w:rPr>
        <w:t xml:space="preserve">Equation </w:t>
      </w:r>
      <w:r w:rsidR="009861DE" w:rsidRPr="00390130">
        <w:rPr>
          <w:rFonts w:cs="Arial"/>
        </w:rPr>
        <w:fldChar w:fldCharType="begin"/>
      </w:r>
      <w:r w:rsidR="009861DE" w:rsidRPr="00390130">
        <w:rPr>
          <w:rFonts w:cs="Arial"/>
        </w:rPr>
        <w:instrText xml:space="preserve"> SEQ Equation \* ARABIC </w:instrText>
      </w:r>
      <w:r w:rsidR="009861DE" w:rsidRPr="00390130">
        <w:rPr>
          <w:rFonts w:cs="Arial"/>
        </w:rPr>
        <w:fldChar w:fldCharType="separate"/>
      </w:r>
      <w:r w:rsidR="00B82FAA" w:rsidRPr="00390130">
        <w:rPr>
          <w:rFonts w:cs="Arial"/>
          <w:noProof/>
        </w:rPr>
        <w:t>1</w:t>
      </w:r>
      <w:r w:rsidR="009861DE" w:rsidRPr="00390130">
        <w:rPr>
          <w:rFonts w:cs="Arial"/>
          <w:noProof/>
        </w:rPr>
        <w:fldChar w:fldCharType="end"/>
      </w:r>
      <w:bookmarkEnd w:id="55"/>
    </w:p>
    <w:p w:rsidR="00E62D24" w:rsidRPr="004D2BCB" w:rsidRDefault="00E62D24" w:rsidP="00E62D24">
      <w:pPr>
        <w:pStyle w:val="Default"/>
        <w:rPr>
          <w:rFonts w:ascii="Arial" w:hAnsi="Arial" w:cs="Arial"/>
        </w:rPr>
      </w:pPr>
      <w:r w:rsidRPr="00390130">
        <w:rPr>
          <w:rFonts w:ascii="Arial" w:hAnsi="Arial" w:cs="Arial"/>
          <w:position w:val="-6"/>
        </w:rPr>
        <w:object w:dxaOrig="4819"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pt;height:14.25pt" o:ole="">
            <v:imagedata r:id="rId16" o:title=""/>
          </v:shape>
          <o:OLEObject Type="Embed" ProgID="Equation.3" ShapeID="_x0000_i1025" DrawAspect="Content" ObjectID="_1511789442" r:id="rId17"/>
        </w:object>
      </w:r>
    </w:p>
    <w:p w:rsidR="00E62D24" w:rsidRPr="004D2BCB" w:rsidRDefault="00E62D24" w:rsidP="00E62D24">
      <w:pPr>
        <w:pStyle w:val="Default"/>
        <w:rPr>
          <w:rFonts w:ascii="Arial" w:hAnsi="Arial" w:cs="Arial"/>
        </w:rPr>
      </w:pPr>
    </w:p>
    <w:p w:rsidR="00E62D24" w:rsidRPr="004D2BCB" w:rsidRDefault="00E62D24" w:rsidP="00312A1F">
      <w:pPr>
        <w:jc w:val="both"/>
        <w:rPr>
          <w:rFonts w:ascii="Arial" w:hAnsi="Arial" w:cs="Arial"/>
          <w:sz w:val="20"/>
        </w:rPr>
      </w:pPr>
      <w:r w:rsidRPr="004D2BCB">
        <w:rPr>
          <w:rFonts w:ascii="Arial" w:hAnsi="Arial" w:cs="Arial"/>
          <w:sz w:val="20"/>
        </w:rPr>
        <w:t xml:space="preserve">Example Calculation: </w:t>
      </w:r>
      <w:r w:rsidRPr="00390130">
        <w:rPr>
          <w:rFonts w:ascii="Arial" w:hAnsi="Arial" w:cs="Arial"/>
          <w:sz w:val="20"/>
        </w:rPr>
        <w:object w:dxaOrig="1880" w:dyaOrig="279">
          <v:shape id="_x0000_i1026" type="#_x0000_t75" style="width:93.75pt;height:14.25pt" o:ole="">
            <v:imagedata r:id="rId18" o:title=""/>
          </v:shape>
          <o:OLEObject Type="Embed" ProgID="Equation.3" ShapeID="_x0000_i1026" DrawAspect="Content" ObjectID="_1511789443" r:id="rId19"/>
        </w:object>
      </w:r>
    </w:p>
    <w:p w:rsidR="00E62D24" w:rsidRPr="004D2BCB" w:rsidRDefault="00E62D24" w:rsidP="00E62D24">
      <w:pPr>
        <w:pStyle w:val="Default"/>
        <w:rPr>
          <w:rFonts w:ascii="Arial" w:hAnsi="Arial" w:cs="Arial"/>
        </w:rPr>
      </w:pPr>
    </w:p>
    <w:p w:rsidR="00E62D24" w:rsidRPr="004D2BCB" w:rsidRDefault="00E62D24" w:rsidP="00312A1F">
      <w:pPr>
        <w:jc w:val="both"/>
        <w:rPr>
          <w:rFonts w:ascii="Arial" w:hAnsi="Arial" w:cs="Arial"/>
          <w:sz w:val="20"/>
        </w:rPr>
      </w:pPr>
      <w:r w:rsidRPr="004D2BCB">
        <w:rPr>
          <w:rFonts w:ascii="Arial" w:hAnsi="Arial" w:cs="Arial"/>
          <w:sz w:val="20"/>
        </w:rPr>
        <w:t>Where:</w:t>
      </w:r>
    </w:p>
    <w:p w:rsidR="00E62D24" w:rsidRPr="004D2BCB" w:rsidRDefault="00E62D24" w:rsidP="00312A1F">
      <w:pPr>
        <w:pStyle w:val="Default"/>
        <w:ind w:left="2160" w:hanging="2160"/>
        <w:rPr>
          <w:rFonts w:ascii="Arial" w:hAnsi="Arial" w:cs="Arial"/>
          <w:color w:val="auto"/>
          <w:sz w:val="20"/>
        </w:rPr>
      </w:pPr>
      <w:r w:rsidRPr="004D2BCB">
        <w:rPr>
          <w:rFonts w:ascii="Arial" w:hAnsi="Arial" w:cs="Arial"/>
        </w:rPr>
        <w:t>∆</w:t>
      </w:r>
      <w:r w:rsidRPr="004D2BCB">
        <w:rPr>
          <w:rFonts w:ascii="Arial" w:hAnsi="Arial" w:cs="Arial"/>
          <w:color w:val="auto"/>
          <w:sz w:val="20"/>
        </w:rPr>
        <w:t>Watts/unit</w:t>
      </w:r>
      <w:r w:rsidRPr="004D2BCB">
        <w:rPr>
          <w:rFonts w:ascii="Arial" w:hAnsi="Arial" w:cs="Arial"/>
        </w:rPr>
        <w:t xml:space="preserve"> =</w:t>
      </w:r>
      <w:r w:rsidRPr="004D2BCB">
        <w:rPr>
          <w:rFonts w:ascii="Arial" w:hAnsi="Arial" w:cs="Arial"/>
        </w:rPr>
        <w:tab/>
      </w:r>
      <w:r w:rsidRPr="004D2BCB">
        <w:rPr>
          <w:rFonts w:ascii="Arial" w:hAnsi="Arial" w:cs="Arial"/>
          <w:color w:val="auto"/>
          <w:sz w:val="20"/>
        </w:rPr>
        <w:t>The difference between the electric demand of the base unit and the electric demand of the energy efficient unit.</w:t>
      </w:r>
    </w:p>
    <w:p w:rsidR="00E62D24" w:rsidRPr="004D2BCB" w:rsidRDefault="00E62D24" w:rsidP="00E62D24">
      <w:pPr>
        <w:pStyle w:val="Default"/>
        <w:ind w:left="2160" w:hanging="2160"/>
        <w:rPr>
          <w:rFonts w:ascii="Arial" w:hAnsi="Arial" w:cs="Arial"/>
        </w:rPr>
      </w:pPr>
    </w:p>
    <w:p w:rsidR="00E62D24" w:rsidRPr="004D2BCB" w:rsidRDefault="00E62D24" w:rsidP="00312A1F">
      <w:pPr>
        <w:ind w:left="2160" w:hanging="2160"/>
        <w:jc w:val="both"/>
        <w:rPr>
          <w:rFonts w:ascii="Arial" w:hAnsi="Arial" w:cs="Arial"/>
          <w:sz w:val="20"/>
        </w:rPr>
      </w:pPr>
      <w:r w:rsidRPr="004D2BCB">
        <w:rPr>
          <w:rFonts w:ascii="Arial" w:hAnsi="Arial" w:cs="Arial"/>
          <w:sz w:val="20"/>
        </w:rPr>
        <w:t>Base Case Watts =</w:t>
      </w:r>
      <w:r w:rsidRPr="004D2BCB">
        <w:rPr>
          <w:rFonts w:ascii="Arial" w:hAnsi="Arial" w:cs="Arial"/>
          <w:sz w:val="20"/>
        </w:rPr>
        <w:tab/>
        <w:t xml:space="preserve">The rated electric power demand of the base unit. This value will include the impact of ballasts on the system wattage when they are present. </w:t>
      </w:r>
    </w:p>
    <w:p w:rsidR="00E62D24" w:rsidRPr="004D2BCB" w:rsidRDefault="00E62D24" w:rsidP="00E62D24">
      <w:pPr>
        <w:pStyle w:val="Default"/>
        <w:rPr>
          <w:rFonts w:ascii="Arial" w:hAnsi="Arial" w:cs="Arial"/>
        </w:rPr>
      </w:pPr>
    </w:p>
    <w:p w:rsidR="00E62D24" w:rsidRPr="004D2BCB" w:rsidRDefault="00E62D24" w:rsidP="00312A1F">
      <w:pPr>
        <w:ind w:left="2160" w:hanging="2160"/>
        <w:jc w:val="both"/>
        <w:rPr>
          <w:rFonts w:ascii="Arial" w:hAnsi="Arial" w:cs="Arial"/>
          <w:sz w:val="20"/>
        </w:rPr>
      </w:pPr>
      <w:r w:rsidRPr="004D2BCB">
        <w:rPr>
          <w:rFonts w:ascii="Arial" w:hAnsi="Arial" w:cs="Arial"/>
          <w:sz w:val="20"/>
        </w:rPr>
        <w:t>Post Case Watts =</w:t>
      </w:r>
      <w:r w:rsidRPr="004D2BCB">
        <w:rPr>
          <w:rFonts w:ascii="Arial" w:hAnsi="Arial" w:cs="Arial"/>
          <w:sz w:val="20"/>
        </w:rPr>
        <w:tab/>
        <w:t xml:space="preserve">The electric power demand of the energy efficient unit as defined by the LM-79 testing protocol. </w:t>
      </w:r>
    </w:p>
    <w:p w:rsidR="00E62D24" w:rsidRPr="004D2BCB" w:rsidRDefault="00E62D24" w:rsidP="00312A1F">
      <w:pPr>
        <w:jc w:val="both"/>
        <w:rPr>
          <w:rFonts w:ascii="Arial" w:hAnsi="Arial" w:cs="Arial"/>
          <w:sz w:val="20"/>
        </w:rPr>
      </w:pPr>
    </w:p>
    <w:p w:rsidR="00E62D24" w:rsidRPr="004D2BCB" w:rsidRDefault="00E62D24" w:rsidP="00E62D24">
      <w:pPr>
        <w:pStyle w:val="Default"/>
        <w:rPr>
          <w:rFonts w:ascii="Arial" w:hAnsi="Arial" w:cs="Arial"/>
          <w:b/>
        </w:rPr>
      </w:pPr>
      <w:r w:rsidRPr="004D2BCB">
        <w:rPr>
          <w:rFonts w:ascii="Arial" w:hAnsi="Arial" w:cs="Arial"/>
          <w:b/>
        </w:rPr>
        <w:t xml:space="preserve">Annual Electric Savings: </w:t>
      </w:r>
    </w:p>
    <w:p w:rsidR="00E62D24" w:rsidRPr="004D2BCB" w:rsidRDefault="00E62D24" w:rsidP="00312A1F">
      <w:pPr>
        <w:jc w:val="both"/>
        <w:rPr>
          <w:rFonts w:ascii="Arial" w:hAnsi="Arial" w:cs="Arial"/>
          <w:sz w:val="20"/>
        </w:rPr>
      </w:pPr>
      <w:r w:rsidRPr="004D2BCB">
        <w:rPr>
          <w:rFonts w:ascii="Arial" w:hAnsi="Arial" w:cs="Arial"/>
          <w:sz w:val="20"/>
        </w:rPr>
        <w:t xml:space="preserve">Annual direct electric savings is calculated by multiplying the wattage difference calculated in </w:t>
      </w:r>
      <w:r w:rsidR="00E5030D" w:rsidRPr="00390130">
        <w:rPr>
          <w:rFonts w:ascii="Arial" w:hAnsi="Arial" w:cs="Arial"/>
          <w:sz w:val="20"/>
        </w:rPr>
        <w:fldChar w:fldCharType="begin"/>
      </w:r>
      <w:r w:rsidR="00E5030D" w:rsidRPr="004D2BCB">
        <w:rPr>
          <w:rFonts w:ascii="Arial" w:hAnsi="Arial" w:cs="Arial"/>
          <w:sz w:val="20"/>
        </w:rPr>
        <w:instrText xml:space="preserve"> REF _Ref390071907 \h  \* MERGEFORMAT </w:instrText>
      </w:r>
      <w:r w:rsidR="00E5030D" w:rsidRPr="00390130">
        <w:rPr>
          <w:rFonts w:ascii="Arial" w:hAnsi="Arial" w:cs="Arial"/>
          <w:sz w:val="20"/>
        </w:rPr>
      </w:r>
      <w:r w:rsidR="00E5030D" w:rsidRPr="00390130">
        <w:rPr>
          <w:rFonts w:ascii="Arial" w:hAnsi="Arial" w:cs="Arial"/>
          <w:sz w:val="20"/>
        </w:rPr>
        <w:fldChar w:fldCharType="separate"/>
      </w:r>
      <w:r w:rsidR="00B82FAA" w:rsidRPr="00390130">
        <w:rPr>
          <w:rFonts w:ascii="Arial" w:hAnsi="Arial" w:cs="Arial"/>
          <w:sz w:val="20"/>
          <w:szCs w:val="20"/>
        </w:rPr>
        <w:t xml:space="preserve">Equation </w:t>
      </w:r>
      <w:r w:rsidR="00B82FAA" w:rsidRPr="00390130">
        <w:rPr>
          <w:rFonts w:ascii="Arial" w:hAnsi="Arial" w:cs="Arial"/>
          <w:noProof/>
          <w:sz w:val="20"/>
          <w:szCs w:val="20"/>
        </w:rPr>
        <w:t>1</w:t>
      </w:r>
      <w:r w:rsidR="00E5030D" w:rsidRPr="00390130">
        <w:rPr>
          <w:rFonts w:ascii="Arial" w:hAnsi="Arial" w:cs="Arial"/>
          <w:sz w:val="20"/>
        </w:rPr>
        <w:fldChar w:fldCharType="end"/>
      </w:r>
      <w:r w:rsidR="00E5030D" w:rsidRPr="004D2BCB">
        <w:rPr>
          <w:rFonts w:ascii="Arial" w:hAnsi="Arial" w:cs="Arial"/>
          <w:sz w:val="20"/>
        </w:rPr>
        <w:t xml:space="preserve"> </w:t>
      </w:r>
      <w:r w:rsidRPr="004D2BCB">
        <w:rPr>
          <w:rFonts w:ascii="Arial" w:hAnsi="Arial" w:cs="Arial"/>
          <w:sz w:val="20"/>
        </w:rPr>
        <w:t>with the annual operating hours. A standard conversion factor is applied to arrive at the desired units.</w:t>
      </w:r>
    </w:p>
    <w:p w:rsidR="00E62D24" w:rsidRDefault="00E62D24" w:rsidP="00E62D24">
      <w:pPr>
        <w:ind w:left="1560" w:hanging="1560"/>
        <w:rPr>
          <w:rFonts w:ascii="Arial" w:hAnsi="Arial" w:cs="Arial"/>
        </w:rPr>
      </w:pPr>
    </w:p>
    <w:p w:rsidR="008D6F1D" w:rsidRDefault="008D6F1D" w:rsidP="00E62D24">
      <w:pPr>
        <w:ind w:left="1560" w:hanging="1560"/>
        <w:rPr>
          <w:rFonts w:ascii="Arial" w:hAnsi="Arial" w:cs="Arial"/>
        </w:rPr>
      </w:pPr>
    </w:p>
    <w:p w:rsidR="008D6F1D" w:rsidRDefault="008D6F1D" w:rsidP="00E62D24">
      <w:pPr>
        <w:ind w:left="1560" w:hanging="1560"/>
        <w:rPr>
          <w:rFonts w:ascii="Arial" w:hAnsi="Arial" w:cs="Arial"/>
        </w:rPr>
      </w:pPr>
    </w:p>
    <w:p w:rsidR="008D6F1D" w:rsidRDefault="008D6F1D" w:rsidP="00E62D24">
      <w:pPr>
        <w:ind w:left="1560" w:hanging="1560"/>
        <w:rPr>
          <w:rFonts w:ascii="Arial" w:hAnsi="Arial" w:cs="Arial"/>
        </w:rPr>
      </w:pPr>
    </w:p>
    <w:p w:rsidR="008D6F1D" w:rsidRPr="004D2BCB" w:rsidRDefault="008D6F1D" w:rsidP="00E62D24">
      <w:pPr>
        <w:ind w:left="1560" w:hanging="1560"/>
        <w:rPr>
          <w:rFonts w:ascii="Arial" w:hAnsi="Arial" w:cs="Arial"/>
        </w:rPr>
      </w:pPr>
    </w:p>
    <w:p w:rsidR="00E62D24" w:rsidRPr="00390130" w:rsidRDefault="00E62D24" w:rsidP="00346796">
      <w:pPr>
        <w:pStyle w:val="Caption"/>
        <w:rPr>
          <w:rFonts w:cs="Arial"/>
        </w:rPr>
      </w:pPr>
      <w:bookmarkStart w:id="56" w:name="_Toc288486322"/>
      <w:bookmarkStart w:id="57" w:name="_Toc288486419"/>
      <w:bookmarkStart w:id="58" w:name="_Ref287280475"/>
      <w:r w:rsidRPr="00FF214D">
        <w:rPr>
          <w:rFonts w:cs="Arial"/>
        </w:rPr>
        <w:lastRenderedPageBreak/>
        <w:t xml:space="preserve">Equation </w:t>
      </w:r>
      <w:r w:rsidR="009861DE" w:rsidRPr="00390130">
        <w:rPr>
          <w:rFonts w:cs="Arial"/>
        </w:rPr>
        <w:fldChar w:fldCharType="begin"/>
      </w:r>
      <w:r w:rsidR="009861DE" w:rsidRPr="00390130">
        <w:rPr>
          <w:rFonts w:cs="Arial"/>
        </w:rPr>
        <w:instrText xml:space="preserve"> SEQ Equation \* ARABIC </w:instrText>
      </w:r>
      <w:r w:rsidR="009861DE" w:rsidRPr="00390130">
        <w:rPr>
          <w:rFonts w:cs="Arial"/>
        </w:rPr>
        <w:fldChar w:fldCharType="separate"/>
      </w:r>
      <w:r w:rsidR="00B82FAA" w:rsidRPr="00390130">
        <w:rPr>
          <w:rFonts w:cs="Arial"/>
          <w:noProof/>
        </w:rPr>
        <w:t>2</w:t>
      </w:r>
      <w:bookmarkEnd w:id="56"/>
      <w:bookmarkEnd w:id="57"/>
      <w:r w:rsidR="009861DE" w:rsidRPr="00390130">
        <w:rPr>
          <w:rFonts w:cs="Arial"/>
          <w:noProof/>
        </w:rPr>
        <w:fldChar w:fldCharType="end"/>
      </w:r>
      <w:bookmarkEnd w:id="58"/>
    </w:p>
    <w:p w:rsidR="00E62D24" w:rsidRPr="004D2BCB" w:rsidRDefault="00E62D24" w:rsidP="00E62D24">
      <w:pPr>
        <w:ind w:left="1560" w:hanging="1560"/>
        <w:rPr>
          <w:rFonts w:ascii="Arial" w:hAnsi="Arial" w:cs="Arial"/>
        </w:rPr>
      </w:pPr>
      <w:r w:rsidRPr="00390130">
        <w:rPr>
          <w:rFonts w:ascii="Arial" w:hAnsi="Arial" w:cs="Arial"/>
          <w:position w:val="-30"/>
        </w:rPr>
        <w:object w:dxaOrig="7580" w:dyaOrig="720">
          <v:shape id="_x0000_i1027" type="#_x0000_t75" style="width:377.25pt;height:36pt" o:ole="">
            <v:imagedata r:id="rId20" o:title=""/>
          </v:shape>
          <o:OLEObject Type="Embed" ProgID="Equation.3" ShapeID="_x0000_i1027" DrawAspect="Content" ObjectID="_1511789444" r:id="rId21"/>
        </w:object>
      </w:r>
    </w:p>
    <w:p w:rsidR="00E62D24" w:rsidRPr="004D2BCB" w:rsidRDefault="00E62D24" w:rsidP="00E62D24">
      <w:pPr>
        <w:pStyle w:val="Default"/>
        <w:rPr>
          <w:rFonts w:ascii="Arial" w:hAnsi="Arial" w:cs="Arial"/>
        </w:rPr>
      </w:pPr>
    </w:p>
    <w:p w:rsidR="00E62D24" w:rsidRPr="004D2BCB" w:rsidRDefault="00E62D24" w:rsidP="00E62D24">
      <w:pPr>
        <w:pStyle w:val="Default"/>
        <w:ind w:left="720"/>
        <w:rPr>
          <w:rFonts w:ascii="Arial" w:hAnsi="Arial" w:cs="Arial"/>
        </w:rPr>
      </w:pPr>
      <w:r w:rsidRPr="004D2BCB">
        <w:rPr>
          <w:rFonts w:ascii="Arial" w:hAnsi="Arial" w:cs="Arial"/>
          <w:color w:val="auto"/>
          <w:sz w:val="20"/>
        </w:rPr>
        <w:t>Example Calculation</w:t>
      </w:r>
      <w:r w:rsidRPr="004D2BCB">
        <w:rPr>
          <w:rFonts w:ascii="Arial" w:hAnsi="Arial" w:cs="Arial"/>
        </w:rPr>
        <w:t xml:space="preserve">: </w:t>
      </w:r>
      <w:r w:rsidRPr="00390130">
        <w:rPr>
          <w:rFonts w:ascii="Arial" w:hAnsi="Arial" w:cs="Arial"/>
          <w:position w:val="-30"/>
        </w:rPr>
        <w:object w:dxaOrig="4099" w:dyaOrig="720">
          <v:shape id="_x0000_i1028" type="#_x0000_t75" style="width:210pt;height:36.75pt" o:ole="">
            <v:imagedata r:id="rId22" o:title=""/>
          </v:shape>
          <o:OLEObject Type="Embed" ProgID="Equation.3" ShapeID="_x0000_i1028" DrawAspect="Content" ObjectID="_1511789445" r:id="rId23"/>
        </w:object>
      </w:r>
    </w:p>
    <w:p w:rsidR="00E62D24" w:rsidRPr="004D2BCB" w:rsidRDefault="00E62D24" w:rsidP="00E62D24">
      <w:pPr>
        <w:pStyle w:val="Default"/>
        <w:rPr>
          <w:rFonts w:ascii="Arial" w:hAnsi="Arial" w:cs="Arial"/>
        </w:rPr>
      </w:pPr>
    </w:p>
    <w:p w:rsidR="00E62D24" w:rsidRPr="004D2BCB" w:rsidRDefault="00E62D24" w:rsidP="00312A1F">
      <w:pPr>
        <w:jc w:val="both"/>
        <w:rPr>
          <w:rFonts w:ascii="Arial" w:hAnsi="Arial" w:cs="Arial"/>
          <w:sz w:val="20"/>
        </w:rPr>
      </w:pPr>
      <w:r w:rsidRPr="004D2BCB">
        <w:rPr>
          <w:rFonts w:ascii="Arial" w:hAnsi="Arial" w:cs="Arial"/>
          <w:sz w:val="20"/>
        </w:rPr>
        <w:t>Where:</w:t>
      </w:r>
    </w:p>
    <w:p w:rsidR="00E62D24" w:rsidRPr="004D2BCB" w:rsidRDefault="00E62D24" w:rsidP="00312A1F">
      <w:pPr>
        <w:jc w:val="both"/>
        <w:rPr>
          <w:rFonts w:ascii="Arial" w:hAnsi="Arial" w:cs="Arial"/>
          <w:sz w:val="20"/>
        </w:rPr>
      </w:pPr>
      <w:r w:rsidRPr="004D2BCB">
        <w:rPr>
          <w:rFonts w:ascii="Arial" w:hAnsi="Arial" w:cs="Arial"/>
          <w:sz w:val="20"/>
        </w:rPr>
        <w:t>Direct Energy Savings =</w:t>
      </w:r>
      <w:r w:rsidRPr="004D2BCB">
        <w:rPr>
          <w:rFonts w:ascii="Arial" w:hAnsi="Arial" w:cs="Arial"/>
          <w:sz w:val="20"/>
        </w:rPr>
        <w:tab/>
      </w:r>
      <w:r w:rsidR="00312A1F" w:rsidRPr="004D2BCB">
        <w:rPr>
          <w:rFonts w:ascii="Arial" w:hAnsi="Arial" w:cs="Arial"/>
          <w:sz w:val="20"/>
        </w:rPr>
        <w:tab/>
      </w:r>
      <w:r w:rsidRPr="004D2BCB">
        <w:rPr>
          <w:rFonts w:ascii="Arial" w:hAnsi="Arial" w:cs="Arial"/>
          <w:sz w:val="20"/>
        </w:rPr>
        <w:t>The annual energy savings achieved per unit of implemented measure.</w:t>
      </w:r>
    </w:p>
    <w:p w:rsidR="00E62D24" w:rsidRPr="004D2BCB" w:rsidRDefault="00E62D24" w:rsidP="00312A1F">
      <w:pPr>
        <w:jc w:val="both"/>
        <w:rPr>
          <w:rFonts w:ascii="Arial" w:hAnsi="Arial" w:cs="Arial"/>
          <w:sz w:val="20"/>
        </w:rPr>
      </w:pPr>
    </w:p>
    <w:p w:rsidR="00E62D24" w:rsidRPr="004D2BCB" w:rsidRDefault="00E62D24" w:rsidP="00312A1F">
      <w:pPr>
        <w:ind w:left="2880" w:hanging="2880"/>
        <w:jc w:val="both"/>
        <w:rPr>
          <w:rFonts w:ascii="Arial" w:hAnsi="Arial" w:cs="Arial"/>
          <w:sz w:val="20"/>
        </w:rPr>
      </w:pPr>
      <w:r w:rsidRPr="004D2BCB">
        <w:rPr>
          <w:rFonts w:ascii="Arial" w:hAnsi="Arial" w:cs="Arial"/>
          <w:sz w:val="20"/>
        </w:rPr>
        <w:t>Annual Hours of Use =</w:t>
      </w:r>
      <w:r w:rsidRPr="004D2BCB">
        <w:rPr>
          <w:rFonts w:ascii="Arial" w:hAnsi="Arial" w:cs="Arial"/>
          <w:sz w:val="20"/>
        </w:rPr>
        <w:tab/>
        <w:t>The number of hours per year that the lighting fixture is expected to operate at full power in both the base and retrofit case. The value for this variable is from DEER 20</w:t>
      </w:r>
      <w:r w:rsidR="00AF7F49" w:rsidRPr="004D2BCB">
        <w:rPr>
          <w:rFonts w:ascii="Arial" w:hAnsi="Arial" w:cs="Arial"/>
          <w:sz w:val="20"/>
        </w:rPr>
        <w:t>16</w:t>
      </w:r>
      <w:r w:rsidRPr="004D2BCB">
        <w:rPr>
          <w:rFonts w:ascii="Arial" w:hAnsi="Arial" w:cs="Arial"/>
          <w:sz w:val="20"/>
        </w:rPr>
        <w:t xml:space="preserve"> and is specific to refrigerated spaces in grocery</w:t>
      </w:r>
      <w:r w:rsidRPr="004D2BCB">
        <w:rPr>
          <w:rFonts w:ascii="Arial" w:hAnsi="Arial" w:cs="Arial"/>
        </w:rPr>
        <w:t xml:space="preserve"> </w:t>
      </w:r>
      <w:r w:rsidRPr="004D2BCB">
        <w:rPr>
          <w:rFonts w:ascii="Arial" w:hAnsi="Arial" w:cs="Arial"/>
          <w:sz w:val="20"/>
        </w:rPr>
        <w:t xml:space="preserve">buildings. </w:t>
      </w:r>
    </w:p>
    <w:p w:rsidR="00E34E2E" w:rsidRPr="004D2BCB" w:rsidRDefault="00E34E2E" w:rsidP="00E62D24">
      <w:pPr>
        <w:pStyle w:val="Default"/>
        <w:ind w:left="2880" w:hanging="2880"/>
        <w:rPr>
          <w:rFonts w:ascii="Arial" w:hAnsi="Arial" w:cs="Arial"/>
        </w:rPr>
      </w:pPr>
    </w:p>
    <w:p w:rsidR="00E5030D" w:rsidRPr="004D2BCB" w:rsidRDefault="00E5030D" w:rsidP="00E62D24">
      <w:pPr>
        <w:pStyle w:val="Default"/>
        <w:ind w:left="2880" w:hanging="2880"/>
        <w:rPr>
          <w:rFonts w:ascii="Arial" w:hAnsi="Arial" w:cs="Arial"/>
        </w:rPr>
      </w:pPr>
    </w:p>
    <w:p w:rsidR="00E5030D" w:rsidRPr="004D2BCB" w:rsidRDefault="00E5030D" w:rsidP="00E62D24">
      <w:pPr>
        <w:pStyle w:val="Default"/>
        <w:ind w:left="2880" w:hanging="2880"/>
        <w:rPr>
          <w:rFonts w:ascii="Arial" w:hAnsi="Arial" w:cs="Arial"/>
        </w:rPr>
      </w:pPr>
    </w:p>
    <w:p w:rsidR="00E5030D" w:rsidRPr="004D2BCB" w:rsidRDefault="00E5030D" w:rsidP="00312A1F">
      <w:pPr>
        <w:jc w:val="both"/>
        <w:rPr>
          <w:rFonts w:ascii="Arial" w:hAnsi="Arial" w:cs="Arial"/>
          <w:sz w:val="20"/>
        </w:rPr>
      </w:pPr>
    </w:p>
    <w:p w:rsidR="00E34E2E" w:rsidRPr="004D2BCB" w:rsidRDefault="00E62D24" w:rsidP="00312A1F">
      <w:pPr>
        <w:jc w:val="both"/>
        <w:rPr>
          <w:rFonts w:ascii="Arial" w:hAnsi="Arial" w:cs="Arial"/>
          <w:sz w:val="20"/>
        </w:rPr>
      </w:pPr>
      <w:r w:rsidRPr="004D2BCB">
        <w:rPr>
          <w:rFonts w:ascii="Arial" w:hAnsi="Arial" w:cs="Arial"/>
          <w:sz w:val="20"/>
        </w:rPr>
        <w:t xml:space="preserve">Annual indirect electric savings occur as a result of a reduced load on the refrigeration system conditioning the walk-in case where the LED lighting is retrofit. The indirect savings value is calculated by converting the direct energy savings calculated in </w:t>
      </w:r>
      <w:r w:rsidR="007C4B11" w:rsidRPr="00390130">
        <w:rPr>
          <w:rFonts w:ascii="Arial" w:hAnsi="Arial" w:cs="Arial"/>
          <w:sz w:val="20"/>
        </w:rPr>
        <w:fldChar w:fldCharType="begin"/>
      </w:r>
      <w:r w:rsidR="007C4B11" w:rsidRPr="004D2BCB">
        <w:rPr>
          <w:rFonts w:ascii="Arial" w:hAnsi="Arial" w:cs="Arial"/>
          <w:sz w:val="20"/>
        </w:rPr>
        <w:instrText xml:space="preserve"> REF _Ref287280475 \h  \* MERGEFORMAT </w:instrText>
      </w:r>
      <w:r w:rsidR="007C4B11" w:rsidRPr="00390130">
        <w:rPr>
          <w:rFonts w:ascii="Arial" w:hAnsi="Arial" w:cs="Arial"/>
          <w:sz w:val="20"/>
        </w:rPr>
      </w:r>
      <w:r w:rsidR="007C4B11" w:rsidRPr="00390130">
        <w:rPr>
          <w:rFonts w:ascii="Arial" w:hAnsi="Arial" w:cs="Arial"/>
          <w:sz w:val="20"/>
        </w:rPr>
        <w:fldChar w:fldCharType="separate"/>
      </w:r>
      <w:r w:rsidR="00B82FAA" w:rsidRPr="00390130">
        <w:rPr>
          <w:rFonts w:ascii="Arial" w:hAnsi="Arial" w:cs="Arial"/>
          <w:sz w:val="20"/>
        </w:rPr>
        <w:t>Equation 2</w:t>
      </w:r>
      <w:r w:rsidR="007C4B11" w:rsidRPr="00390130">
        <w:rPr>
          <w:rFonts w:ascii="Arial" w:hAnsi="Arial" w:cs="Arial"/>
          <w:sz w:val="20"/>
        </w:rPr>
        <w:fldChar w:fldCharType="end"/>
      </w:r>
      <w:r w:rsidRPr="004D2BCB">
        <w:rPr>
          <w:rFonts w:ascii="Arial" w:hAnsi="Arial" w:cs="Arial"/>
          <w:sz w:val="20"/>
        </w:rPr>
        <w:t xml:space="preserve"> into a refrigeration load (Btu/yr) and dividing by the refrigeration system annual energy efficiency ratio (EER). The implicit assumption is that all energy consumed by the lighting fixture is converted to heat that must be rejected by the refrigeration system.</w:t>
      </w:r>
      <w:bookmarkStart w:id="59" w:name="_Toc288486323"/>
      <w:bookmarkStart w:id="60" w:name="_Toc288486420"/>
      <w:bookmarkStart w:id="61" w:name="_Ref287280546"/>
    </w:p>
    <w:p w:rsidR="00C670DF" w:rsidRPr="004D2BCB" w:rsidRDefault="00C670DF" w:rsidP="00312A1F">
      <w:pPr>
        <w:jc w:val="both"/>
        <w:rPr>
          <w:rFonts w:ascii="Arial" w:hAnsi="Arial" w:cs="Arial"/>
          <w:sz w:val="20"/>
        </w:rPr>
      </w:pPr>
    </w:p>
    <w:p w:rsidR="00C670DF" w:rsidRPr="004D2BCB" w:rsidRDefault="00C670DF" w:rsidP="00312A1F">
      <w:pPr>
        <w:jc w:val="both"/>
        <w:rPr>
          <w:rFonts w:ascii="Arial" w:hAnsi="Arial" w:cs="Arial"/>
          <w:sz w:val="20"/>
        </w:rPr>
      </w:pPr>
    </w:p>
    <w:p w:rsidR="00C670DF" w:rsidRPr="004D2BCB" w:rsidRDefault="00C670DF" w:rsidP="00312A1F">
      <w:pPr>
        <w:jc w:val="both"/>
        <w:rPr>
          <w:rFonts w:ascii="Arial" w:hAnsi="Arial" w:cs="Arial"/>
          <w:sz w:val="20"/>
        </w:rPr>
      </w:pPr>
    </w:p>
    <w:p w:rsidR="00C670DF" w:rsidRPr="004D2BCB" w:rsidRDefault="00C670DF" w:rsidP="00312A1F">
      <w:pPr>
        <w:jc w:val="both"/>
        <w:rPr>
          <w:rFonts w:ascii="Arial" w:hAnsi="Arial" w:cs="Arial"/>
          <w:sz w:val="20"/>
        </w:rPr>
      </w:pPr>
    </w:p>
    <w:p w:rsidR="00C670DF" w:rsidRPr="004D2BCB" w:rsidRDefault="00C670DF" w:rsidP="00312A1F">
      <w:pPr>
        <w:jc w:val="both"/>
        <w:rPr>
          <w:rFonts w:ascii="Arial" w:hAnsi="Arial" w:cs="Arial"/>
          <w:sz w:val="20"/>
        </w:rPr>
      </w:pPr>
    </w:p>
    <w:p w:rsidR="00E34E2E" w:rsidRPr="00FF214D" w:rsidRDefault="00E34E2E" w:rsidP="00346796">
      <w:pPr>
        <w:pStyle w:val="Caption"/>
        <w:rPr>
          <w:rFonts w:cs="Arial"/>
        </w:rPr>
      </w:pPr>
    </w:p>
    <w:p w:rsidR="00E62D24" w:rsidRPr="00390130" w:rsidRDefault="00E62D24" w:rsidP="00346796">
      <w:pPr>
        <w:pStyle w:val="Caption"/>
        <w:rPr>
          <w:rFonts w:cs="Arial"/>
          <w:sz w:val="24"/>
          <w:szCs w:val="24"/>
        </w:rPr>
      </w:pPr>
      <w:r w:rsidRPr="00390130">
        <w:rPr>
          <w:rFonts w:cs="Arial"/>
        </w:rPr>
        <w:t xml:space="preserve">Equation </w:t>
      </w:r>
      <w:r w:rsidR="009861DE" w:rsidRPr="00390130">
        <w:rPr>
          <w:rFonts w:cs="Arial"/>
        </w:rPr>
        <w:fldChar w:fldCharType="begin"/>
      </w:r>
      <w:r w:rsidR="009861DE" w:rsidRPr="00390130">
        <w:rPr>
          <w:rFonts w:cs="Arial"/>
        </w:rPr>
        <w:instrText xml:space="preserve"> SEQ Equation \* ARABIC </w:instrText>
      </w:r>
      <w:r w:rsidR="009861DE" w:rsidRPr="00390130">
        <w:rPr>
          <w:rFonts w:cs="Arial"/>
        </w:rPr>
        <w:fldChar w:fldCharType="separate"/>
      </w:r>
      <w:r w:rsidR="00B82FAA" w:rsidRPr="00390130">
        <w:rPr>
          <w:rFonts w:cs="Arial"/>
          <w:noProof/>
        </w:rPr>
        <w:t>3</w:t>
      </w:r>
      <w:bookmarkEnd w:id="59"/>
      <w:bookmarkEnd w:id="60"/>
      <w:r w:rsidR="009861DE" w:rsidRPr="00390130">
        <w:rPr>
          <w:rFonts w:cs="Arial"/>
          <w:noProof/>
        </w:rPr>
        <w:fldChar w:fldCharType="end"/>
      </w:r>
      <w:bookmarkEnd w:id="61"/>
    </w:p>
    <w:p w:rsidR="00E62D24" w:rsidRPr="004D2BCB" w:rsidRDefault="00E62D24" w:rsidP="00E62D24">
      <w:pPr>
        <w:rPr>
          <w:rFonts w:ascii="Arial" w:hAnsi="Arial" w:cs="Arial"/>
        </w:rPr>
      </w:pPr>
      <w:r w:rsidRPr="00390130">
        <w:rPr>
          <w:rFonts w:ascii="Arial" w:hAnsi="Arial" w:cs="Arial"/>
          <w:position w:val="-32"/>
        </w:rPr>
        <w:object w:dxaOrig="7960" w:dyaOrig="740">
          <v:shape id="_x0000_i1029" type="#_x0000_t75" style="width:398.25pt;height:36.75pt" o:ole="">
            <v:imagedata r:id="rId24" o:title=""/>
          </v:shape>
          <o:OLEObject Type="Embed" ProgID="Equation.3" ShapeID="_x0000_i1029" DrawAspect="Content" ObjectID="_1511789446" r:id="rId25"/>
        </w:object>
      </w:r>
    </w:p>
    <w:p w:rsidR="00E62D24" w:rsidRPr="004D2BCB" w:rsidRDefault="00E62D24" w:rsidP="00E62D24">
      <w:pPr>
        <w:pStyle w:val="Default"/>
        <w:ind w:left="720"/>
        <w:rPr>
          <w:rFonts w:ascii="Arial" w:hAnsi="Arial" w:cs="Arial"/>
        </w:rPr>
      </w:pPr>
      <w:bookmarkStart w:id="62" w:name="_Toc287282279"/>
    </w:p>
    <w:p w:rsidR="00E62D24" w:rsidRPr="004D2BCB" w:rsidRDefault="00E62D24" w:rsidP="00E62D24">
      <w:pPr>
        <w:pStyle w:val="Default"/>
        <w:ind w:left="720"/>
        <w:rPr>
          <w:rFonts w:ascii="Arial" w:hAnsi="Arial" w:cs="Arial"/>
        </w:rPr>
      </w:pPr>
      <w:r w:rsidRPr="004D2BCB">
        <w:rPr>
          <w:rFonts w:ascii="Arial" w:hAnsi="Arial" w:cs="Arial"/>
        </w:rPr>
        <w:t xml:space="preserve">Example Calculation: </w:t>
      </w:r>
      <w:r w:rsidRPr="00390130">
        <w:rPr>
          <w:rFonts w:ascii="Arial" w:hAnsi="Arial" w:cs="Arial"/>
          <w:position w:val="-30"/>
        </w:rPr>
        <w:object w:dxaOrig="4860" w:dyaOrig="999">
          <v:shape id="_x0000_i1030" type="#_x0000_t75" style="width:249.75pt;height:51pt" o:ole="">
            <v:imagedata r:id="rId26" o:title=""/>
          </v:shape>
          <o:OLEObject Type="Embed" ProgID="Equation.3" ShapeID="_x0000_i1030" DrawAspect="Content" ObjectID="_1511789447" r:id="rId27"/>
        </w:object>
      </w:r>
    </w:p>
    <w:p w:rsidR="00E62D24" w:rsidRPr="004D2BCB" w:rsidRDefault="00E62D24" w:rsidP="00312A1F">
      <w:pPr>
        <w:jc w:val="both"/>
        <w:rPr>
          <w:rFonts w:ascii="Arial" w:hAnsi="Arial" w:cs="Arial"/>
          <w:sz w:val="20"/>
        </w:rPr>
      </w:pPr>
      <w:bookmarkStart w:id="63" w:name="_Toc288134973"/>
      <w:bookmarkStart w:id="64" w:name="_Toc288486307"/>
      <w:bookmarkStart w:id="65" w:name="_Toc288486477"/>
      <w:r w:rsidRPr="004D2BCB">
        <w:rPr>
          <w:rFonts w:ascii="Arial" w:hAnsi="Arial" w:cs="Arial"/>
          <w:sz w:val="20"/>
        </w:rPr>
        <w:t>Where:</w:t>
      </w:r>
      <w:bookmarkEnd w:id="62"/>
      <w:bookmarkEnd w:id="63"/>
      <w:bookmarkEnd w:id="64"/>
      <w:bookmarkEnd w:id="65"/>
    </w:p>
    <w:p w:rsidR="00E62D24" w:rsidRPr="004D2BCB" w:rsidRDefault="00E62D24" w:rsidP="00312A1F">
      <w:pPr>
        <w:jc w:val="both"/>
        <w:rPr>
          <w:rFonts w:ascii="Arial" w:hAnsi="Arial" w:cs="Arial"/>
          <w:sz w:val="20"/>
        </w:rPr>
      </w:pPr>
      <w:r w:rsidRPr="004D2BCB">
        <w:rPr>
          <w:rFonts w:ascii="Arial" w:hAnsi="Arial" w:cs="Arial"/>
        </w:rPr>
        <w:t>EER</w:t>
      </w:r>
      <w:r w:rsidRPr="004D2BCB">
        <w:rPr>
          <w:rFonts w:ascii="Arial" w:hAnsi="Arial" w:cs="Arial"/>
          <w:vertAlign w:val="subscript"/>
        </w:rPr>
        <w:t>Average</w:t>
      </w:r>
      <w:r w:rsidRPr="004D2BCB">
        <w:rPr>
          <w:rFonts w:ascii="Arial" w:hAnsi="Arial" w:cs="Arial"/>
        </w:rPr>
        <w:t xml:space="preserve"> =</w:t>
      </w:r>
      <w:r w:rsidRPr="004D2BCB">
        <w:rPr>
          <w:rFonts w:ascii="Arial" w:hAnsi="Arial" w:cs="Arial"/>
        </w:rPr>
        <w:tab/>
      </w:r>
      <w:r w:rsidRPr="004D2BCB">
        <w:rPr>
          <w:rFonts w:ascii="Arial" w:hAnsi="Arial" w:cs="Arial"/>
        </w:rPr>
        <w:tab/>
      </w:r>
      <w:r w:rsidRPr="004D2BCB">
        <w:rPr>
          <w:rFonts w:ascii="Arial" w:hAnsi="Arial" w:cs="Arial"/>
          <w:sz w:val="20"/>
        </w:rPr>
        <w:t xml:space="preserve">The ratio of total heat rejected by the refrigeration system over the </w:t>
      </w:r>
    </w:p>
    <w:p w:rsidR="00E62D24" w:rsidRPr="004D2BCB" w:rsidRDefault="00E62D24" w:rsidP="00312A1F">
      <w:pPr>
        <w:ind w:left="2160"/>
        <w:jc w:val="both"/>
        <w:rPr>
          <w:rFonts w:ascii="Arial" w:hAnsi="Arial" w:cs="Arial"/>
          <w:sz w:val="20"/>
        </w:rPr>
      </w:pPr>
      <w:r w:rsidRPr="004D2BCB">
        <w:rPr>
          <w:rFonts w:ascii="Arial" w:hAnsi="Arial" w:cs="Arial"/>
          <w:sz w:val="20"/>
        </w:rPr>
        <w:t xml:space="preserve">course of a year to the power consumed by the system over the same time period.  A separate value is used to represent medium and low temperature refrigeration systems. </w:t>
      </w:r>
    </w:p>
    <w:p w:rsidR="001C6598" w:rsidRPr="004D2BCB" w:rsidRDefault="001C6598" w:rsidP="001C6598">
      <w:pPr>
        <w:rPr>
          <w:rFonts w:ascii="Arial" w:hAnsi="Arial" w:cs="Arial"/>
        </w:rPr>
      </w:pPr>
      <w:bookmarkStart w:id="66" w:name="_Toc287282280"/>
      <w:bookmarkStart w:id="67" w:name="_Toc288134974"/>
      <w:bookmarkStart w:id="68" w:name="_Toc288486308"/>
      <w:bookmarkStart w:id="69" w:name="_Toc288486478"/>
    </w:p>
    <w:p w:rsidR="00E62D24" w:rsidRDefault="00E62D24" w:rsidP="00312A1F">
      <w:pPr>
        <w:jc w:val="both"/>
        <w:rPr>
          <w:rFonts w:ascii="Arial" w:hAnsi="Arial" w:cs="Arial"/>
          <w:sz w:val="20"/>
        </w:rPr>
      </w:pPr>
      <w:r w:rsidRPr="004D2BCB">
        <w:rPr>
          <w:rFonts w:ascii="Arial" w:hAnsi="Arial" w:cs="Arial"/>
          <w:sz w:val="20"/>
        </w:rPr>
        <w:t xml:space="preserve">Total annual electric savings is calculated as the sum of the direct and indirect electric savings values calculated in </w:t>
      </w:r>
      <w:r w:rsidR="007C4B11" w:rsidRPr="00390130">
        <w:rPr>
          <w:rFonts w:ascii="Arial" w:hAnsi="Arial" w:cs="Arial"/>
          <w:sz w:val="20"/>
        </w:rPr>
        <w:fldChar w:fldCharType="begin"/>
      </w:r>
      <w:r w:rsidR="007C4B11" w:rsidRPr="004D2BCB">
        <w:rPr>
          <w:rFonts w:ascii="Arial" w:hAnsi="Arial" w:cs="Arial"/>
          <w:sz w:val="20"/>
        </w:rPr>
        <w:instrText xml:space="preserve"> REF _Ref287280475 \h  \* MERGEFORMAT </w:instrText>
      </w:r>
      <w:r w:rsidR="007C4B11" w:rsidRPr="00390130">
        <w:rPr>
          <w:rFonts w:ascii="Arial" w:hAnsi="Arial" w:cs="Arial"/>
          <w:sz w:val="20"/>
        </w:rPr>
      </w:r>
      <w:r w:rsidR="007C4B11" w:rsidRPr="00390130">
        <w:rPr>
          <w:rFonts w:ascii="Arial" w:hAnsi="Arial" w:cs="Arial"/>
          <w:sz w:val="20"/>
        </w:rPr>
        <w:fldChar w:fldCharType="separate"/>
      </w:r>
      <w:r w:rsidR="00B82FAA" w:rsidRPr="00390130">
        <w:rPr>
          <w:rFonts w:ascii="Arial" w:hAnsi="Arial" w:cs="Arial"/>
          <w:sz w:val="20"/>
        </w:rPr>
        <w:t>Equation 2</w:t>
      </w:r>
      <w:r w:rsidR="007C4B11" w:rsidRPr="00390130">
        <w:rPr>
          <w:rFonts w:ascii="Arial" w:hAnsi="Arial" w:cs="Arial"/>
          <w:sz w:val="20"/>
        </w:rPr>
        <w:fldChar w:fldCharType="end"/>
      </w:r>
      <w:r w:rsidRPr="004D2BCB">
        <w:rPr>
          <w:rFonts w:ascii="Arial" w:hAnsi="Arial" w:cs="Arial"/>
          <w:sz w:val="20"/>
        </w:rPr>
        <w:t xml:space="preserve"> and respectively.</w:t>
      </w:r>
      <w:bookmarkEnd w:id="66"/>
      <w:bookmarkEnd w:id="67"/>
      <w:bookmarkEnd w:id="68"/>
      <w:bookmarkEnd w:id="69"/>
    </w:p>
    <w:p w:rsidR="008D6F1D" w:rsidRDefault="008D6F1D" w:rsidP="00312A1F">
      <w:pPr>
        <w:jc w:val="both"/>
        <w:rPr>
          <w:rFonts w:ascii="Arial" w:hAnsi="Arial" w:cs="Arial"/>
          <w:sz w:val="20"/>
        </w:rPr>
      </w:pPr>
    </w:p>
    <w:p w:rsidR="008D6F1D" w:rsidRDefault="008D6F1D" w:rsidP="00312A1F">
      <w:pPr>
        <w:jc w:val="both"/>
        <w:rPr>
          <w:rFonts w:ascii="Arial" w:hAnsi="Arial" w:cs="Arial"/>
          <w:sz w:val="20"/>
        </w:rPr>
      </w:pPr>
    </w:p>
    <w:p w:rsidR="008D6F1D" w:rsidRDefault="008D6F1D" w:rsidP="00312A1F">
      <w:pPr>
        <w:jc w:val="both"/>
        <w:rPr>
          <w:rFonts w:ascii="Arial" w:hAnsi="Arial" w:cs="Arial"/>
          <w:sz w:val="20"/>
        </w:rPr>
      </w:pPr>
    </w:p>
    <w:p w:rsidR="008D6F1D" w:rsidRPr="004D2BCB" w:rsidRDefault="008D6F1D" w:rsidP="00312A1F">
      <w:pPr>
        <w:jc w:val="both"/>
        <w:rPr>
          <w:rFonts w:ascii="Arial" w:hAnsi="Arial" w:cs="Arial"/>
          <w:sz w:val="20"/>
        </w:rPr>
      </w:pPr>
    </w:p>
    <w:p w:rsidR="00E62D24" w:rsidRPr="004D2BCB" w:rsidRDefault="00E62D24" w:rsidP="00312A1F">
      <w:pPr>
        <w:jc w:val="both"/>
        <w:rPr>
          <w:rFonts w:ascii="Arial" w:hAnsi="Arial" w:cs="Arial"/>
          <w:sz w:val="20"/>
        </w:rPr>
      </w:pPr>
    </w:p>
    <w:p w:rsidR="00E62D24" w:rsidRPr="00390130" w:rsidRDefault="00E62D24" w:rsidP="00346796">
      <w:pPr>
        <w:pStyle w:val="Caption"/>
        <w:rPr>
          <w:rFonts w:cs="Arial"/>
        </w:rPr>
      </w:pPr>
      <w:bookmarkStart w:id="70" w:name="_Toc288486324"/>
      <w:bookmarkStart w:id="71" w:name="_Toc288486421"/>
      <w:bookmarkStart w:id="72" w:name="_Ref437956004"/>
      <w:r w:rsidRPr="00FF214D">
        <w:rPr>
          <w:rFonts w:cs="Arial"/>
        </w:rPr>
        <w:lastRenderedPageBreak/>
        <w:t xml:space="preserve">Equation </w:t>
      </w:r>
      <w:r w:rsidR="009861DE" w:rsidRPr="00390130">
        <w:rPr>
          <w:rFonts w:cs="Arial"/>
        </w:rPr>
        <w:fldChar w:fldCharType="begin"/>
      </w:r>
      <w:r w:rsidR="009861DE" w:rsidRPr="00390130">
        <w:rPr>
          <w:rFonts w:cs="Arial"/>
        </w:rPr>
        <w:instrText xml:space="preserve"> SEQ Equation \* ARABIC </w:instrText>
      </w:r>
      <w:r w:rsidR="009861DE" w:rsidRPr="00390130">
        <w:rPr>
          <w:rFonts w:cs="Arial"/>
        </w:rPr>
        <w:fldChar w:fldCharType="separate"/>
      </w:r>
      <w:r w:rsidR="00B82FAA" w:rsidRPr="00390130">
        <w:rPr>
          <w:rFonts w:cs="Arial"/>
          <w:noProof/>
        </w:rPr>
        <w:t>4</w:t>
      </w:r>
      <w:bookmarkEnd w:id="70"/>
      <w:bookmarkEnd w:id="71"/>
      <w:r w:rsidR="009861DE" w:rsidRPr="00390130">
        <w:rPr>
          <w:rFonts w:cs="Arial"/>
          <w:noProof/>
        </w:rPr>
        <w:fldChar w:fldCharType="end"/>
      </w:r>
      <w:bookmarkEnd w:id="72"/>
    </w:p>
    <w:p w:rsidR="00E62D24" w:rsidRPr="004D2BCB" w:rsidRDefault="00E62D24" w:rsidP="00E62D24">
      <w:pPr>
        <w:rPr>
          <w:rFonts w:ascii="Arial" w:hAnsi="Arial" w:cs="Arial"/>
        </w:rPr>
      </w:pPr>
      <w:r w:rsidRPr="00390130">
        <w:rPr>
          <w:rFonts w:ascii="Arial" w:hAnsi="Arial" w:cs="Arial"/>
          <w:position w:val="-30"/>
        </w:rPr>
        <w:object w:dxaOrig="8340" w:dyaOrig="720">
          <v:shape id="_x0000_i1031" type="#_x0000_t75" style="width:416.25pt;height:36pt" o:ole="">
            <v:imagedata r:id="rId28" o:title=""/>
          </v:shape>
          <o:OLEObject Type="Embed" ProgID="Equation.3" ShapeID="_x0000_i1031" DrawAspect="Content" ObjectID="_1511789448" r:id="rId29"/>
        </w:object>
      </w:r>
    </w:p>
    <w:p w:rsidR="00E62D24" w:rsidRPr="004D2BCB" w:rsidRDefault="00E62D24" w:rsidP="00E62D24">
      <w:pPr>
        <w:rPr>
          <w:rFonts w:ascii="Arial" w:hAnsi="Arial" w:cs="Arial"/>
        </w:rPr>
      </w:pPr>
    </w:p>
    <w:p w:rsidR="00E62D24" w:rsidRPr="004D2BCB" w:rsidRDefault="00E62D24" w:rsidP="00E62D24">
      <w:pPr>
        <w:pStyle w:val="Default"/>
        <w:ind w:left="720"/>
        <w:rPr>
          <w:rFonts w:ascii="Arial" w:hAnsi="Arial" w:cs="Arial"/>
        </w:rPr>
      </w:pPr>
      <w:r w:rsidRPr="004D2BCB">
        <w:rPr>
          <w:rFonts w:ascii="Arial" w:hAnsi="Arial" w:cs="Arial"/>
          <w:color w:val="auto"/>
          <w:sz w:val="20"/>
        </w:rPr>
        <w:t>Example Calculation</w:t>
      </w:r>
      <w:r w:rsidRPr="004D2BCB">
        <w:rPr>
          <w:rFonts w:ascii="Arial" w:hAnsi="Arial" w:cs="Arial"/>
        </w:rPr>
        <w:t xml:space="preserve">: </w:t>
      </w:r>
      <w:r w:rsidRPr="00390130">
        <w:rPr>
          <w:rFonts w:ascii="Arial" w:hAnsi="Arial" w:cs="Arial"/>
          <w:position w:val="-30"/>
        </w:rPr>
        <w:object w:dxaOrig="5160" w:dyaOrig="720">
          <v:shape id="_x0000_i1032" type="#_x0000_t75" style="width:265.5pt;height:36.75pt" o:ole="">
            <v:imagedata r:id="rId30" o:title=""/>
          </v:shape>
          <o:OLEObject Type="Embed" ProgID="Equation.3" ShapeID="_x0000_i1032" DrawAspect="Content" ObjectID="_1511789449" r:id="rId31"/>
        </w:object>
      </w:r>
    </w:p>
    <w:p w:rsidR="00E62D24" w:rsidRPr="004D2BCB" w:rsidRDefault="00E62D24" w:rsidP="00E62D24">
      <w:pPr>
        <w:pStyle w:val="Default"/>
        <w:ind w:left="720"/>
        <w:rPr>
          <w:rFonts w:ascii="Arial" w:hAnsi="Arial" w:cs="Arial"/>
        </w:rPr>
      </w:pPr>
    </w:p>
    <w:p w:rsidR="00014EA8" w:rsidRPr="004D2BCB" w:rsidRDefault="00014EA8" w:rsidP="00126A4E">
      <w:pPr>
        <w:rPr>
          <w:rFonts w:ascii="Arial" w:hAnsi="Arial" w:cs="Arial"/>
          <w:i/>
        </w:rPr>
      </w:pPr>
    </w:p>
    <w:p w:rsidR="000F11DD" w:rsidRPr="004D2BCB" w:rsidRDefault="000F11DD" w:rsidP="00E23EC3">
      <w:pPr>
        <w:rPr>
          <w:rFonts w:ascii="Arial" w:hAnsi="Arial" w:cs="Arial"/>
          <w:sz w:val="20"/>
          <w:szCs w:val="20"/>
        </w:rPr>
      </w:pPr>
    </w:p>
    <w:p w:rsidR="00A95746" w:rsidRPr="004D2BCB" w:rsidRDefault="0030550A" w:rsidP="00BF17F6">
      <w:pPr>
        <w:pStyle w:val="Heading2"/>
        <w:keepNext w:val="0"/>
      </w:pPr>
      <w:bookmarkStart w:id="73" w:name="_Toc438047472"/>
      <w:r w:rsidRPr="004D2BCB">
        <w:t>2.2 Demand R</w:t>
      </w:r>
      <w:r w:rsidR="00C069A2" w:rsidRPr="004D2BCB">
        <w:t>eduction Estimation Methodologies</w:t>
      </w:r>
      <w:bookmarkEnd w:id="73"/>
    </w:p>
    <w:p w:rsidR="00A95746" w:rsidRPr="004D2BCB" w:rsidRDefault="00B0397A" w:rsidP="00312A1F">
      <w:pPr>
        <w:jc w:val="both"/>
        <w:rPr>
          <w:rFonts w:ascii="Arial" w:hAnsi="Arial" w:cs="Arial"/>
          <w:sz w:val="20"/>
        </w:rPr>
      </w:pPr>
      <w:r w:rsidRPr="004D2BCB">
        <w:rPr>
          <w:rFonts w:ascii="Arial" w:hAnsi="Arial" w:cs="Arial"/>
          <w:sz w:val="20"/>
        </w:rPr>
        <w:t>N</w:t>
      </w:r>
      <w:r w:rsidR="00BF17F6" w:rsidRPr="004D2BCB">
        <w:rPr>
          <w:rFonts w:ascii="Arial" w:hAnsi="Arial" w:cs="Arial"/>
          <w:sz w:val="20"/>
        </w:rPr>
        <w:t xml:space="preserve">o state or federal codes guide the energy efficiency standards for lighting in existing walk-in freezers and coolers. Therefore there is a single baseline that spans the effective useful life of the measure. </w:t>
      </w:r>
      <w:r w:rsidR="00A95746" w:rsidRPr="004D2BCB">
        <w:rPr>
          <w:rFonts w:ascii="Arial" w:hAnsi="Arial" w:cs="Arial"/>
          <w:sz w:val="20"/>
        </w:rPr>
        <w:t xml:space="preserve">The savings from these are represented in the calculations below. </w:t>
      </w:r>
    </w:p>
    <w:p w:rsidR="00044570" w:rsidRDefault="00044570" w:rsidP="00312A1F">
      <w:pPr>
        <w:jc w:val="both"/>
        <w:rPr>
          <w:rFonts w:ascii="Arial" w:hAnsi="Arial" w:cs="Arial"/>
          <w:sz w:val="20"/>
        </w:rPr>
      </w:pPr>
    </w:p>
    <w:p w:rsidR="008D6F1D" w:rsidRPr="004D2BCB" w:rsidRDefault="008D6F1D" w:rsidP="00312A1F">
      <w:pPr>
        <w:jc w:val="both"/>
        <w:rPr>
          <w:rFonts w:ascii="Arial" w:hAnsi="Arial" w:cs="Arial"/>
          <w:sz w:val="20"/>
        </w:rPr>
      </w:pPr>
    </w:p>
    <w:p w:rsidR="00AB3BE3" w:rsidRPr="004D2BCB" w:rsidRDefault="00AB3BE3" w:rsidP="00312A1F">
      <w:pPr>
        <w:jc w:val="both"/>
        <w:rPr>
          <w:rFonts w:ascii="Arial" w:hAnsi="Arial" w:cs="Arial"/>
          <w:sz w:val="20"/>
        </w:rPr>
      </w:pPr>
      <w:bookmarkStart w:id="74" w:name="_Toc277849948"/>
      <w:r w:rsidRPr="004D2BCB">
        <w:rPr>
          <w:rFonts w:ascii="Arial" w:hAnsi="Arial" w:cs="Arial"/>
          <w:sz w:val="20"/>
        </w:rPr>
        <w:t>The coincident peak direct demand reduction (kW) is calculated by multiplying the demand difference calculated in</w:t>
      </w:r>
      <w:r w:rsidR="00E5030D" w:rsidRPr="004D2BCB">
        <w:rPr>
          <w:rFonts w:ascii="Arial" w:hAnsi="Arial" w:cs="Arial"/>
          <w:sz w:val="20"/>
        </w:rPr>
        <w:t xml:space="preserve"> </w:t>
      </w:r>
      <w:r w:rsidR="00E5030D" w:rsidRPr="00390130">
        <w:rPr>
          <w:rFonts w:ascii="Arial" w:hAnsi="Arial" w:cs="Arial"/>
          <w:sz w:val="20"/>
          <w:szCs w:val="20"/>
        </w:rPr>
        <w:fldChar w:fldCharType="begin"/>
      </w:r>
      <w:r w:rsidR="00E5030D" w:rsidRPr="004D2BCB">
        <w:rPr>
          <w:rFonts w:ascii="Arial" w:hAnsi="Arial" w:cs="Arial"/>
          <w:sz w:val="20"/>
          <w:szCs w:val="20"/>
        </w:rPr>
        <w:instrText xml:space="preserve"> REF _Ref390071907 \h  \* MERGEFORMAT </w:instrText>
      </w:r>
      <w:r w:rsidR="00E5030D" w:rsidRPr="00390130">
        <w:rPr>
          <w:rFonts w:ascii="Arial" w:hAnsi="Arial" w:cs="Arial"/>
          <w:sz w:val="20"/>
          <w:szCs w:val="20"/>
        </w:rPr>
      </w:r>
      <w:r w:rsidR="00E5030D" w:rsidRPr="00390130">
        <w:rPr>
          <w:rFonts w:ascii="Arial" w:hAnsi="Arial" w:cs="Arial"/>
          <w:sz w:val="20"/>
          <w:szCs w:val="20"/>
        </w:rPr>
        <w:fldChar w:fldCharType="separate"/>
      </w:r>
      <w:r w:rsidR="00B82FAA" w:rsidRPr="00390130">
        <w:rPr>
          <w:rFonts w:ascii="Arial" w:hAnsi="Arial" w:cs="Arial"/>
          <w:sz w:val="20"/>
          <w:szCs w:val="20"/>
        </w:rPr>
        <w:t xml:space="preserve">Equation </w:t>
      </w:r>
      <w:r w:rsidR="00B82FAA" w:rsidRPr="00390130">
        <w:rPr>
          <w:rFonts w:ascii="Arial" w:hAnsi="Arial" w:cs="Arial"/>
          <w:noProof/>
          <w:sz w:val="20"/>
          <w:szCs w:val="20"/>
        </w:rPr>
        <w:t>1</w:t>
      </w:r>
      <w:r w:rsidR="00E5030D" w:rsidRPr="00390130">
        <w:rPr>
          <w:rFonts w:ascii="Arial" w:hAnsi="Arial" w:cs="Arial"/>
          <w:sz w:val="20"/>
          <w:szCs w:val="20"/>
        </w:rPr>
        <w:fldChar w:fldCharType="end"/>
      </w:r>
      <w:r w:rsidRPr="004D2BCB">
        <w:rPr>
          <w:rFonts w:ascii="Arial" w:hAnsi="Arial" w:cs="Arial"/>
          <w:sz w:val="20"/>
        </w:rPr>
        <w:t xml:space="preserve"> with the peak coincidence factor. A standard conversion factor is applied to arrive at the desired units.</w:t>
      </w:r>
      <w:bookmarkEnd w:id="74"/>
    </w:p>
    <w:p w:rsidR="00AB3BE3" w:rsidRDefault="00AB3BE3" w:rsidP="00AB3BE3">
      <w:pPr>
        <w:rPr>
          <w:rFonts w:ascii="Arial" w:hAnsi="Arial" w:cs="Arial"/>
        </w:rPr>
      </w:pPr>
    </w:p>
    <w:p w:rsidR="008D6F1D" w:rsidRPr="004D2BCB" w:rsidRDefault="008D6F1D" w:rsidP="00AB3BE3">
      <w:pPr>
        <w:rPr>
          <w:rFonts w:ascii="Arial" w:hAnsi="Arial" w:cs="Arial"/>
        </w:rPr>
      </w:pPr>
    </w:p>
    <w:p w:rsidR="00AB3BE3" w:rsidRPr="00390130" w:rsidRDefault="00AB3BE3" w:rsidP="00346796">
      <w:pPr>
        <w:pStyle w:val="Caption"/>
        <w:rPr>
          <w:rFonts w:cs="Arial"/>
        </w:rPr>
      </w:pPr>
      <w:bookmarkStart w:id="75" w:name="_Toc288486325"/>
      <w:bookmarkStart w:id="76" w:name="_Toc288486422"/>
      <w:bookmarkStart w:id="77" w:name="_Ref287280647"/>
      <w:r w:rsidRPr="00FF214D">
        <w:rPr>
          <w:rFonts w:cs="Arial"/>
        </w:rPr>
        <w:t xml:space="preserve">Equation </w:t>
      </w:r>
      <w:r w:rsidR="009861DE" w:rsidRPr="00390130">
        <w:rPr>
          <w:rFonts w:cs="Arial"/>
        </w:rPr>
        <w:fldChar w:fldCharType="begin"/>
      </w:r>
      <w:r w:rsidR="009861DE" w:rsidRPr="00390130">
        <w:rPr>
          <w:rFonts w:cs="Arial"/>
        </w:rPr>
        <w:instrText xml:space="preserve"> SEQ Equation \* ARABIC </w:instrText>
      </w:r>
      <w:r w:rsidR="009861DE" w:rsidRPr="00390130">
        <w:rPr>
          <w:rFonts w:cs="Arial"/>
        </w:rPr>
        <w:fldChar w:fldCharType="separate"/>
      </w:r>
      <w:r w:rsidR="00B82FAA" w:rsidRPr="00390130">
        <w:rPr>
          <w:rFonts w:cs="Arial"/>
          <w:noProof/>
        </w:rPr>
        <w:t>5</w:t>
      </w:r>
      <w:bookmarkEnd w:id="75"/>
      <w:bookmarkEnd w:id="76"/>
      <w:r w:rsidR="009861DE" w:rsidRPr="00390130">
        <w:rPr>
          <w:rFonts w:cs="Arial"/>
          <w:noProof/>
        </w:rPr>
        <w:fldChar w:fldCharType="end"/>
      </w:r>
      <w:bookmarkEnd w:id="77"/>
    </w:p>
    <w:p w:rsidR="00AB3BE3" w:rsidRPr="004D2BCB" w:rsidRDefault="00AB3BE3" w:rsidP="00AB3BE3">
      <w:pPr>
        <w:rPr>
          <w:rFonts w:ascii="Arial" w:hAnsi="Arial" w:cs="Arial"/>
        </w:rPr>
      </w:pPr>
      <w:r w:rsidRPr="00390130">
        <w:rPr>
          <w:rFonts w:ascii="Arial" w:hAnsi="Arial" w:cs="Arial"/>
          <w:position w:val="-28"/>
        </w:rPr>
        <w:object w:dxaOrig="7500" w:dyaOrig="680">
          <v:shape id="_x0000_i1033" type="#_x0000_t75" style="width:375pt;height:33pt" o:ole="">
            <v:imagedata r:id="rId32" o:title=""/>
          </v:shape>
          <o:OLEObject Type="Embed" ProgID="Equation.3" ShapeID="_x0000_i1033" DrawAspect="Content" ObjectID="_1511789450" r:id="rId33"/>
        </w:object>
      </w:r>
    </w:p>
    <w:p w:rsidR="00AB3BE3" w:rsidRDefault="00AB3BE3" w:rsidP="00AB3BE3">
      <w:pPr>
        <w:pStyle w:val="Default"/>
        <w:rPr>
          <w:rFonts w:ascii="Arial" w:hAnsi="Arial" w:cs="Arial"/>
        </w:rPr>
      </w:pPr>
      <w:bookmarkStart w:id="78" w:name="_Ref249936204"/>
      <w:bookmarkStart w:id="79" w:name="_Ref249936399"/>
    </w:p>
    <w:p w:rsidR="008D6F1D" w:rsidRPr="004D2BCB" w:rsidRDefault="008D6F1D" w:rsidP="00AB3BE3">
      <w:pPr>
        <w:pStyle w:val="Default"/>
        <w:rPr>
          <w:rFonts w:ascii="Arial" w:hAnsi="Arial" w:cs="Arial"/>
        </w:rPr>
      </w:pPr>
    </w:p>
    <w:p w:rsidR="00AB3BE3" w:rsidRPr="004D2BCB" w:rsidRDefault="00AB3BE3" w:rsidP="00AB3BE3">
      <w:pPr>
        <w:pStyle w:val="Default"/>
        <w:ind w:left="720"/>
        <w:rPr>
          <w:rFonts w:ascii="Arial" w:hAnsi="Arial" w:cs="Arial"/>
        </w:rPr>
      </w:pPr>
      <w:r w:rsidRPr="004D2BCB">
        <w:rPr>
          <w:rFonts w:ascii="Arial" w:hAnsi="Arial" w:cs="Arial"/>
          <w:color w:val="auto"/>
          <w:sz w:val="20"/>
        </w:rPr>
        <w:t>Example Calculation</w:t>
      </w:r>
      <w:r w:rsidRPr="004D2BCB">
        <w:rPr>
          <w:rFonts w:ascii="Arial" w:hAnsi="Arial" w:cs="Arial"/>
        </w:rPr>
        <w:t xml:space="preserve">: </w:t>
      </w:r>
      <w:r w:rsidRPr="00390130">
        <w:rPr>
          <w:rFonts w:ascii="Arial" w:hAnsi="Arial" w:cs="Arial"/>
          <w:position w:val="-28"/>
        </w:rPr>
        <w:object w:dxaOrig="2780" w:dyaOrig="680">
          <v:shape id="_x0000_i1034" type="#_x0000_t75" style="width:138.75pt;height:33pt" o:ole="">
            <v:imagedata r:id="rId34" o:title=""/>
          </v:shape>
          <o:OLEObject Type="Embed" ProgID="Equation.3" ShapeID="_x0000_i1034" DrawAspect="Content" ObjectID="_1511789451" r:id="rId35"/>
        </w:object>
      </w:r>
    </w:p>
    <w:p w:rsidR="00AB3BE3" w:rsidRDefault="00AB3BE3" w:rsidP="00AB3BE3">
      <w:pPr>
        <w:pStyle w:val="Default"/>
        <w:rPr>
          <w:rFonts w:ascii="Arial" w:hAnsi="Arial" w:cs="Arial"/>
        </w:rPr>
      </w:pPr>
    </w:p>
    <w:p w:rsidR="008D6F1D" w:rsidRPr="004D2BCB" w:rsidRDefault="008D6F1D" w:rsidP="00AB3BE3">
      <w:pPr>
        <w:pStyle w:val="Default"/>
        <w:rPr>
          <w:rFonts w:ascii="Arial" w:hAnsi="Arial" w:cs="Arial"/>
        </w:rPr>
      </w:pPr>
    </w:p>
    <w:p w:rsidR="00AB3BE3" w:rsidRPr="004D2BCB" w:rsidRDefault="00AB3BE3" w:rsidP="00312A1F">
      <w:pPr>
        <w:jc w:val="both"/>
        <w:rPr>
          <w:rFonts w:ascii="Arial" w:hAnsi="Arial" w:cs="Arial"/>
          <w:sz w:val="20"/>
        </w:rPr>
      </w:pPr>
      <w:r w:rsidRPr="004D2BCB">
        <w:rPr>
          <w:rFonts w:ascii="Arial" w:hAnsi="Arial" w:cs="Arial"/>
          <w:sz w:val="20"/>
        </w:rPr>
        <w:t>Where:</w:t>
      </w:r>
    </w:p>
    <w:p w:rsidR="00AB3BE3" w:rsidRPr="004D2BCB" w:rsidRDefault="00AB3BE3" w:rsidP="00312A1F">
      <w:pPr>
        <w:ind w:left="2880" w:hanging="2880"/>
        <w:jc w:val="both"/>
        <w:rPr>
          <w:rFonts w:ascii="Arial" w:hAnsi="Arial" w:cs="Arial"/>
          <w:sz w:val="20"/>
        </w:rPr>
      </w:pPr>
      <w:r w:rsidRPr="004D2BCB">
        <w:rPr>
          <w:rFonts w:ascii="Arial" w:hAnsi="Arial" w:cs="Arial"/>
          <w:sz w:val="20"/>
        </w:rPr>
        <w:t>Direct</w:t>
      </w:r>
      <w:r w:rsidRPr="004D2BCB">
        <w:rPr>
          <w:rFonts w:ascii="Arial" w:hAnsi="Arial" w:cs="Arial"/>
        </w:rPr>
        <w:t xml:space="preserve"> </w:t>
      </w:r>
      <w:r w:rsidRPr="004D2BCB">
        <w:rPr>
          <w:rFonts w:ascii="Arial" w:hAnsi="Arial" w:cs="Arial"/>
          <w:sz w:val="20"/>
        </w:rPr>
        <w:t>Demand Savings =</w:t>
      </w:r>
      <w:r w:rsidRPr="004D2BCB">
        <w:rPr>
          <w:rFonts w:ascii="Arial" w:hAnsi="Arial" w:cs="Arial"/>
          <w:sz w:val="20"/>
        </w:rPr>
        <w:tab/>
        <w:t>The</w:t>
      </w:r>
      <w:r w:rsidR="00250CB5" w:rsidRPr="004D2BCB">
        <w:rPr>
          <w:rFonts w:ascii="Arial" w:hAnsi="Arial" w:cs="Arial"/>
          <w:sz w:val="20"/>
        </w:rPr>
        <w:t xml:space="preserve"> </w:t>
      </w:r>
      <w:r w:rsidRPr="004D2BCB">
        <w:rPr>
          <w:rFonts w:ascii="Arial" w:hAnsi="Arial" w:cs="Arial"/>
          <w:sz w:val="20"/>
        </w:rPr>
        <w:t>direct demand savings achieved at the electric system’s peak demand as defined by the CPUC per unit of implemented measure.</w:t>
      </w:r>
    </w:p>
    <w:p w:rsidR="00AB3BE3" w:rsidRDefault="00AB3BE3" w:rsidP="00312A1F">
      <w:pPr>
        <w:jc w:val="both"/>
        <w:rPr>
          <w:rFonts w:ascii="Arial" w:hAnsi="Arial" w:cs="Arial"/>
          <w:sz w:val="20"/>
        </w:rPr>
      </w:pPr>
    </w:p>
    <w:p w:rsidR="008D6F1D" w:rsidRPr="004D2BCB" w:rsidRDefault="008D6F1D" w:rsidP="00312A1F">
      <w:pPr>
        <w:jc w:val="both"/>
        <w:rPr>
          <w:rFonts w:ascii="Arial" w:hAnsi="Arial" w:cs="Arial"/>
          <w:sz w:val="20"/>
        </w:rPr>
      </w:pPr>
    </w:p>
    <w:p w:rsidR="00AB3BE3" w:rsidRDefault="00AB3BE3" w:rsidP="00312A1F">
      <w:pPr>
        <w:ind w:left="2880" w:hanging="2880"/>
        <w:jc w:val="both"/>
        <w:rPr>
          <w:rFonts w:ascii="Arial" w:hAnsi="Arial" w:cs="Arial"/>
          <w:sz w:val="20"/>
        </w:rPr>
      </w:pPr>
      <w:r w:rsidRPr="004D2BCB">
        <w:rPr>
          <w:rFonts w:ascii="Arial" w:hAnsi="Arial" w:cs="Arial"/>
          <w:sz w:val="20"/>
        </w:rPr>
        <w:t>Peak Coincidence Factor =</w:t>
      </w:r>
      <w:r w:rsidRPr="004D2BCB">
        <w:rPr>
          <w:rFonts w:ascii="Arial" w:hAnsi="Arial" w:cs="Arial"/>
          <w:sz w:val="20"/>
        </w:rPr>
        <w:tab/>
        <w:t>The ratio of the maximum lighting demand to the sum of the individual lighting demands at the time of system peak. The value for this variable is specific to refrigerated spaces in grocery buildings and was taken from the 20</w:t>
      </w:r>
      <w:r w:rsidR="00AF7F49" w:rsidRPr="004D2BCB">
        <w:rPr>
          <w:rFonts w:ascii="Arial" w:hAnsi="Arial" w:cs="Arial"/>
          <w:sz w:val="20"/>
        </w:rPr>
        <w:t>16</w:t>
      </w:r>
      <w:r w:rsidRPr="004D2BCB">
        <w:rPr>
          <w:rFonts w:ascii="Arial" w:hAnsi="Arial" w:cs="Arial"/>
          <w:sz w:val="20"/>
        </w:rPr>
        <w:t xml:space="preserve"> DEER Update. See Section </w:t>
      </w:r>
      <w:r w:rsidR="00F107A6" w:rsidRPr="004D2BCB">
        <w:rPr>
          <w:rFonts w:ascii="Arial" w:hAnsi="Arial" w:cs="Arial"/>
          <w:sz w:val="20"/>
        </w:rPr>
        <w:t>1.5 Summary of Inputs for Savings Calculations</w:t>
      </w:r>
      <w:r w:rsidRPr="004D2BCB">
        <w:rPr>
          <w:rFonts w:ascii="Arial" w:hAnsi="Arial" w:cs="Arial"/>
          <w:sz w:val="20"/>
        </w:rPr>
        <w:t xml:space="preserve"> for additional information.</w:t>
      </w:r>
    </w:p>
    <w:p w:rsidR="008D6F1D" w:rsidRPr="004D2BCB" w:rsidRDefault="008D6F1D" w:rsidP="00312A1F">
      <w:pPr>
        <w:ind w:left="2880" w:hanging="2880"/>
        <w:jc w:val="both"/>
        <w:rPr>
          <w:rFonts w:ascii="Arial" w:hAnsi="Arial" w:cs="Arial"/>
          <w:sz w:val="20"/>
        </w:rPr>
      </w:pPr>
    </w:p>
    <w:p w:rsidR="00AB3BE3" w:rsidRPr="004D2BCB" w:rsidRDefault="00AB3BE3" w:rsidP="00312A1F">
      <w:pPr>
        <w:jc w:val="both"/>
        <w:rPr>
          <w:rFonts w:ascii="Arial" w:hAnsi="Arial" w:cs="Arial"/>
          <w:sz w:val="20"/>
        </w:rPr>
      </w:pPr>
    </w:p>
    <w:p w:rsidR="00AB3BE3" w:rsidRDefault="00AB3BE3" w:rsidP="00312A1F">
      <w:pPr>
        <w:jc w:val="both"/>
        <w:rPr>
          <w:rFonts w:ascii="Arial" w:hAnsi="Arial" w:cs="Arial"/>
          <w:sz w:val="20"/>
        </w:rPr>
      </w:pPr>
      <w:r w:rsidRPr="004D2BCB">
        <w:rPr>
          <w:rFonts w:ascii="Arial" w:hAnsi="Arial" w:cs="Arial"/>
          <w:sz w:val="20"/>
        </w:rPr>
        <w:t xml:space="preserve">Indirect demand savings also occur during the peak coincident period due to reduced load on the refrigeration system conditioning the walk-in case where the LED lighting is retrofit. The coincident peak indirect demand is calculated by converting the coincident peak direct demand savings calculated in </w:t>
      </w:r>
      <w:r w:rsidR="007C4B11" w:rsidRPr="00390130">
        <w:rPr>
          <w:rFonts w:ascii="Arial" w:hAnsi="Arial" w:cs="Arial"/>
          <w:sz w:val="20"/>
        </w:rPr>
        <w:fldChar w:fldCharType="begin"/>
      </w:r>
      <w:r w:rsidR="007C4B11" w:rsidRPr="004D2BCB">
        <w:rPr>
          <w:rFonts w:ascii="Arial" w:hAnsi="Arial" w:cs="Arial"/>
          <w:sz w:val="20"/>
        </w:rPr>
        <w:instrText xml:space="preserve"> REF _Ref287280647 \h  \* MERGEFORMAT </w:instrText>
      </w:r>
      <w:r w:rsidR="007C4B11" w:rsidRPr="00390130">
        <w:rPr>
          <w:rFonts w:ascii="Arial" w:hAnsi="Arial" w:cs="Arial"/>
          <w:sz w:val="20"/>
        </w:rPr>
      </w:r>
      <w:r w:rsidR="007C4B11" w:rsidRPr="00390130">
        <w:rPr>
          <w:rFonts w:ascii="Arial" w:hAnsi="Arial" w:cs="Arial"/>
          <w:sz w:val="20"/>
        </w:rPr>
        <w:fldChar w:fldCharType="separate"/>
      </w:r>
      <w:r w:rsidR="00B82FAA" w:rsidRPr="00390130">
        <w:rPr>
          <w:rFonts w:ascii="Arial" w:hAnsi="Arial" w:cs="Arial"/>
          <w:sz w:val="20"/>
        </w:rPr>
        <w:t>Equation 5</w:t>
      </w:r>
      <w:r w:rsidR="007C4B11" w:rsidRPr="00390130">
        <w:rPr>
          <w:rFonts w:ascii="Arial" w:hAnsi="Arial" w:cs="Arial"/>
          <w:sz w:val="20"/>
        </w:rPr>
        <w:fldChar w:fldCharType="end"/>
      </w:r>
      <w:r w:rsidRPr="004D2BCB">
        <w:rPr>
          <w:rFonts w:ascii="Arial" w:hAnsi="Arial" w:cs="Arial"/>
          <w:sz w:val="20"/>
        </w:rPr>
        <w:t xml:space="preserve"> into a refrigeration load (Btu/yr) and dividing by the refrigeration system peak energy efficiency ratio (Peak EER).</w:t>
      </w:r>
    </w:p>
    <w:p w:rsidR="008D6F1D" w:rsidRDefault="008D6F1D" w:rsidP="00312A1F">
      <w:pPr>
        <w:jc w:val="both"/>
        <w:rPr>
          <w:rFonts w:ascii="Arial" w:hAnsi="Arial" w:cs="Arial"/>
          <w:sz w:val="20"/>
        </w:rPr>
      </w:pPr>
    </w:p>
    <w:p w:rsidR="00AB3BE3" w:rsidRPr="004D2BCB" w:rsidRDefault="00AB3BE3" w:rsidP="00312A1F">
      <w:pPr>
        <w:jc w:val="both"/>
        <w:rPr>
          <w:rFonts w:ascii="Arial" w:hAnsi="Arial" w:cs="Arial"/>
          <w:sz w:val="20"/>
        </w:rPr>
      </w:pPr>
    </w:p>
    <w:p w:rsidR="00AB3BE3" w:rsidRPr="00390130" w:rsidRDefault="00AB3BE3" w:rsidP="00346796">
      <w:pPr>
        <w:pStyle w:val="Caption"/>
        <w:rPr>
          <w:rFonts w:cs="Arial"/>
        </w:rPr>
      </w:pPr>
      <w:bookmarkStart w:id="80" w:name="_Toc288486326"/>
      <w:bookmarkStart w:id="81" w:name="_Toc288486423"/>
      <w:bookmarkStart w:id="82" w:name="_Ref287280719"/>
      <w:r w:rsidRPr="00FF214D">
        <w:rPr>
          <w:rFonts w:cs="Arial"/>
        </w:rPr>
        <w:lastRenderedPageBreak/>
        <w:t xml:space="preserve">Equation </w:t>
      </w:r>
      <w:r w:rsidR="009861DE" w:rsidRPr="00390130">
        <w:rPr>
          <w:rFonts w:cs="Arial"/>
        </w:rPr>
        <w:fldChar w:fldCharType="begin"/>
      </w:r>
      <w:r w:rsidR="009861DE" w:rsidRPr="00390130">
        <w:rPr>
          <w:rFonts w:cs="Arial"/>
        </w:rPr>
        <w:instrText xml:space="preserve"> SEQ Equation \* ARABIC </w:instrText>
      </w:r>
      <w:r w:rsidR="009861DE" w:rsidRPr="00390130">
        <w:rPr>
          <w:rFonts w:cs="Arial"/>
        </w:rPr>
        <w:fldChar w:fldCharType="separate"/>
      </w:r>
      <w:r w:rsidR="00B82FAA" w:rsidRPr="00390130">
        <w:rPr>
          <w:rFonts w:cs="Arial"/>
          <w:noProof/>
        </w:rPr>
        <w:t>6</w:t>
      </w:r>
      <w:bookmarkEnd w:id="80"/>
      <w:bookmarkEnd w:id="81"/>
      <w:r w:rsidR="009861DE" w:rsidRPr="00390130">
        <w:rPr>
          <w:rFonts w:cs="Arial"/>
          <w:noProof/>
        </w:rPr>
        <w:fldChar w:fldCharType="end"/>
      </w:r>
      <w:bookmarkEnd w:id="82"/>
    </w:p>
    <w:p w:rsidR="00AB3BE3" w:rsidRPr="004D2BCB" w:rsidRDefault="00AB3BE3" w:rsidP="00AB3BE3">
      <w:pPr>
        <w:rPr>
          <w:rFonts w:ascii="Arial" w:hAnsi="Arial" w:cs="Arial"/>
        </w:rPr>
      </w:pPr>
      <w:r w:rsidRPr="00390130">
        <w:rPr>
          <w:rFonts w:ascii="Arial" w:hAnsi="Arial" w:cs="Arial"/>
          <w:position w:val="-30"/>
        </w:rPr>
        <w:object w:dxaOrig="7699" w:dyaOrig="700">
          <v:shape id="_x0000_i1035" type="#_x0000_t75" style="width:409.5pt;height:35.25pt" o:ole="">
            <v:imagedata r:id="rId36" o:title=""/>
          </v:shape>
          <o:OLEObject Type="Embed" ProgID="Equation.3" ShapeID="_x0000_i1035" DrawAspect="Content" ObjectID="_1511789452" r:id="rId37"/>
        </w:object>
      </w:r>
      <w:r w:rsidRPr="004D2BCB">
        <w:rPr>
          <w:rFonts w:ascii="Arial" w:hAnsi="Arial" w:cs="Arial"/>
        </w:rPr>
        <w:t xml:space="preserve"> </w:t>
      </w:r>
    </w:p>
    <w:p w:rsidR="00AB3BE3" w:rsidRDefault="00AB3BE3" w:rsidP="00AB3BE3">
      <w:pPr>
        <w:rPr>
          <w:rFonts w:ascii="Arial" w:hAnsi="Arial" w:cs="Arial"/>
        </w:rPr>
      </w:pPr>
    </w:p>
    <w:p w:rsidR="008D6F1D" w:rsidRPr="004D2BCB" w:rsidRDefault="008D6F1D" w:rsidP="00AB3BE3">
      <w:pPr>
        <w:rPr>
          <w:rFonts w:ascii="Arial" w:hAnsi="Arial" w:cs="Arial"/>
        </w:rPr>
      </w:pPr>
    </w:p>
    <w:p w:rsidR="00AB3BE3" w:rsidRPr="004D2BCB" w:rsidRDefault="00AB3BE3" w:rsidP="00AB3BE3">
      <w:pPr>
        <w:pStyle w:val="Default"/>
        <w:ind w:left="720"/>
        <w:rPr>
          <w:rFonts w:ascii="Arial" w:hAnsi="Arial" w:cs="Arial"/>
        </w:rPr>
      </w:pPr>
      <w:r w:rsidRPr="004D2BCB">
        <w:rPr>
          <w:rFonts w:ascii="Arial" w:hAnsi="Arial" w:cs="Arial"/>
        </w:rPr>
        <w:t xml:space="preserve">Example Calculation: </w:t>
      </w:r>
      <w:r w:rsidRPr="00390130">
        <w:rPr>
          <w:rFonts w:ascii="Arial" w:hAnsi="Arial" w:cs="Arial"/>
          <w:position w:val="-28"/>
        </w:rPr>
        <w:object w:dxaOrig="4360" w:dyaOrig="680">
          <v:shape id="_x0000_i1036" type="#_x0000_t75" style="width:218.25pt;height:33pt" o:ole="">
            <v:imagedata r:id="rId38" o:title=""/>
          </v:shape>
          <o:OLEObject Type="Embed" ProgID="Equation.3" ShapeID="_x0000_i1036" DrawAspect="Content" ObjectID="_1511789453" r:id="rId39"/>
        </w:object>
      </w:r>
    </w:p>
    <w:p w:rsidR="00AB3BE3" w:rsidRDefault="00AB3BE3" w:rsidP="00AB3BE3">
      <w:pPr>
        <w:rPr>
          <w:rFonts w:ascii="Arial" w:hAnsi="Arial" w:cs="Arial"/>
        </w:rPr>
      </w:pPr>
    </w:p>
    <w:p w:rsidR="008D6F1D" w:rsidRPr="004D2BCB" w:rsidRDefault="008D6F1D" w:rsidP="00AB3BE3">
      <w:pPr>
        <w:rPr>
          <w:rFonts w:ascii="Arial" w:hAnsi="Arial" w:cs="Arial"/>
        </w:rPr>
      </w:pPr>
    </w:p>
    <w:p w:rsidR="00AB3BE3" w:rsidRPr="004D2BCB" w:rsidRDefault="00AB3BE3" w:rsidP="00312A1F">
      <w:pPr>
        <w:jc w:val="both"/>
        <w:rPr>
          <w:rFonts w:ascii="Arial" w:hAnsi="Arial" w:cs="Arial"/>
          <w:sz w:val="20"/>
        </w:rPr>
      </w:pPr>
      <w:r w:rsidRPr="004D2BCB">
        <w:rPr>
          <w:rFonts w:ascii="Arial" w:hAnsi="Arial" w:cs="Arial"/>
          <w:sz w:val="20"/>
        </w:rPr>
        <w:t>Where:</w:t>
      </w:r>
    </w:p>
    <w:p w:rsidR="00AB3BE3" w:rsidRPr="004D2BCB" w:rsidRDefault="00AB3BE3" w:rsidP="00312A1F">
      <w:pPr>
        <w:ind w:left="2880" w:hanging="2880"/>
        <w:jc w:val="both"/>
        <w:rPr>
          <w:rFonts w:ascii="Arial" w:hAnsi="Arial" w:cs="Arial"/>
          <w:sz w:val="20"/>
        </w:rPr>
      </w:pPr>
      <w:r w:rsidRPr="004D2BCB">
        <w:rPr>
          <w:rFonts w:ascii="Arial" w:hAnsi="Arial" w:cs="Arial"/>
          <w:sz w:val="20"/>
        </w:rPr>
        <w:t>Indirect Demand Savings=</w:t>
      </w:r>
      <w:r w:rsidRPr="004D2BCB">
        <w:rPr>
          <w:rFonts w:ascii="Arial" w:hAnsi="Arial" w:cs="Arial"/>
          <w:sz w:val="20"/>
        </w:rPr>
        <w:tab/>
        <w:t>The indirect demand savings achieved at the electric system’s peak demand as defined by the CPUC per unit of implemented measure.</w:t>
      </w:r>
    </w:p>
    <w:p w:rsidR="00AB3BE3" w:rsidRDefault="00AB3BE3" w:rsidP="00312A1F">
      <w:pPr>
        <w:jc w:val="both"/>
        <w:rPr>
          <w:rFonts w:ascii="Arial" w:hAnsi="Arial" w:cs="Arial"/>
          <w:sz w:val="20"/>
        </w:rPr>
      </w:pPr>
    </w:p>
    <w:p w:rsidR="008D6F1D" w:rsidRPr="004D2BCB" w:rsidRDefault="008D6F1D" w:rsidP="00312A1F">
      <w:pPr>
        <w:jc w:val="both"/>
        <w:rPr>
          <w:rFonts w:ascii="Arial" w:hAnsi="Arial" w:cs="Arial"/>
          <w:sz w:val="20"/>
        </w:rPr>
      </w:pPr>
    </w:p>
    <w:p w:rsidR="00AB3BE3" w:rsidRPr="004D2BCB" w:rsidRDefault="00AB3BE3" w:rsidP="00312A1F">
      <w:pPr>
        <w:ind w:left="1440" w:hanging="1440"/>
        <w:jc w:val="both"/>
        <w:rPr>
          <w:rFonts w:ascii="Arial" w:hAnsi="Arial" w:cs="Arial"/>
          <w:sz w:val="20"/>
        </w:rPr>
      </w:pPr>
      <w:r w:rsidRPr="004D2BCB">
        <w:rPr>
          <w:rFonts w:ascii="Arial" w:hAnsi="Arial" w:cs="Arial"/>
          <w:sz w:val="20"/>
        </w:rPr>
        <w:t>EERPeak =</w:t>
      </w:r>
      <w:r w:rsidRPr="004D2BCB">
        <w:rPr>
          <w:rFonts w:ascii="Arial" w:hAnsi="Arial" w:cs="Arial"/>
          <w:sz w:val="20"/>
        </w:rPr>
        <w:tab/>
        <w:t xml:space="preserve">The ratio of total heat rejected by the refrigeration system during its peak load to the power consumed by the system in order to meet that load. A separate value is used to represent medium and low temperature refrigeration systems. </w:t>
      </w:r>
    </w:p>
    <w:p w:rsidR="001C6598" w:rsidRDefault="001C6598" w:rsidP="001C6598">
      <w:pPr>
        <w:rPr>
          <w:rFonts w:ascii="Arial" w:hAnsi="Arial" w:cs="Arial"/>
        </w:rPr>
      </w:pPr>
      <w:bookmarkStart w:id="83" w:name="_Toc287282282"/>
      <w:bookmarkStart w:id="84" w:name="_Toc288134976"/>
      <w:bookmarkStart w:id="85" w:name="_Toc288486310"/>
      <w:bookmarkStart w:id="86" w:name="_Toc288486480"/>
    </w:p>
    <w:p w:rsidR="008D6F1D" w:rsidRPr="004D2BCB" w:rsidRDefault="008D6F1D" w:rsidP="001C6598">
      <w:pPr>
        <w:rPr>
          <w:rFonts w:ascii="Arial" w:hAnsi="Arial" w:cs="Arial"/>
        </w:rPr>
      </w:pPr>
    </w:p>
    <w:p w:rsidR="00AB3BE3" w:rsidRPr="004D2BCB" w:rsidRDefault="00AB3BE3" w:rsidP="00312A1F">
      <w:pPr>
        <w:jc w:val="both"/>
        <w:rPr>
          <w:rFonts w:ascii="Arial" w:hAnsi="Arial" w:cs="Arial"/>
          <w:sz w:val="20"/>
        </w:rPr>
      </w:pPr>
      <w:r w:rsidRPr="004D2BCB">
        <w:rPr>
          <w:rFonts w:ascii="Arial" w:hAnsi="Arial" w:cs="Arial"/>
          <w:sz w:val="20"/>
        </w:rPr>
        <w:t xml:space="preserve">The total coincident peak demand savings is calculated as the sum of the direct and indirect coincident peak demand savings values calculated in </w:t>
      </w:r>
      <w:r w:rsidR="007C4B11" w:rsidRPr="00390130">
        <w:rPr>
          <w:rFonts w:ascii="Arial" w:hAnsi="Arial" w:cs="Arial"/>
          <w:sz w:val="20"/>
        </w:rPr>
        <w:fldChar w:fldCharType="begin"/>
      </w:r>
      <w:r w:rsidR="007C4B11" w:rsidRPr="004D2BCB">
        <w:rPr>
          <w:rFonts w:ascii="Arial" w:hAnsi="Arial" w:cs="Arial"/>
          <w:sz w:val="20"/>
        </w:rPr>
        <w:instrText xml:space="preserve"> REF _Ref287280647 \h  \* MERGEFORMAT </w:instrText>
      </w:r>
      <w:r w:rsidR="007C4B11" w:rsidRPr="00390130">
        <w:rPr>
          <w:rFonts w:ascii="Arial" w:hAnsi="Arial" w:cs="Arial"/>
          <w:sz w:val="20"/>
        </w:rPr>
      </w:r>
      <w:r w:rsidR="007C4B11" w:rsidRPr="00390130">
        <w:rPr>
          <w:rFonts w:ascii="Arial" w:hAnsi="Arial" w:cs="Arial"/>
          <w:sz w:val="20"/>
        </w:rPr>
        <w:fldChar w:fldCharType="separate"/>
      </w:r>
      <w:r w:rsidR="00B82FAA" w:rsidRPr="00390130">
        <w:rPr>
          <w:rFonts w:ascii="Arial" w:hAnsi="Arial" w:cs="Arial"/>
          <w:sz w:val="20"/>
        </w:rPr>
        <w:t>Equation 5</w:t>
      </w:r>
      <w:r w:rsidR="007C4B11" w:rsidRPr="00390130">
        <w:rPr>
          <w:rFonts w:ascii="Arial" w:hAnsi="Arial" w:cs="Arial"/>
          <w:sz w:val="20"/>
        </w:rPr>
        <w:fldChar w:fldCharType="end"/>
      </w:r>
      <w:r w:rsidRPr="004D2BCB">
        <w:rPr>
          <w:rFonts w:ascii="Arial" w:hAnsi="Arial" w:cs="Arial"/>
          <w:sz w:val="20"/>
        </w:rPr>
        <w:t xml:space="preserve"> and </w:t>
      </w:r>
      <w:r w:rsidR="007C4B11" w:rsidRPr="00390130">
        <w:rPr>
          <w:rFonts w:ascii="Arial" w:hAnsi="Arial" w:cs="Arial"/>
          <w:sz w:val="20"/>
        </w:rPr>
        <w:fldChar w:fldCharType="begin"/>
      </w:r>
      <w:r w:rsidR="007C4B11" w:rsidRPr="004D2BCB">
        <w:rPr>
          <w:rFonts w:ascii="Arial" w:hAnsi="Arial" w:cs="Arial"/>
          <w:sz w:val="20"/>
        </w:rPr>
        <w:instrText xml:space="preserve"> REF _Ref287280719 \h  \* MERGEFORMAT </w:instrText>
      </w:r>
      <w:r w:rsidR="007C4B11" w:rsidRPr="00390130">
        <w:rPr>
          <w:rFonts w:ascii="Arial" w:hAnsi="Arial" w:cs="Arial"/>
          <w:sz w:val="20"/>
        </w:rPr>
      </w:r>
      <w:r w:rsidR="007C4B11" w:rsidRPr="00390130">
        <w:rPr>
          <w:rFonts w:ascii="Arial" w:hAnsi="Arial" w:cs="Arial"/>
          <w:sz w:val="20"/>
        </w:rPr>
        <w:fldChar w:fldCharType="separate"/>
      </w:r>
      <w:r w:rsidR="00B82FAA" w:rsidRPr="00390130">
        <w:rPr>
          <w:rFonts w:ascii="Arial" w:hAnsi="Arial" w:cs="Arial"/>
          <w:sz w:val="20"/>
        </w:rPr>
        <w:t>Equation 6</w:t>
      </w:r>
      <w:r w:rsidR="007C4B11" w:rsidRPr="00390130">
        <w:rPr>
          <w:rFonts w:ascii="Arial" w:hAnsi="Arial" w:cs="Arial"/>
          <w:sz w:val="20"/>
        </w:rPr>
        <w:fldChar w:fldCharType="end"/>
      </w:r>
      <w:r w:rsidRPr="004D2BCB">
        <w:rPr>
          <w:rFonts w:ascii="Arial" w:hAnsi="Arial" w:cs="Arial"/>
          <w:sz w:val="20"/>
        </w:rPr>
        <w:t xml:space="preserve"> respectively.</w:t>
      </w:r>
      <w:bookmarkEnd w:id="83"/>
      <w:bookmarkEnd w:id="84"/>
      <w:bookmarkEnd w:id="85"/>
      <w:bookmarkEnd w:id="86"/>
    </w:p>
    <w:p w:rsidR="00AB3BE3" w:rsidRDefault="00AB3BE3" w:rsidP="00AB3BE3">
      <w:pPr>
        <w:rPr>
          <w:rFonts w:ascii="Arial" w:hAnsi="Arial" w:cs="Arial"/>
        </w:rPr>
      </w:pPr>
    </w:p>
    <w:p w:rsidR="008D6F1D" w:rsidRPr="004D2BCB" w:rsidRDefault="008D6F1D" w:rsidP="00AB3BE3">
      <w:pPr>
        <w:rPr>
          <w:rFonts w:ascii="Arial" w:hAnsi="Arial" w:cs="Arial"/>
        </w:rPr>
      </w:pPr>
    </w:p>
    <w:p w:rsidR="00AB3BE3" w:rsidRPr="00390130" w:rsidRDefault="00AB3BE3" w:rsidP="00346796">
      <w:pPr>
        <w:pStyle w:val="Caption"/>
        <w:rPr>
          <w:rFonts w:cs="Arial"/>
        </w:rPr>
      </w:pPr>
      <w:bookmarkStart w:id="87" w:name="_Toc288486327"/>
      <w:bookmarkStart w:id="88" w:name="_Toc288486424"/>
      <w:bookmarkStart w:id="89" w:name="_Ref437956114"/>
      <w:r w:rsidRPr="00FF214D">
        <w:rPr>
          <w:rFonts w:cs="Arial"/>
        </w:rPr>
        <w:t xml:space="preserve">Equation </w:t>
      </w:r>
      <w:r w:rsidR="009861DE" w:rsidRPr="00390130">
        <w:rPr>
          <w:rFonts w:cs="Arial"/>
        </w:rPr>
        <w:fldChar w:fldCharType="begin"/>
      </w:r>
      <w:r w:rsidR="009861DE" w:rsidRPr="00390130">
        <w:rPr>
          <w:rFonts w:cs="Arial"/>
        </w:rPr>
        <w:instrText xml:space="preserve"> SEQ Equation \* ARABIC </w:instrText>
      </w:r>
      <w:r w:rsidR="009861DE" w:rsidRPr="00390130">
        <w:rPr>
          <w:rFonts w:cs="Arial"/>
        </w:rPr>
        <w:fldChar w:fldCharType="separate"/>
      </w:r>
      <w:r w:rsidR="00B82FAA" w:rsidRPr="00390130">
        <w:rPr>
          <w:rFonts w:cs="Arial"/>
          <w:noProof/>
        </w:rPr>
        <w:t>7</w:t>
      </w:r>
      <w:bookmarkEnd w:id="87"/>
      <w:bookmarkEnd w:id="88"/>
      <w:r w:rsidR="009861DE" w:rsidRPr="00390130">
        <w:rPr>
          <w:rFonts w:cs="Arial"/>
          <w:noProof/>
        </w:rPr>
        <w:fldChar w:fldCharType="end"/>
      </w:r>
      <w:bookmarkEnd w:id="89"/>
    </w:p>
    <w:bookmarkStart w:id="90" w:name="_Toc288134977"/>
    <w:bookmarkStart w:id="91" w:name="_Toc288486311"/>
    <w:bookmarkStart w:id="92" w:name="_Toc288486481"/>
    <w:bookmarkStart w:id="93" w:name="_Toc287282283"/>
    <w:bookmarkEnd w:id="90"/>
    <w:bookmarkEnd w:id="91"/>
    <w:bookmarkEnd w:id="92"/>
    <w:p w:rsidR="00AB3BE3" w:rsidRPr="004D2BCB" w:rsidRDefault="00AB3BE3" w:rsidP="001C6598">
      <w:pPr>
        <w:rPr>
          <w:rFonts w:ascii="Arial" w:hAnsi="Arial" w:cs="Arial"/>
        </w:rPr>
      </w:pPr>
      <w:r w:rsidRPr="00390130">
        <w:rPr>
          <w:rFonts w:ascii="Arial" w:hAnsi="Arial" w:cs="Arial"/>
        </w:rPr>
        <w:object w:dxaOrig="8199" w:dyaOrig="680">
          <v:shape id="_x0000_i1037" type="#_x0000_t75" style="width:402pt;height:33pt" o:ole="">
            <v:imagedata r:id="rId40" o:title=""/>
          </v:shape>
          <o:OLEObject Type="Embed" ProgID="Equation.3" ShapeID="_x0000_i1037" DrawAspect="Content" ObjectID="_1511789454" r:id="rId41"/>
        </w:object>
      </w:r>
    </w:p>
    <w:p w:rsidR="00AB3BE3" w:rsidRDefault="00AB3BE3" w:rsidP="00AB3BE3">
      <w:pPr>
        <w:pStyle w:val="Default"/>
        <w:ind w:left="720"/>
        <w:rPr>
          <w:rFonts w:ascii="Arial" w:hAnsi="Arial" w:cs="Arial"/>
        </w:rPr>
      </w:pPr>
    </w:p>
    <w:p w:rsidR="008D6F1D" w:rsidRPr="004D2BCB" w:rsidRDefault="008D6F1D" w:rsidP="00AB3BE3">
      <w:pPr>
        <w:pStyle w:val="Default"/>
        <w:ind w:left="720"/>
        <w:rPr>
          <w:rFonts w:ascii="Arial" w:hAnsi="Arial" w:cs="Arial"/>
        </w:rPr>
      </w:pPr>
    </w:p>
    <w:p w:rsidR="00AB3BE3" w:rsidRPr="004D2BCB" w:rsidRDefault="00AB3BE3" w:rsidP="00AB3BE3">
      <w:pPr>
        <w:pStyle w:val="Default"/>
        <w:ind w:left="720"/>
        <w:rPr>
          <w:rFonts w:ascii="Arial" w:hAnsi="Arial" w:cs="Arial"/>
        </w:rPr>
      </w:pPr>
      <w:r w:rsidRPr="004D2BCB">
        <w:rPr>
          <w:rFonts w:ascii="Arial" w:hAnsi="Arial" w:cs="Arial"/>
          <w:color w:val="auto"/>
          <w:sz w:val="20"/>
        </w:rPr>
        <w:t>Example Calculation</w:t>
      </w:r>
      <w:r w:rsidRPr="004D2BCB">
        <w:rPr>
          <w:rFonts w:ascii="Arial" w:hAnsi="Arial" w:cs="Arial"/>
        </w:rPr>
        <w:t xml:space="preserve">: </w:t>
      </w:r>
      <w:r w:rsidRPr="00390130">
        <w:rPr>
          <w:rFonts w:ascii="Arial" w:hAnsi="Arial" w:cs="Arial"/>
          <w:position w:val="-28"/>
        </w:rPr>
        <w:object w:dxaOrig="4120" w:dyaOrig="680">
          <v:shape id="_x0000_i1038" type="#_x0000_t75" style="width:211.5pt;height:35.25pt" o:ole="">
            <v:imagedata r:id="rId42" o:title=""/>
          </v:shape>
          <o:OLEObject Type="Embed" ProgID="Equation.3" ShapeID="_x0000_i1038" DrawAspect="Content" ObjectID="_1511789455" r:id="rId43"/>
        </w:object>
      </w:r>
    </w:p>
    <w:bookmarkEnd w:id="78"/>
    <w:bookmarkEnd w:id="79"/>
    <w:bookmarkEnd w:id="93"/>
    <w:p w:rsidR="00CF3FF0" w:rsidRPr="004D2BCB" w:rsidRDefault="00CF3FF0" w:rsidP="00EB46D0">
      <w:pPr>
        <w:rPr>
          <w:rFonts w:ascii="Arial" w:hAnsi="Arial" w:cs="Arial"/>
          <w:i/>
          <w:sz w:val="20"/>
          <w:szCs w:val="20"/>
        </w:rPr>
      </w:pPr>
    </w:p>
    <w:p w:rsidR="00542990" w:rsidRPr="004D2BCB" w:rsidRDefault="00542990" w:rsidP="00AB3BE3">
      <w:pPr>
        <w:rPr>
          <w:rFonts w:ascii="Arial" w:hAnsi="Arial" w:cs="Arial"/>
          <w:i/>
          <w:sz w:val="20"/>
          <w:szCs w:val="20"/>
        </w:rPr>
      </w:pPr>
    </w:p>
    <w:p w:rsidR="007878B9" w:rsidRPr="004D2BCB" w:rsidRDefault="00276ED1" w:rsidP="00BF0332">
      <w:pPr>
        <w:pStyle w:val="Heading2"/>
      </w:pPr>
      <w:bookmarkStart w:id="94" w:name="_Toc438047473"/>
      <w:r w:rsidRPr="004D2BCB">
        <w:t xml:space="preserve">2.3 </w:t>
      </w:r>
      <w:r w:rsidR="007878B9" w:rsidRPr="004D2BCB">
        <w:t>Gas Energy Savings Estimation Methodologies</w:t>
      </w:r>
      <w:bookmarkEnd w:id="94"/>
    </w:p>
    <w:p w:rsidR="009A5CE8" w:rsidRPr="004D2BCB" w:rsidRDefault="009A5CE8" w:rsidP="00844B27">
      <w:pPr>
        <w:rPr>
          <w:rFonts w:ascii="Arial" w:hAnsi="Arial" w:cs="Arial"/>
          <w:sz w:val="20"/>
          <w:szCs w:val="20"/>
          <w:highlight w:val="yellow"/>
        </w:rPr>
      </w:pPr>
    </w:p>
    <w:p w:rsidR="00CF3FF0" w:rsidRPr="004D2BCB" w:rsidRDefault="00312A1F" w:rsidP="000B6CB4">
      <w:pPr>
        <w:autoSpaceDE w:val="0"/>
        <w:autoSpaceDN w:val="0"/>
        <w:adjustRightInd w:val="0"/>
        <w:rPr>
          <w:rFonts w:ascii="Arial" w:hAnsi="Arial" w:cs="Arial"/>
          <w:sz w:val="20"/>
        </w:rPr>
      </w:pPr>
      <w:r w:rsidRPr="004D2BCB">
        <w:rPr>
          <w:rFonts w:ascii="Arial" w:hAnsi="Arial" w:cs="Arial"/>
          <w:sz w:val="20"/>
        </w:rPr>
        <w:t xml:space="preserve">There </w:t>
      </w:r>
      <w:r w:rsidR="005D6266" w:rsidRPr="004D2BCB">
        <w:rPr>
          <w:rFonts w:ascii="Arial" w:hAnsi="Arial" w:cs="Arial"/>
          <w:sz w:val="20"/>
        </w:rPr>
        <w:t>a</w:t>
      </w:r>
      <w:r w:rsidR="00844B27" w:rsidRPr="004D2BCB">
        <w:rPr>
          <w:rFonts w:ascii="Arial" w:hAnsi="Arial" w:cs="Arial"/>
          <w:sz w:val="20"/>
        </w:rPr>
        <w:t>re no gas</w:t>
      </w:r>
      <w:r w:rsidR="00D91AE6" w:rsidRPr="004D2BCB">
        <w:rPr>
          <w:rFonts w:ascii="Arial" w:hAnsi="Arial" w:cs="Arial"/>
          <w:sz w:val="20"/>
        </w:rPr>
        <w:t xml:space="preserve"> </w:t>
      </w:r>
      <w:r w:rsidR="00844B27" w:rsidRPr="004D2BCB">
        <w:rPr>
          <w:rFonts w:ascii="Arial" w:hAnsi="Arial" w:cs="Arial"/>
          <w:sz w:val="20"/>
        </w:rPr>
        <w:t>energy savings associated with this measure</w:t>
      </w:r>
      <w:r w:rsidR="00044570" w:rsidRPr="004D2BCB">
        <w:rPr>
          <w:rFonts w:ascii="Arial" w:hAnsi="Arial" w:cs="Arial"/>
          <w:sz w:val="20"/>
        </w:rPr>
        <w:t xml:space="preserve">. </w:t>
      </w:r>
    </w:p>
    <w:p w:rsidR="00B7164C" w:rsidRPr="004D2BCB" w:rsidRDefault="00C069A2" w:rsidP="00D20486">
      <w:pPr>
        <w:pStyle w:val="Heading1"/>
      </w:pPr>
      <w:bookmarkStart w:id="95" w:name="_Toc438047474"/>
      <w:r w:rsidRPr="004D2BCB">
        <w:t>Section 3</w:t>
      </w:r>
      <w:r w:rsidR="003129E8" w:rsidRPr="004D2BCB">
        <w:t>.</w:t>
      </w:r>
      <w:r w:rsidRPr="004D2BCB">
        <w:t xml:space="preserve"> Load Shapes</w:t>
      </w:r>
      <w:bookmarkEnd w:id="95"/>
      <w:r w:rsidR="00844B27" w:rsidRPr="004D2BCB">
        <w:t xml:space="preserve"> </w:t>
      </w:r>
    </w:p>
    <w:p w:rsidR="00B520BF" w:rsidRDefault="00B520BF" w:rsidP="00390130">
      <w:pPr>
        <w:autoSpaceDE w:val="0"/>
        <w:autoSpaceDN w:val="0"/>
        <w:adjustRightInd w:val="0"/>
        <w:jc w:val="both"/>
        <w:rPr>
          <w:rFonts w:ascii="Arial" w:hAnsi="Arial" w:cs="Arial"/>
          <w:sz w:val="20"/>
        </w:rPr>
      </w:pPr>
      <w:bookmarkStart w:id="96" w:name="_Toc173742996"/>
      <w:r w:rsidRPr="004D2BCB">
        <w:rPr>
          <w:rFonts w:ascii="Arial" w:hAnsi="Arial" w:cs="Arial"/>
          <w:sz w:val="20"/>
        </w:rPr>
        <w:t xml:space="preserve">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w:t>
      </w:r>
      <w:r w:rsidRPr="004D2BCB">
        <w:rPr>
          <w:rFonts w:ascii="Arial" w:hAnsi="Arial" w:cs="Arial"/>
          <w:sz w:val="20"/>
        </w:rPr>
        <w:lastRenderedPageBreak/>
        <w:t>period. Multiplying the measure load shape with the hourly avoided cost stream determines the average avoided cost per kWh for use in the life cycle cost analysis that determines a measure’s Total Resource Cost (TRC) benefit.</w:t>
      </w:r>
    </w:p>
    <w:p w:rsidR="008D6F1D" w:rsidRPr="004D2BCB" w:rsidRDefault="008D6F1D" w:rsidP="00390130">
      <w:pPr>
        <w:autoSpaceDE w:val="0"/>
        <w:autoSpaceDN w:val="0"/>
        <w:adjustRightInd w:val="0"/>
        <w:jc w:val="both"/>
        <w:rPr>
          <w:rFonts w:ascii="Arial" w:hAnsi="Arial" w:cs="Arial"/>
          <w:sz w:val="20"/>
        </w:rPr>
      </w:pPr>
    </w:p>
    <w:p w:rsidR="00B7164C" w:rsidRPr="004D2BCB" w:rsidRDefault="00BF0332" w:rsidP="00B7164C">
      <w:pPr>
        <w:pStyle w:val="Heading2"/>
        <w:keepNext w:val="0"/>
      </w:pPr>
      <w:bookmarkStart w:id="97" w:name="_Toc438047475"/>
      <w:r w:rsidRPr="004D2BCB">
        <w:t>3.1 Base Case</w:t>
      </w:r>
      <w:r w:rsidR="00B7164C" w:rsidRPr="004D2BCB">
        <w:t xml:space="preserve"> Load Shapes</w:t>
      </w:r>
      <w:bookmarkEnd w:id="96"/>
      <w:bookmarkEnd w:id="97"/>
    </w:p>
    <w:p w:rsidR="00023921" w:rsidRPr="004D2BCB" w:rsidRDefault="00023921" w:rsidP="008840FA">
      <w:pPr>
        <w:rPr>
          <w:rFonts w:ascii="Arial" w:hAnsi="Arial" w:cs="Arial"/>
          <w:sz w:val="20"/>
          <w:szCs w:val="20"/>
        </w:rPr>
      </w:pPr>
      <w:bookmarkStart w:id="98" w:name="_Toc173742997"/>
    </w:p>
    <w:p w:rsidR="00F332CB" w:rsidRPr="00390130" w:rsidRDefault="009861DE" w:rsidP="00390130">
      <w:pPr>
        <w:jc w:val="both"/>
        <w:rPr>
          <w:rFonts w:ascii="Arial" w:hAnsi="Arial" w:cs="Arial"/>
        </w:rPr>
      </w:pPr>
      <w:r w:rsidRPr="00390130">
        <w:rPr>
          <w:rFonts w:ascii="Arial" w:hAnsi="Arial" w:cs="Arial"/>
          <w:sz w:val="20"/>
        </w:rPr>
        <w:t xml:space="preserve">The closest load shape chosen for this measure is the PGE:DEER:Com:Indoor_Non-CFL_Ltg load shape. </w:t>
      </w:r>
    </w:p>
    <w:p w:rsidR="00F332CB" w:rsidRPr="00390130" w:rsidRDefault="00F332CB" w:rsidP="00F332CB">
      <w:pPr>
        <w:rPr>
          <w:rFonts w:ascii="Arial" w:hAnsi="Arial" w:cs="Arial"/>
        </w:rPr>
      </w:pPr>
    </w:p>
    <w:p w:rsidR="00B7164C" w:rsidRPr="004D2BCB" w:rsidRDefault="00B7164C" w:rsidP="00D20486">
      <w:pPr>
        <w:pStyle w:val="Heading2"/>
        <w:keepNext w:val="0"/>
      </w:pPr>
      <w:bookmarkStart w:id="99" w:name="_Toc438047476"/>
      <w:r w:rsidRPr="004D2BCB">
        <w:t>3.2 Measure Load Shapes</w:t>
      </w:r>
      <w:bookmarkEnd w:id="98"/>
      <w:bookmarkEnd w:id="99"/>
    </w:p>
    <w:p w:rsidR="009861DE" w:rsidRPr="00390130" w:rsidRDefault="009861DE" w:rsidP="00390130">
      <w:pPr>
        <w:jc w:val="both"/>
        <w:rPr>
          <w:rFonts w:ascii="Arial" w:hAnsi="Arial" w:cs="Arial"/>
          <w:sz w:val="20"/>
        </w:rPr>
      </w:pPr>
      <w:r w:rsidRPr="00390130">
        <w:rPr>
          <w:rFonts w:ascii="Arial" w:hAnsi="Arial" w:cs="Arial"/>
          <w:sz w:val="20"/>
        </w:rPr>
        <w:t xml:space="preserve">The measure load shape for this measure is determined based on the applicable commercial market sector and the lighting end-use. </w:t>
      </w:r>
    </w:p>
    <w:p w:rsidR="009861DE" w:rsidRPr="00390130" w:rsidRDefault="009861DE" w:rsidP="009861DE">
      <w:pPr>
        <w:rPr>
          <w:rFonts w:ascii="Arial" w:hAnsi="Arial" w:cs="Arial"/>
          <w:sz w:val="20"/>
        </w:rPr>
      </w:pPr>
      <w:r w:rsidRPr="00390130">
        <w:rPr>
          <w:rFonts w:ascii="Arial" w:hAnsi="Arial" w:cs="Arial"/>
          <w:sz w:val="20"/>
        </w:rPr>
        <w:t xml:space="preserve"> </w:t>
      </w:r>
    </w:p>
    <w:p w:rsidR="009861DE" w:rsidRPr="00390130" w:rsidRDefault="009861DE" w:rsidP="00390130">
      <w:pPr>
        <w:jc w:val="both"/>
        <w:rPr>
          <w:rFonts w:ascii="Arial" w:hAnsi="Arial" w:cs="Arial"/>
          <w:sz w:val="20"/>
        </w:rPr>
      </w:pPr>
      <w:r w:rsidRPr="00390130">
        <w:rPr>
          <w:rFonts w:ascii="Arial" w:hAnsi="Arial" w:cs="Arial"/>
          <w:sz w:val="20"/>
        </w:rPr>
        <w:t xml:space="preserve">The closest load shape chosen for this measure is the PGE:DEER:Com:Indoor_Non-CFL_Ltg load shape. See </w:t>
      </w:r>
      <w:r w:rsidR="00940E51" w:rsidRPr="00390130">
        <w:rPr>
          <w:rFonts w:ascii="Arial" w:hAnsi="Arial" w:cs="Arial"/>
          <w:sz w:val="20"/>
          <w:szCs w:val="20"/>
        </w:rPr>
        <w:fldChar w:fldCharType="begin"/>
      </w:r>
      <w:r w:rsidR="00940E51" w:rsidRPr="00390130">
        <w:rPr>
          <w:rFonts w:ascii="Arial" w:hAnsi="Arial" w:cs="Arial"/>
          <w:sz w:val="20"/>
          <w:szCs w:val="20"/>
        </w:rPr>
        <w:instrText xml:space="preserve"> REF _Ref437962194 \h  \* MERGEFORMAT </w:instrText>
      </w:r>
      <w:r w:rsidR="00940E51" w:rsidRPr="00390130">
        <w:rPr>
          <w:rFonts w:ascii="Arial" w:hAnsi="Arial" w:cs="Arial"/>
          <w:sz w:val="20"/>
          <w:szCs w:val="20"/>
        </w:rPr>
      </w:r>
      <w:r w:rsidR="00940E51" w:rsidRPr="00390130">
        <w:rPr>
          <w:rFonts w:ascii="Arial" w:hAnsi="Arial" w:cs="Arial"/>
          <w:sz w:val="20"/>
          <w:szCs w:val="20"/>
        </w:rPr>
        <w:fldChar w:fldCharType="separate"/>
      </w:r>
      <w:r w:rsidR="00940E51" w:rsidRPr="00390130">
        <w:rPr>
          <w:rFonts w:ascii="Arial" w:hAnsi="Arial" w:cs="Arial"/>
          <w:sz w:val="20"/>
          <w:szCs w:val="20"/>
        </w:rPr>
        <w:t xml:space="preserve">Table </w:t>
      </w:r>
      <w:r w:rsidR="00940E51" w:rsidRPr="00390130">
        <w:rPr>
          <w:rFonts w:ascii="Arial" w:hAnsi="Arial" w:cs="Arial"/>
          <w:noProof/>
          <w:sz w:val="20"/>
          <w:szCs w:val="20"/>
        </w:rPr>
        <w:t>6</w:t>
      </w:r>
      <w:r w:rsidR="00940E51" w:rsidRPr="00390130">
        <w:rPr>
          <w:rFonts w:ascii="Arial" w:hAnsi="Arial" w:cs="Arial"/>
          <w:sz w:val="20"/>
          <w:szCs w:val="20"/>
        </w:rPr>
        <w:fldChar w:fldCharType="end"/>
      </w:r>
      <w:r w:rsidR="00940E51" w:rsidRPr="004D2BCB">
        <w:rPr>
          <w:rFonts w:ascii="Arial" w:hAnsi="Arial" w:cs="Arial"/>
          <w:sz w:val="20"/>
          <w:szCs w:val="20"/>
        </w:rPr>
        <w:t xml:space="preserve"> </w:t>
      </w:r>
      <w:r w:rsidRPr="00390130">
        <w:rPr>
          <w:rFonts w:ascii="Arial" w:hAnsi="Arial" w:cs="Arial"/>
          <w:sz w:val="20"/>
          <w:szCs w:val="20"/>
        </w:rPr>
        <w:t>f</w:t>
      </w:r>
      <w:r w:rsidRPr="00390130">
        <w:rPr>
          <w:rFonts w:ascii="Arial" w:hAnsi="Arial" w:cs="Arial"/>
          <w:sz w:val="20"/>
        </w:rPr>
        <w:t xml:space="preserve">or a list of all Building Types and Load Shapes. </w:t>
      </w:r>
    </w:p>
    <w:p w:rsidR="009861DE" w:rsidRPr="00390130" w:rsidRDefault="009861DE" w:rsidP="009861DE">
      <w:pPr>
        <w:keepNext/>
        <w:keepLines/>
        <w:rPr>
          <w:rFonts w:ascii="Arial" w:hAnsi="Arial" w:cs="Arial"/>
          <w:szCs w:val="20"/>
        </w:rPr>
      </w:pPr>
    </w:p>
    <w:p w:rsidR="009861DE" w:rsidRPr="004D2BCB" w:rsidRDefault="00940E51" w:rsidP="00390130">
      <w:pPr>
        <w:pStyle w:val="Caption"/>
        <w:rPr>
          <w:rFonts w:cs="Arial"/>
          <w:b w:val="0"/>
        </w:rPr>
      </w:pPr>
      <w:bookmarkStart w:id="100" w:name="_Ref437962194"/>
      <w:bookmarkStart w:id="101" w:name="_Toc437853375"/>
      <w:bookmarkStart w:id="102" w:name="_Toc438047488"/>
      <w:r w:rsidRPr="00FF214D">
        <w:rPr>
          <w:rFonts w:cs="Arial"/>
        </w:rPr>
        <w:t xml:space="preserve">Table </w:t>
      </w:r>
      <w:r w:rsidRPr="00390130">
        <w:rPr>
          <w:rFonts w:cs="Arial"/>
        </w:rPr>
        <w:fldChar w:fldCharType="begin"/>
      </w:r>
      <w:r w:rsidRPr="00390130">
        <w:rPr>
          <w:rFonts w:cs="Arial"/>
        </w:rPr>
        <w:instrText xml:space="preserve"> SEQ Table \* ARABIC </w:instrText>
      </w:r>
      <w:r w:rsidRPr="00390130">
        <w:rPr>
          <w:rFonts w:cs="Arial"/>
        </w:rPr>
        <w:fldChar w:fldCharType="separate"/>
      </w:r>
      <w:r w:rsidRPr="00390130">
        <w:rPr>
          <w:rFonts w:cs="Arial"/>
          <w:noProof/>
        </w:rPr>
        <w:t>6</w:t>
      </w:r>
      <w:r w:rsidRPr="00390130">
        <w:rPr>
          <w:rFonts w:cs="Arial"/>
        </w:rPr>
        <w:fldChar w:fldCharType="end"/>
      </w:r>
      <w:bookmarkEnd w:id="100"/>
      <w:r w:rsidR="009861DE" w:rsidRPr="004D2BCB">
        <w:rPr>
          <w:rFonts w:cs="Arial"/>
        </w:rPr>
        <w:t xml:space="preserve"> </w:t>
      </w:r>
      <w:r w:rsidR="004460D4" w:rsidRPr="004D2BCB">
        <w:rPr>
          <w:rFonts w:cs="Arial"/>
        </w:rPr>
        <w:t xml:space="preserve">- </w:t>
      </w:r>
      <w:r w:rsidR="009861DE" w:rsidRPr="004D2BCB">
        <w:rPr>
          <w:rFonts w:cs="Arial"/>
        </w:rPr>
        <w:t>Building Types and Load Shapes</w:t>
      </w:r>
      <w:bookmarkEnd w:id="101"/>
      <w:bookmarkEnd w:id="102"/>
    </w:p>
    <w:tbl>
      <w:tblPr>
        <w:tblStyle w:val="TableGrid1"/>
        <w:tblW w:w="5000" w:type="pct"/>
        <w:tblLook w:val="01E0" w:firstRow="1" w:lastRow="1" w:firstColumn="1" w:lastColumn="1" w:noHBand="0" w:noVBand="0"/>
      </w:tblPr>
      <w:tblGrid>
        <w:gridCol w:w="3229"/>
        <w:gridCol w:w="3407"/>
        <w:gridCol w:w="2940"/>
      </w:tblGrid>
      <w:tr w:rsidR="009861DE" w:rsidRPr="004D2BCB" w:rsidTr="009861DE">
        <w:tc>
          <w:tcPr>
            <w:tcW w:w="1686" w:type="pct"/>
            <w:shd w:val="clear" w:color="auto" w:fill="D9D9D9" w:themeFill="background1" w:themeFillShade="D9"/>
          </w:tcPr>
          <w:p w:rsidR="009861DE" w:rsidRPr="00390130" w:rsidRDefault="009861DE" w:rsidP="009861DE">
            <w:pPr>
              <w:rPr>
                <w:rFonts w:ascii="Arial" w:hAnsi="Arial" w:cs="Arial"/>
                <w:b/>
                <w:sz w:val="20"/>
                <w:szCs w:val="20"/>
                <w:highlight w:val="yellow"/>
              </w:rPr>
            </w:pPr>
            <w:r w:rsidRPr="00390130">
              <w:rPr>
                <w:rFonts w:ascii="Arial" w:hAnsi="Arial" w:cs="Arial"/>
                <w:b/>
                <w:sz w:val="20"/>
                <w:szCs w:val="20"/>
              </w:rPr>
              <w:t>Building Type</w:t>
            </w:r>
          </w:p>
        </w:tc>
        <w:tc>
          <w:tcPr>
            <w:tcW w:w="1779" w:type="pct"/>
            <w:shd w:val="clear" w:color="auto" w:fill="D9D9D9" w:themeFill="background1" w:themeFillShade="D9"/>
          </w:tcPr>
          <w:p w:rsidR="009861DE" w:rsidRPr="00390130" w:rsidRDefault="009861DE" w:rsidP="009861DE">
            <w:pPr>
              <w:rPr>
                <w:rFonts w:ascii="Arial" w:hAnsi="Arial" w:cs="Arial"/>
                <w:b/>
                <w:sz w:val="20"/>
                <w:szCs w:val="20"/>
              </w:rPr>
            </w:pPr>
            <w:r w:rsidRPr="00390130">
              <w:rPr>
                <w:rFonts w:ascii="Arial" w:hAnsi="Arial" w:cs="Arial"/>
                <w:b/>
                <w:sz w:val="20"/>
                <w:szCs w:val="20"/>
              </w:rPr>
              <w:t>Load Shape</w:t>
            </w:r>
          </w:p>
        </w:tc>
        <w:tc>
          <w:tcPr>
            <w:tcW w:w="1535" w:type="pct"/>
            <w:shd w:val="clear" w:color="auto" w:fill="D9D9D9" w:themeFill="background1" w:themeFillShade="D9"/>
          </w:tcPr>
          <w:p w:rsidR="009861DE" w:rsidRPr="00390130" w:rsidRDefault="009861DE" w:rsidP="009861DE">
            <w:pPr>
              <w:rPr>
                <w:rFonts w:ascii="Arial" w:hAnsi="Arial" w:cs="Arial"/>
                <w:b/>
                <w:sz w:val="20"/>
                <w:szCs w:val="20"/>
                <w:highlight w:val="yellow"/>
              </w:rPr>
            </w:pPr>
            <w:r w:rsidRPr="00390130">
              <w:rPr>
                <w:rFonts w:ascii="Arial" w:hAnsi="Arial" w:cs="Arial"/>
                <w:b/>
                <w:sz w:val="20"/>
                <w:szCs w:val="20"/>
              </w:rPr>
              <w:t>E3 Alternate Building Type</w:t>
            </w:r>
          </w:p>
        </w:tc>
      </w:tr>
      <w:tr w:rsidR="009861DE" w:rsidRPr="004D2BCB" w:rsidTr="009861DE">
        <w:tc>
          <w:tcPr>
            <w:tcW w:w="1686" w:type="pct"/>
          </w:tcPr>
          <w:p w:rsidR="009861DE" w:rsidRPr="00390130" w:rsidRDefault="00B32FD1" w:rsidP="009861DE">
            <w:pPr>
              <w:rPr>
                <w:rFonts w:ascii="Arial" w:hAnsi="Arial" w:cs="Arial"/>
                <w:szCs w:val="20"/>
              </w:rPr>
            </w:pPr>
            <w:r>
              <w:rPr>
                <w:rFonts w:ascii="Arial" w:hAnsi="Arial" w:cs="Arial"/>
                <w:sz w:val="20"/>
              </w:rPr>
              <w:t>DEER Building Type GRO</w:t>
            </w:r>
          </w:p>
        </w:tc>
        <w:tc>
          <w:tcPr>
            <w:tcW w:w="1779" w:type="pct"/>
          </w:tcPr>
          <w:p w:rsidR="009861DE" w:rsidRPr="00390130" w:rsidRDefault="009861DE" w:rsidP="009861DE">
            <w:pPr>
              <w:rPr>
                <w:rFonts w:ascii="Arial" w:hAnsi="Arial" w:cs="Arial"/>
                <w:szCs w:val="20"/>
              </w:rPr>
            </w:pPr>
            <w:r w:rsidRPr="00390130">
              <w:rPr>
                <w:rFonts w:ascii="Arial" w:hAnsi="Arial" w:cs="Arial"/>
                <w:sz w:val="20"/>
              </w:rPr>
              <w:t>PGE:DEER:Com:Indoor_Non-CFL_Ltg</w:t>
            </w:r>
          </w:p>
        </w:tc>
        <w:tc>
          <w:tcPr>
            <w:tcW w:w="1535" w:type="pct"/>
          </w:tcPr>
          <w:p w:rsidR="009861DE" w:rsidRPr="00390130" w:rsidRDefault="009861DE" w:rsidP="009861DE">
            <w:pPr>
              <w:rPr>
                <w:rFonts w:ascii="Arial" w:hAnsi="Arial" w:cs="Arial"/>
                <w:szCs w:val="20"/>
              </w:rPr>
            </w:pPr>
            <w:r w:rsidRPr="00390130">
              <w:rPr>
                <w:rFonts w:ascii="Arial" w:hAnsi="Arial" w:cs="Arial"/>
                <w:sz w:val="20"/>
              </w:rPr>
              <w:t>NON_RES</w:t>
            </w:r>
          </w:p>
        </w:tc>
      </w:tr>
    </w:tbl>
    <w:p w:rsidR="00E950C9" w:rsidRPr="004D2BCB" w:rsidRDefault="00E950C9" w:rsidP="00E950C9">
      <w:pPr>
        <w:jc w:val="center"/>
        <w:rPr>
          <w:rFonts w:ascii="Arial" w:hAnsi="Arial" w:cs="Arial"/>
          <w:sz w:val="20"/>
          <w:szCs w:val="20"/>
        </w:rPr>
      </w:pPr>
    </w:p>
    <w:p w:rsidR="009E43B3" w:rsidRPr="004D2BCB" w:rsidRDefault="00C069A2" w:rsidP="009E43B3">
      <w:pPr>
        <w:pStyle w:val="Heading1"/>
        <w:keepNext w:val="0"/>
      </w:pPr>
      <w:bookmarkStart w:id="103" w:name="_Toc438047477"/>
      <w:r w:rsidRPr="004D2BCB">
        <w:t>Section 4</w:t>
      </w:r>
      <w:r w:rsidR="003129E8" w:rsidRPr="004D2BCB">
        <w:t>.</w:t>
      </w:r>
      <w:r w:rsidRPr="004D2BCB">
        <w:t xml:space="preserve"> Base Case &amp; Measure Cost</w:t>
      </w:r>
      <w:bookmarkEnd w:id="103"/>
    </w:p>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513DAC" w:rsidRPr="004D2BCB" w:rsidTr="00953425">
        <w:trPr>
          <w:trHeight w:val="255"/>
        </w:trPr>
        <w:tc>
          <w:tcPr>
            <w:tcW w:w="1964" w:type="dxa"/>
            <w:shd w:val="clear" w:color="auto" w:fill="262626"/>
            <w:noWrap/>
            <w:vAlign w:val="bottom"/>
          </w:tcPr>
          <w:p w:rsidR="00513DAC" w:rsidRPr="00390130" w:rsidRDefault="00513DAC" w:rsidP="00953425">
            <w:pPr>
              <w:jc w:val="center"/>
              <w:rPr>
                <w:rFonts w:ascii="Arial" w:hAnsi="Arial" w:cs="Arial"/>
                <w:b/>
              </w:rPr>
            </w:pPr>
            <w:r w:rsidRPr="00390130">
              <w:rPr>
                <w:rFonts w:ascii="Arial" w:hAnsi="Arial" w:cs="Arial"/>
                <w:b/>
              </w:rPr>
              <w:t>Measure Application Type</w:t>
            </w:r>
          </w:p>
        </w:tc>
        <w:tc>
          <w:tcPr>
            <w:tcW w:w="1202" w:type="dxa"/>
            <w:shd w:val="clear" w:color="auto" w:fill="262626"/>
            <w:noWrap/>
            <w:vAlign w:val="bottom"/>
          </w:tcPr>
          <w:p w:rsidR="00513DAC" w:rsidRPr="00390130" w:rsidRDefault="00513DAC" w:rsidP="00953425">
            <w:pPr>
              <w:jc w:val="center"/>
              <w:rPr>
                <w:rFonts w:ascii="Arial" w:hAnsi="Arial" w:cs="Arial"/>
                <w:b/>
              </w:rPr>
            </w:pPr>
            <w:r w:rsidRPr="00390130">
              <w:rPr>
                <w:rFonts w:ascii="Arial" w:hAnsi="Arial" w:cs="Arial"/>
                <w:b/>
              </w:rPr>
              <w:t>Measure Life Basis</w:t>
            </w:r>
          </w:p>
        </w:tc>
        <w:tc>
          <w:tcPr>
            <w:tcW w:w="2699" w:type="dxa"/>
            <w:shd w:val="clear" w:color="auto" w:fill="262626"/>
            <w:vAlign w:val="bottom"/>
          </w:tcPr>
          <w:p w:rsidR="00513DAC" w:rsidRPr="00390130" w:rsidRDefault="00513DAC" w:rsidP="00953425">
            <w:pPr>
              <w:jc w:val="center"/>
              <w:rPr>
                <w:rFonts w:ascii="Arial" w:hAnsi="Arial" w:cs="Arial"/>
                <w:b/>
              </w:rPr>
            </w:pPr>
            <w:r w:rsidRPr="00390130">
              <w:rPr>
                <w:rFonts w:ascii="Arial" w:hAnsi="Arial" w:cs="Arial"/>
                <w:b/>
              </w:rPr>
              <w:t>First Baseline Period Full Measure Cost (RUL)</w:t>
            </w:r>
          </w:p>
        </w:tc>
        <w:tc>
          <w:tcPr>
            <w:tcW w:w="2790" w:type="dxa"/>
            <w:shd w:val="clear" w:color="auto" w:fill="262626"/>
            <w:noWrap/>
            <w:vAlign w:val="bottom"/>
          </w:tcPr>
          <w:p w:rsidR="00513DAC" w:rsidRPr="00390130" w:rsidRDefault="00513DAC" w:rsidP="00953425">
            <w:pPr>
              <w:jc w:val="center"/>
              <w:rPr>
                <w:rFonts w:ascii="Arial" w:hAnsi="Arial" w:cs="Arial"/>
                <w:b/>
              </w:rPr>
            </w:pPr>
            <w:r w:rsidRPr="00390130">
              <w:rPr>
                <w:rFonts w:ascii="Arial" w:hAnsi="Arial" w:cs="Arial"/>
                <w:b/>
              </w:rPr>
              <w:t>Second Baseline Period Full Measure Cost (EUL – RUL)</w:t>
            </w:r>
          </w:p>
        </w:tc>
      </w:tr>
      <w:tr w:rsidR="002A5CDC" w:rsidRPr="004D2BCB" w:rsidTr="00683C25">
        <w:trPr>
          <w:trHeight w:val="255"/>
        </w:trPr>
        <w:tc>
          <w:tcPr>
            <w:tcW w:w="1964" w:type="dxa"/>
            <w:shd w:val="pct20" w:color="000000" w:fill="FFFFFF"/>
            <w:noWrap/>
          </w:tcPr>
          <w:p w:rsidR="002A5CDC" w:rsidRPr="00390130" w:rsidRDefault="004F0EB3" w:rsidP="004F0EB3">
            <w:pPr>
              <w:jc w:val="center"/>
              <w:rPr>
                <w:rFonts w:ascii="Arial" w:hAnsi="Arial" w:cs="Arial"/>
              </w:rPr>
            </w:pPr>
            <w:r w:rsidRPr="004D2BCB">
              <w:rPr>
                <w:rFonts w:ascii="Arial" w:hAnsi="Arial" w:cs="Arial"/>
                <w:b/>
                <w:i/>
                <w:sz w:val="22"/>
              </w:rPr>
              <w:t>ROB(replace on burnout)</w:t>
            </w:r>
          </w:p>
        </w:tc>
        <w:tc>
          <w:tcPr>
            <w:tcW w:w="1202" w:type="dxa"/>
            <w:shd w:val="pct20" w:color="000000" w:fill="FFFFFF"/>
            <w:noWrap/>
          </w:tcPr>
          <w:p w:rsidR="002A5CDC" w:rsidRPr="00390130" w:rsidRDefault="002A5CDC" w:rsidP="004F0EB3">
            <w:pPr>
              <w:jc w:val="center"/>
              <w:rPr>
                <w:rFonts w:ascii="Arial" w:hAnsi="Arial" w:cs="Arial"/>
              </w:rPr>
            </w:pPr>
            <w:r w:rsidRPr="00390130">
              <w:rPr>
                <w:rFonts w:ascii="Arial" w:hAnsi="Arial" w:cs="Arial"/>
              </w:rPr>
              <w:t>EUL</w:t>
            </w:r>
          </w:p>
        </w:tc>
        <w:tc>
          <w:tcPr>
            <w:tcW w:w="2699" w:type="dxa"/>
            <w:shd w:val="pct20" w:color="000000" w:fill="FFFFFF"/>
          </w:tcPr>
          <w:p w:rsidR="002A5CDC" w:rsidRPr="00390130" w:rsidRDefault="002A5CDC" w:rsidP="004F0EB3">
            <w:pPr>
              <w:jc w:val="center"/>
              <w:rPr>
                <w:rFonts w:ascii="Arial" w:hAnsi="Arial" w:cs="Arial"/>
              </w:rPr>
            </w:pPr>
            <w:r w:rsidRPr="00390130">
              <w:rPr>
                <w:rFonts w:ascii="Arial" w:hAnsi="Arial" w:cs="Arial"/>
              </w:rPr>
              <w:t>Calculated as Incremental Measure Cost</w:t>
            </w:r>
          </w:p>
        </w:tc>
        <w:tc>
          <w:tcPr>
            <w:tcW w:w="2790" w:type="dxa"/>
            <w:shd w:val="pct20" w:color="000000" w:fill="FFFFFF"/>
            <w:noWrap/>
          </w:tcPr>
          <w:p w:rsidR="002A5CDC" w:rsidRPr="00390130" w:rsidRDefault="002A5CDC" w:rsidP="004F0EB3">
            <w:pPr>
              <w:jc w:val="center"/>
              <w:rPr>
                <w:rFonts w:ascii="Arial" w:hAnsi="Arial" w:cs="Arial"/>
              </w:rPr>
            </w:pPr>
            <w:r w:rsidRPr="00390130">
              <w:rPr>
                <w:rFonts w:ascii="Arial" w:hAnsi="Arial" w:cs="Arial"/>
              </w:rPr>
              <w:t>N/A</w:t>
            </w:r>
          </w:p>
        </w:tc>
      </w:tr>
    </w:tbl>
    <w:p w:rsidR="00AE08CB" w:rsidRPr="004D2BCB" w:rsidRDefault="00AE08CB" w:rsidP="00B16BE4">
      <w:pPr>
        <w:rPr>
          <w:rFonts w:ascii="Arial" w:hAnsi="Arial" w:cs="Arial"/>
        </w:rPr>
      </w:pPr>
    </w:p>
    <w:p w:rsidR="008D6F1D" w:rsidRDefault="008D6F1D" w:rsidP="00D20486">
      <w:pPr>
        <w:pStyle w:val="Heading2"/>
        <w:keepNext w:val="0"/>
      </w:pPr>
    </w:p>
    <w:p w:rsidR="008D6F1D" w:rsidRDefault="008D6F1D" w:rsidP="00D20486">
      <w:pPr>
        <w:pStyle w:val="Heading2"/>
        <w:keepNext w:val="0"/>
      </w:pPr>
    </w:p>
    <w:p w:rsidR="008D6F1D" w:rsidRDefault="008D6F1D" w:rsidP="00D20486">
      <w:pPr>
        <w:pStyle w:val="Heading2"/>
        <w:keepNext w:val="0"/>
      </w:pPr>
    </w:p>
    <w:p w:rsidR="008D6F1D" w:rsidRDefault="008D6F1D" w:rsidP="00D20486">
      <w:pPr>
        <w:pStyle w:val="Heading2"/>
        <w:keepNext w:val="0"/>
      </w:pPr>
    </w:p>
    <w:p w:rsidR="008D6F1D" w:rsidRDefault="008D6F1D" w:rsidP="00D20486">
      <w:pPr>
        <w:pStyle w:val="Heading2"/>
        <w:keepNext w:val="0"/>
      </w:pPr>
    </w:p>
    <w:p w:rsidR="008D6F1D" w:rsidRDefault="008D6F1D" w:rsidP="00D20486">
      <w:pPr>
        <w:pStyle w:val="Heading2"/>
        <w:keepNext w:val="0"/>
      </w:pPr>
    </w:p>
    <w:p w:rsidR="008D6F1D" w:rsidRDefault="008D6F1D" w:rsidP="00D20486">
      <w:pPr>
        <w:pStyle w:val="Heading2"/>
        <w:keepNext w:val="0"/>
      </w:pPr>
    </w:p>
    <w:p w:rsidR="001B242B" w:rsidRPr="004D2BCB" w:rsidRDefault="00C069A2" w:rsidP="00D20486">
      <w:pPr>
        <w:pStyle w:val="Heading2"/>
        <w:keepNext w:val="0"/>
      </w:pPr>
      <w:bookmarkStart w:id="104" w:name="_Toc438047478"/>
      <w:r w:rsidRPr="004D2BCB">
        <w:lastRenderedPageBreak/>
        <w:t>4.1 Base Case Costs</w:t>
      </w:r>
      <w:bookmarkEnd w:id="104"/>
    </w:p>
    <w:p w:rsidR="00397C35" w:rsidRDefault="00397C35" w:rsidP="00390130">
      <w:pPr>
        <w:jc w:val="both"/>
        <w:rPr>
          <w:rFonts w:ascii="Arial" w:hAnsi="Arial" w:cs="Arial"/>
          <w:sz w:val="20"/>
          <w:szCs w:val="20"/>
        </w:rPr>
      </w:pPr>
      <w:r w:rsidRPr="004D2BCB">
        <w:rPr>
          <w:rFonts w:ascii="Arial" w:hAnsi="Arial" w:cs="Arial"/>
          <w:sz w:val="20"/>
        </w:rPr>
        <w:t>The base case cost is the cost of the fluorescent or incandescent lamp</w:t>
      </w:r>
      <w:r w:rsidR="00A42B11" w:rsidRPr="004D2BCB">
        <w:rPr>
          <w:rFonts w:ascii="Arial" w:hAnsi="Arial" w:cs="Arial"/>
          <w:sz w:val="20"/>
        </w:rPr>
        <w:t xml:space="preserve">. </w:t>
      </w:r>
      <w:r w:rsidRPr="004D2BCB">
        <w:rPr>
          <w:rFonts w:ascii="Arial" w:hAnsi="Arial" w:cs="Arial"/>
          <w:sz w:val="20"/>
        </w:rPr>
        <w:t xml:space="preserve">The lamp costs were developed using </w:t>
      </w:r>
      <w:r w:rsidR="00D92384" w:rsidRPr="004D2BCB">
        <w:rPr>
          <w:rFonts w:ascii="Arial" w:hAnsi="Arial" w:cs="Arial"/>
          <w:sz w:val="20"/>
        </w:rPr>
        <w:t>industrial supply websites</w:t>
      </w:r>
      <w:r w:rsidRPr="004D2BCB">
        <w:rPr>
          <w:rFonts w:ascii="Arial" w:hAnsi="Arial" w:cs="Arial"/>
          <w:sz w:val="20"/>
        </w:rPr>
        <w:t xml:space="preserve"> for currently available products specific to this application. </w:t>
      </w:r>
      <w:r w:rsidRPr="004D2BCB">
        <w:rPr>
          <w:rFonts w:ascii="Arial" w:hAnsi="Arial" w:cs="Arial"/>
          <w:sz w:val="20"/>
          <w:szCs w:val="20"/>
        </w:rPr>
        <w:t>The following Measure Application Type is appropriate to these measures. The Base Case Costs are:</w:t>
      </w:r>
    </w:p>
    <w:p w:rsidR="002B57DB" w:rsidRPr="004D2BCB" w:rsidRDefault="002B57DB" w:rsidP="00390130">
      <w:pPr>
        <w:jc w:val="both"/>
        <w:rPr>
          <w:rFonts w:ascii="Arial" w:hAnsi="Arial" w:cs="Arial"/>
          <w:sz w:val="20"/>
          <w:szCs w:val="20"/>
        </w:rPr>
      </w:pPr>
    </w:p>
    <w:p w:rsidR="004F0EB3" w:rsidRPr="00390130" w:rsidRDefault="004F0EB3" w:rsidP="004F0EB3">
      <w:pPr>
        <w:rPr>
          <w:rFonts w:ascii="Arial" w:hAnsi="Arial" w:cs="Arial"/>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0"/>
        <w:gridCol w:w="1350"/>
        <w:gridCol w:w="1160"/>
        <w:gridCol w:w="1250"/>
      </w:tblGrid>
      <w:tr w:rsidR="002E1193" w:rsidRPr="004D2BCB" w:rsidTr="002E1193">
        <w:trPr>
          <w:cantSplit/>
          <w:tblHeader/>
          <w:jc w:val="center"/>
        </w:trPr>
        <w:tc>
          <w:tcPr>
            <w:tcW w:w="1980" w:type="dxa"/>
            <w:shd w:val="clear" w:color="auto" w:fill="auto"/>
          </w:tcPr>
          <w:p w:rsidR="002E1193" w:rsidRPr="004D2BCB" w:rsidRDefault="002E1193" w:rsidP="00397C35">
            <w:pPr>
              <w:rPr>
                <w:rFonts w:ascii="Arial" w:hAnsi="Arial" w:cs="Arial"/>
                <w:b/>
                <w:i/>
                <w:sz w:val="20"/>
                <w:szCs w:val="20"/>
              </w:rPr>
            </w:pPr>
            <w:r w:rsidRPr="004D2BCB">
              <w:rPr>
                <w:rFonts w:ascii="Arial" w:hAnsi="Arial" w:cs="Arial"/>
                <w:b/>
                <w:i/>
                <w:sz w:val="20"/>
                <w:szCs w:val="20"/>
              </w:rPr>
              <w:t>Measure Code</w:t>
            </w:r>
          </w:p>
        </w:tc>
        <w:tc>
          <w:tcPr>
            <w:tcW w:w="1350" w:type="dxa"/>
            <w:shd w:val="clear" w:color="auto" w:fill="auto"/>
          </w:tcPr>
          <w:p w:rsidR="002E1193" w:rsidRPr="004D2BCB" w:rsidRDefault="002E1193" w:rsidP="00397C35">
            <w:pPr>
              <w:rPr>
                <w:rFonts w:ascii="Arial" w:hAnsi="Arial" w:cs="Arial"/>
                <w:b/>
                <w:sz w:val="20"/>
                <w:szCs w:val="20"/>
              </w:rPr>
            </w:pPr>
            <w:r w:rsidRPr="004D2BCB">
              <w:rPr>
                <w:rFonts w:ascii="Arial" w:hAnsi="Arial" w:cs="Arial"/>
                <w:b/>
                <w:sz w:val="20"/>
                <w:szCs w:val="20"/>
              </w:rPr>
              <w:t>Measure Application Type</w:t>
            </w:r>
          </w:p>
        </w:tc>
        <w:tc>
          <w:tcPr>
            <w:tcW w:w="1160" w:type="dxa"/>
            <w:shd w:val="clear" w:color="auto" w:fill="auto"/>
          </w:tcPr>
          <w:p w:rsidR="002E1193" w:rsidRPr="004D2BCB" w:rsidRDefault="002E1193" w:rsidP="00397C35">
            <w:pPr>
              <w:rPr>
                <w:rFonts w:ascii="Arial" w:hAnsi="Arial" w:cs="Arial"/>
                <w:b/>
                <w:sz w:val="20"/>
                <w:szCs w:val="20"/>
              </w:rPr>
            </w:pPr>
            <w:r w:rsidRPr="004D2BCB">
              <w:rPr>
                <w:rFonts w:ascii="Arial" w:hAnsi="Arial" w:cs="Arial"/>
                <w:b/>
                <w:sz w:val="20"/>
                <w:szCs w:val="20"/>
              </w:rPr>
              <w:t>Baseline</w:t>
            </w:r>
          </w:p>
        </w:tc>
        <w:tc>
          <w:tcPr>
            <w:tcW w:w="1250" w:type="dxa"/>
            <w:shd w:val="clear" w:color="auto" w:fill="auto"/>
          </w:tcPr>
          <w:p w:rsidR="002E1193" w:rsidRPr="004D2BCB" w:rsidRDefault="002E1193" w:rsidP="00397C35">
            <w:pPr>
              <w:rPr>
                <w:rFonts w:ascii="Arial" w:hAnsi="Arial" w:cs="Arial"/>
                <w:b/>
                <w:sz w:val="20"/>
                <w:szCs w:val="20"/>
              </w:rPr>
            </w:pPr>
            <w:r w:rsidRPr="004D2BCB">
              <w:rPr>
                <w:rFonts w:ascii="Arial" w:hAnsi="Arial" w:cs="Arial"/>
                <w:b/>
                <w:sz w:val="20"/>
                <w:szCs w:val="20"/>
              </w:rPr>
              <w:t>Equipment Cost</w:t>
            </w:r>
          </w:p>
        </w:tc>
      </w:tr>
      <w:tr w:rsidR="002E1193" w:rsidRPr="004D2BCB" w:rsidTr="002E1193">
        <w:trPr>
          <w:cantSplit/>
          <w:jc w:val="center"/>
        </w:trPr>
        <w:tc>
          <w:tcPr>
            <w:tcW w:w="1980" w:type="dxa"/>
            <w:shd w:val="clear" w:color="auto" w:fill="auto"/>
            <w:vAlign w:val="center"/>
          </w:tcPr>
          <w:p w:rsidR="002E1193" w:rsidRPr="004D2BCB" w:rsidRDefault="002E1193" w:rsidP="00397C35">
            <w:pPr>
              <w:jc w:val="center"/>
              <w:rPr>
                <w:rFonts w:ascii="Arial" w:hAnsi="Arial" w:cs="Arial"/>
                <w:color w:val="000000"/>
                <w:sz w:val="20"/>
                <w:szCs w:val="20"/>
              </w:rPr>
            </w:pPr>
            <w:r w:rsidRPr="004D2BCB">
              <w:rPr>
                <w:rFonts w:ascii="Arial" w:hAnsi="Arial" w:cs="Arial"/>
                <w:color w:val="000000"/>
                <w:sz w:val="20"/>
                <w:szCs w:val="20"/>
              </w:rPr>
              <w:t>LED Luminaire in Walk-in Cooler: 32W to 24W</w:t>
            </w:r>
          </w:p>
        </w:tc>
        <w:tc>
          <w:tcPr>
            <w:tcW w:w="1350" w:type="dxa"/>
            <w:shd w:val="clear" w:color="auto" w:fill="auto"/>
            <w:vAlign w:val="center"/>
          </w:tcPr>
          <w:p w:rsidR="002E1193" w:rsidRPr="004D2BCB" w:rsidRDefault="002E1193" w:rsidP="00397C35">
            <w:pPr>
              <w:jc w:val="center"/>
              <w:rPr>
                <w:rFonts w:ascii="Arial" w:hAnsi="Arial" w:cs="Arial"/>
                <w:sz w:val="20"/>
                <w:szCs w:val="20"/>
              </w:rPr>
            </w:pPr>
            <w:r w:rsidRPr="004D2BCB">
              <w:rPr>
                <w:rFonts w:ascii="Arial" w:hAnsi="Arial" w:cs="Arial"/>
                <w:sz w:val="20"/>
                <w:szCs w:val="20"/>
              </w:rPr>
              <w:t>ROB</w:t>
            </w:r>
          </w:p>
        </w:tc>
        <w:tc>
          <w:tcPr>
            <w:tcW w:w="1160" w:type="dxa"/>
            <w:shd w:val="clear" w:color="auto" w:fill="auto"/>
            <w:vAlign w:val="center"/>
          </w:tcPr>
          <w:p w:rsidR="002E1193" w:rsidRPr="004D2BCB" w:rsidRDefault="002E1193" w:rsidP="00397C35">
            <w:pPr>
              <w:jc w:val="center"/>
              <w:rPr>
                <w:rFonts w:ascii="Arial" w:hAnsi="Arial" w:cs="Arial"/>
                <w:sz w:val="20"/>
                <w:szCs w:val="20"/>
              </w:rPr>
            </w:pPr>
            <w:r w:rsidRPr="004D2BCB">
              <w:rPr>
                <w:rFonts w:ascii="Arial" w:hAnsi="Arial" w:cs="Arial"/>
                <w:sz w:val="20"/>
                <w:szCs w:val="20"/>
              </w:rPr>
              <w:t>Existing</w:t>
            </w:r>
          </w:p>
        </w:tc>
        <w:tc>
          <w:tcPr>
            <w:tcW w:w="1250" w:type="dxa"/>
            <w:shd w:val="clear" w:color="auto" w:fill="auto"/>
            <w:vAlign w:val="center"/>
          </w:tcPr>
          <w:p w:rsidR="002E1193" w:rsidRPr="00390130" w:rsidRDefault="002E1193" w:rsidP="00693003">
            <w:pPr>
              <w:jc w:val="center"/>
              <w:rPr>
                <w:rFonts w:ascii="Arial" w:hAnsi="Arial" w:cs="Arial"/>
                <w:color w:val="000000"/>
                <w:sz w:val="20"/>
                <w:szCs w:val="20"/>
              </w:rPr>
            </w:pPr>
            <w:r w:rsidRPr="00390130">
              <w:rPr>
                <w:rFonts w:ascii="Arial" w:hAnsi="Arial" w:cs="Arial"/>
                <w:color w:val="000000"/>
                <w:sz w:val="20"/>
                <w:szCs w:val="20"/>
              </w:rPr>
              <w:t>$4.79</w:t>
            </w:r>
          </w:p>
        </w:tc>
      </w:tr>
      <w:tr w:rsidR="002E1193" w:rsidRPr="004D2BCB" w:rsidTr="002E1193">
        <w:trPr>
          <w:cantSplit/>
          <w:jc w:val="center"/>
        </w:trPr>
        <w:tc>
          <w:tcPr>
            <w:tcW w:w="1980" w:type="dxa"/>
            <w:shd w:val="clear" w:color="auto" w:fill="auto"/>
            <w:vAlign w:val="center"/>
          </w:tcPr>
          <w:p w:rsidR="002E1193" w:rsidRPr="004D2BCB" w:rsidRDefault="002E1193" w:rsidP="00397C35">
            <w:pPr>
              <w:jc w:val="center"/>
              <w:rPr>
                <w:rFonts w:ascii="Arial" w:hAnsi="Arial" w:cs="Arial"/>
                <w:color w:val="000000"/>
                <w:sz w:val="20"/>
                <w:szCs w:val="20"/>
              </w:rPr>
            </w:pPr>
            <w:r w:rsidRPr="004D2BCB">
              <w:rPr>
                <w:rFonts w:ascii="Arial" w:hAnsi="Arial" w:cs="Arial"/>
                <w:color w:val="000000"/>
                <w:sz w:val="20"/>
                <w:szCs w:val="20"/>
              </w:rPr>
              <w:t>LED Luminaire in Walk-in Freezer: 32W to 24W</w:t>
            </w:r>
          </w:p>
        </w:tc>
        <w:tc>
          <w:tcPr>
            <w:tcW w:w="1350" w:type="dxa"/>
            <w:shd w:val="clear" w:color="auto" w:fill="auto"/>
            <w:vAlign w:val="center"/>
          </w:tcPr>
          <w:p w:rsidR="002E1193" w:rsidRPr="004D2BCB" w:rsidRDefault="002E1193" w:rsidP="00397C35">
            <w:pPr>
              <w:jc w:val="center"/>
              <w:rPr>
                <w:rFonts w:ascii="Arial" w:hAnsi="Arial" w:cs="Arial"/>
                <w:i/>
                <w:sz w:val="20"/>
                <w:szCs w:val="20"/>
              </w:rPr>
            </w:pPr>
            <w:r w:rsidRPr="004D2BCB">
              <w:rPr>
                <w:rFonts w:ascii="Arial" w:hAnsi="Arial" w:cs="Arial"/>
                <w:sz w:val="20"/>
                <w:szCs w:val="20"/>
              </w:rPr>
              <w:t>ROB</w:t>
            </w:r>
          </w:p>
        </w:tc>
        <w:tc>
          <w:tcPr>
            <w:tcW w:w="1160" w:type="dxa"/>
            <w:shd w:val="clear" w:color="auto" w:fill="auto"/>
            <w:vAlign w:val="center"/>
          </w:tcPr>
          <w:p w:rsidR="002E1193" w:rsidRPr="004D2BCB" w:rsidRDefault="002E1193" w:rsidP="00397C35">
            <w:pPr>
              <w:jc w:val="center"/>
              <w:rPr>
                <w:rFonts w:ascii="Arial" w:hAnsi="Arial" w:cs="Arial"/>
                <w:i/>
                <w:sz w:val="20"/>
                <w:szCs w:val="20"/>
              </w:rPr>
            </w:pPr>
            <w:r w:rsidRPr="004D2BCB">
              <w:rPr>
                <w:rFonts w:ascii="Arial" w:hAnsi="Arial" w:cs="Arial"/>
                <w:sz w:val="20"/>
                <w:szCs w:val="20"/>
              </w:rPr>
              <w:t>Existing</w:t>
            </w:r>
          </w:p>
        </w:tc>
        <w:tc>
          <w:tcPr>
            <w:tcW w:w="1250" w:type="dxa"/>
            <w:shd w:val="clear" w:color="auto" w:fill="auto"/>
            <w:vAlign w:val="center"/>
          </w:tcPr>
          <w:p w:rsidR="002E1193" w:rsidRPr="00390130" w:rsidRDefault="002E1193" w:rsidP="00693003">
            <w:pPr>
              <w:jc w:val="center"/>
              <w:rPr>
                <w:rFonts w:ascii="Arial" w:hAnsi="Arial" w:cs="Arial"/>
                <w:color w:val="000000"/>
                <w:sz w:val="20"/>
                <w:szCs w:val="20"/>
              </w:rPr>
            </w:pPr>
            <w:r w:rsidRPr="00390130">
              <w:rPr>
                <w:rFonts w:ascii="Arial" w:hAnsi="Arial" w:cs="Arial"/>
                <w:color w:val="000000"/>
                <w:sz w:val="20"/>
                <w:szCs w:val="20"/>
              </w:rPr>
              <w:t>$4.79</w:t>
            </w:r>
          </w:p>
        </w:tc>
      </w:tr>
      <w:tr w:rsidR="002E1193" w:rsidRPr="004D2BCB" w:rsidTr="002E1193">
        <w:trPr>
          <w:cantSplit/>
          <w:jc w:val="center"/>
        </w:trPr>
        <w:tc>
          <w:tcPr>
            <w:tcW w:w="1980" w:type="dxa"/>
            <w:shd w:val="clear" w:color="auto" w:fill="auto"/>
            <w:vAlign w:val="center"/>
          </w:tcPr>
          <w:p w:rsidR="002E1193" w:rsidRPr="004D2BCB" w:rsidRDefault="002E1193" w:rsidP="00397C35">
            <w:pPr>
              <w:jc w:val="center"/>
              <w:rPr>
                <w:rFonts w:ascii="Arial" w:hAnsi="Arial" w:cs="Arial"/>
                <w:color w:val="000000"/>
                <w:sz w:val="20"/>
                <w:szCs w:val="20"/>
              </w:rPr>
            </w:pPr>
            <w:r w:rsidRPr="004D2BCB">
              <w:rPr>
                <w:rFonts w:ascii="Arial" w:hAnsi="Arial" w:cs="Arial"/>
                <w:color w:val="000000"/>
                <w:sz w:val="20"/>
                <w:szCs w:val="20"/>
              </w:rPr>
              <w:t>LED Luminaire in Walk-in Cooler: 60W to 38W</w:t>
            </w:r>
          </w:p>
        </w:tc>
        <w:tc>
          <w:tcPr>
            <w:tcW w:w="1350" w:type="dxa"/>
            <w:shd w:val="clear" w:color="auto" w:fill="auto"/>
            <w:vAlign w:val="center"/>
          </w:tcPr>
          <w:p w:rsidR="002E1193" w:rsidRPr="004D2BCB" w:rsidRDefault="002E1193" w:rsidP="00397C35">
            <w:pPr>
              <w:jc w:val="center"/>
              <w:rPr>
                <w:rFonts w:ascii="Arial" w:hAnsi="Arial" w:cs="Arial"/>
                <w:i/>
                <w:sz w:val="20"/>
                <w:szCs w:val="20"/>
              </w:rPr>
            </w:pPr>
            <w:r w:rsidRPr="004D2BCB">
              <w:rPr>
                <w:rFonts w:ascii="Arial" w:hAnsi="Arial" w:cs="Arial"/>
                <w:sz w:val="20"/>
                <w:szCs w:val="20"/>
              </w:rPr>
              <w:t>ROB</w:t>
            </w:r>
          </w:p>
        </w:tc>
        <w:tc>
          <w:tcPr>
            <w:tcW w:w="1160" w:type="dxa"/>
            <w:shd w:val="clear" w:color="auto" w:fill="auto"/>
            <w:vAlign w:val="center"/>
          </w:tcPr>
          <w:p w:rsidR="002E1193" w:rsidRPr="004D2BCB" w:rsidRDefault="002E1193" w:rsidP="00397C35">
            <w:pPr>
              <w:jc w:val="center"/>
              <w:rPr>
                <w:rFonts w:ascii="Arial" w:hAnsi="Arial" w:cs="Arial"/>
                <w:i/>
                <w:sz w:val="20"/>
                <w:szCs w:val="20"/>
              </w:rPr>
            </w:pPr>
            <w:r w:rsidRPr="004D2BCB">
              <w:rPr>
                <w:rFonts w:ascii="Arial" w:hAnsi="Arial" w:cs="Arial"/>
                <w:sz w:val="20"/>
                <w:szCs w:val="20"/>
              </w:rPr>
              <w:t>Existing</w:t>
            </w:r>
          </w:p>
        </w:tc>
        <w:tc>
          <w:tcPr>
            <w:tcW w:w="1250" w:type="dxa"/>
            <w:shd w:val="clear" w:color="auto" w:fill="auto"/>
            <w:vAlign w:val="center"/>
          </w:tcPr>
          <w:p w:rsidR="002E1193" w:rsidRPr="00390130" w:rsidRDefault="002E1193" w:rsidP="00693003">
            <w:pPr>
              <w:jc w:val="center"/>
              <w:rPr>
                <w:rFonts w:ascii="Arial" w:hAnsi="Arial" w:cs="Arial"/>
                <w:color w:val="000000"/>
                <w:sz w:val="20"/>
                <w:szCs w:val="20"/>
              </w:rPr>
            </w:pPr>
            <w:r w:rsidRPr="00390130">
              <w:rPr>
                <w:rFonts w:ascii="Arial" w:hAnsi="Arial" w:cs="Arial"/>
                <w:color w:val="000000"/>
                <w:sz w:val="20"/>
                <w:szCs w:val="20"/>
              </w:rPr>
              <w:t>$9.58</w:t>
            </w:r>
          </w:p>
        </w:tc>
      </w:tr>
      <w:tr w:rsidR="002E1193" w:rsidRPr="004D2BCB" w:rsidTr="002E1193">
        <w:trPr>
          <w:cantSplit/>
          <w:jc w:val="center"/>
        </w:trPr>
        <w:tc>
          <w:tcPr>
            <w:tcW w:w="1980" w:type="dxa"/>
            <w:shd w:val="clear" w:color="auto" w:fill="auto"/>
            <w:vAlign w:val="center"/>
          </w:tcPr>
          <w:p w:rsidR="002E1193" w:rsidRPr="004D2BCB" w:rsidRDefault="002E1193" w:rsidP="00397C35">
            <w:pPr>
              <w:jc w:val="center"/>
              <w:rPr>
                <w:rFonts w:ascii="Arial" w:hAnsi="Arial" w:cs="Arial"/>
                <w:color w:val="000000"/>
                <w:sz w:val="20"/>
                <w:szCs w:val="20"/>
              </w:rPr>
            </w:pPr>
            <w:r w:rsidRPr="004D2BCB">
              <w:rPr>
                <w:rFonts w:ascii="Arial" w:hAnsi="Arial" w:cs="Arial"/>
                <w:color w:val="000000"/>
                <w:sz w:val="20"/>
                <w:szCs w:val="20"/>
              </w:rPr>
              <w:t>LED Luminaire in Walk-in Freezer: 60W to 38W</w:t>
            </w:r>
          </w:p>
        </w:tc>
        <w:tc>
          <w:tcPr>
            <w:tcW w:w="1350" w:type="dxa"/>
            <w:shd w:val="clear" w:color="auto" w:fill="auto"/>
            <w:vAlign w:val="center"/>
          </w:tcPr>
          <w:p w:rsidR="002E1193" w:rsidRPr="004D2BCB" w:rsidRDefault="002E1193" w:rsidP="00397C35">
            <w:pPr>
              <w:jc w:val="center"/>
              <w:rPr>
                <w:rFonts w:ascii="Arial" w:hAnsi="Arial" w:cs="Arial"/>
                <w:i/>
                <w:sz w:val="20"/>
                <w:szCs w:val="20"/>
              </w:rPr>
            </w:pPr>
            <w:r w:rsidRPr="004D2BCB">
              <w:rPr>
                <w:rFonts w:ascii="Arial" w:hAnsi="Arial" w:cs="Arial"/>
                <w:sz w:val="20"/>
                <w:szCs w:val="20"/>
              </w:rPr>
              <w:t>ROB</w:t>
            </w:r>
          </w:p>
        </w:tc>
        <w:tc>
          <w:tcPr>
            <w:tcW w:w="1160" w:type="dxa"/>
            <w:shd w:val="clear" w:color="auto" w:fill="auto"/>
            <w:vAlign w:val="center"/>
          </w:tcPr>
          <w:p w:rsidR="002E1193" w:rsidRPr="004D2BCB" w:rsidRDefault="002E1193" w:rsidP="00397C35">
            <w:pPr>
              <w:jc w:val="center"/>
              <w:rPr>
                <w:rFonts w:ascii="Arial" w:hAnsi="Arial" w:cs="Arial"/>
                <w:i/>
                <w:sz w:val="20"/>
                <w:szCs w:val="20"/>
              </w:rPr>
            </w:pPr>
            <w:r w:rsidRPr="004D2BCB">
              <w:rPr>
                <w:rFonts w:ascii="Arial" w:hAnsi="Arial" w:cs="Arial"/>
                <w:sz w:val="20"/>
                <w:szCs w:val="20"/>
              </w:rPr>
              <w:t>Existing</w:t>
            </w:r>
          </w:p>
        </w:tc>
        <w:tc>
          <w:tcPr>
            <w:tcW w:w="1250" w:type="dxa"/>
            <w:shd w:val="clear" w:color="auto" w:fill="auto"/>
            <w:vAlign w:val="center"/>
          </w:tcPr>
          <w:p w:rsidR="002E1193" w:rsidRPr="00390130" w:rsidRDefault="002E1193" w:rsidP="00693003">
            <w:pPr>
              <w:jc w:val="center"/>
              <w:rPr>
                <w:rFonts w:ascii="Arial" w:hAnsi="Arial" w:cs="Arial"/>
                <w:color w:val="000000"/>
                <w:sz w:val="20"/>
                <w:szCs w:val="20"/>
              </w:rPr>
            </w:pPr>
            <w:r w:rsidRPr="00390130">
              <w:rPr>
                <w:rFonts w:ascii="Arial" w:hAnsi="Arial" w:cs="Arial"/>
                <w:color w:val="000000"/>
                <w:sz w:val="20"/>
                <w:szCs w:val="20"/>
              </w:rPr>
              <w:t>$9.58</w:t>
            </w:r>
          </w:p>
        </w:tc>
      </w:tr>
      <w:tr w:rsidR="002E1193" w:rsidRPr="004D2BCB" w:rsidTr="002E1193">
        <w:trPr>
          <w:cantSplit/>
          <w:jc w:val="center"/>
        </w:trPr>
        <w:tc>
          <w:tcPr>
            <w:tcW w:w="1980" w:type="dxa"/>
            <w:shd w:val="clear" w:color="auto" w:fill="auto"/>
            <w:vAlign w:val="center"/>
          </w:tcPr>
          <w:p w:rsidR="002E1193" w:rsidRPr="004D2BCB" w:rsidRDefault="002E1193" w:rsidP="00397C35">
            <w:pPr>
              <w:jc w:val="center"/>
              <w:rPr>
                <w:rFonts w:ascii="Arial" w:hAnsi="Arial" w:cs="Arial"/>
                <w:color w:val="000000"/>
                <w:sz w:val="20"/>
                <w:szCs w:val="20"/>
              </w:rPr>
            </w:pPr>
            <w:r w:rsidRPr="004D2BCB">
              <w:rPr>
                <w:rFonts w:ascii="Arial" w:hAnsi="Arial" w:cs="Arial"/>
                <w:color w:val="000000"/>
                <w:sz w:val="20"/>
                <w:szCs w:val="20"/>
              </w:rPr>
              <w:t>LED Luminaire in Walk-in Cooler: 75W to 38W</w:t>
            </w:r>
          </w:p>
        </w:tc>
        <w:tc>
          <w:tcPr>
            <w:tcW w:w="1350" w:type="dxa"/>
            <w:shd w:val="clear" w:color="auto" w:fill="auto"/>
            <w:vAlign w:val="center"/>
          </w:tcPr>
          <w:p w:rsidR="002E1193" w:rsidRPr="004D2BCB" w:rsidRDefault="002E1193" w:rsidP="00397C35">
            <w:pPr>
              <w:jc w:val="center"/>
              <w:rPr>
                <w:rFonts w:ascii="Arial" w:hAnsi="Arial" w:cs="Arial"/>
                <w:i/>
                <w:sz w:val="20"/>
                <w:szCs w:val="20"/>
              </w:rPr>
            </w:pPr>
            <w:r w:rsidRPr="004D2BCB">
              <w:rPr>
                <w:rFonts w:ascii="Arial" w:hAnsi="Arial" w:cs="Arial"/>
                <w:sz w:val="20"/>
                <w:szCs w:val="20"/>
              </w:rPr>
              <w:t>ROB</w:t>
            </w:r>
          </w:p>
        </w:tc>
        <w:tc>
          <w:tcPr>
            <w:tcW w:w="1160" w:type="dxa"/>
            <w:shd w:val="clear" w:color="auto" w:fill="auto"/>
            <w:vAlign w:val="center"/>
          </w:tcPr>
          <w:p w:rsidR="002E1193" w:rsidRPr="004D2BCB" w:rsidRDefault="002E1193" w:rsidP="00397C35">
            <w:pPr>
              <w:jc w:val="center"/>
              <w:rPr>
                <w:rFonts w:ascii="Arial" w:hAnsi="Arial" w:cs="Arial"/>
                <w:i/>
                <w:sz w:val="20"/>
                <w:szCs w:val="20"/>
              </w:rPr>
            </w:pPr>
            <w:r w:rsidRPr="004D2BCB">
              <w:rPr>
                <w:rFonts w:ascii="Arial" w:hAnsi="Arial" w:cs="Arial"/>
                <w:sz w:val="20"/>
                <w:szCs w:val="20"/>
              </w:rPr>
              <w:t>Existing</w:t>
            </w:r>
          </w:p>
        </w:tc>
        <w:tc>
          <w:tcPr>
            <w:tcW w:w="1250" w:type="dxa"/>
            <w:shd w:val="clear" w:color="auto" w:fill="auto"/>
            <w:vAlign w:val="center"/>
          </w:tcPr>
          <w:p w:rsidR="002E1193" w:rsidRPr="00390130" w:rsidRDefault="002E1193" w:rsidP="00693003">
            <w:pPr>
              <w:jc w:val="center"/>
              <w:rPr>
                <w:rFonts w:ascii="Arial" w:hAnsi="Arial" w:cs="Arial"/>
                <w:color w:val="000000"/>
                <w:sz w:val="20"/>
                <w:szCs w:val="20"/>
              </w:rPr>
            </w:pPr>
            <w:r w:rsidRPr="00390130">
              <w:rPr>
                <w:rFonts w:ascii="Arial" w:hAnsi="Arial" w:cs="Arial"/>
                <w:color w:val="000000"/>
                <w:sz w:val="20"/>
                <w:szCs w:val="20"/>
              </w:rPr>
              <w:t>$11.52</w:t>
            </w:r>
          </w:p>
        </w:tc>
      </w:tr>
      <w:tr w:rsidR="002E1193" w:rsidRPr="004D2BCB" w:rsidTr="002E1193">
        <w:trPr>
          <w:cantSplit/>
          <w:jc w:val="center"/>
        </w:trPr>
        <w:tc>
          <w:tcPr>
            <w:tcW w:w="1980" w:type="dxa"/>
            <w:shd w:val="clear" w:color="auto" w:fill="auto"/>
            <w:vAlign w:val="center"/>
          </w:tcPr>
          <w:p w:rsidR="002E1193" w:rsidRPr="004D2BCB" w:rsidRDefault="002E1193" w:rsidP="00397C35">
            <w:pPr>
              <w:jc w:val="center"/>
              <w:rPr>
                <w:rFonts w:ascii="Arial" w:hAnsi="Arial" w:cs="Arial"/>
                <w:color w:val="000000"/>
                <w:sz w:val="20"/>
                <w:szCs w:val="20"/>
              </w:rPr>
            </w:pPr>
            <w:r w:rsidRPr="004D2BCB">
              <w:rPr>
                <w:rFonts w:ascii="Arial" w:hAnsi="Arial" w:cs="Arial"/>
                <w:color w:val="000000"/>
                <w:sz w:val="20"/>
                <w:szCs w:val="20"/>
              </w:rPr>
              <w:t>LED Luminaire in Walk-in Freezer: 75W to 38W</w:t>
            </w:r>
          </w:p>
        </w:tc>
        <w:tc>
          <w:tcPr>
            <w:tcW w:w="1350" w:type="dxa"/>
            <w:shd w:val="clear" w:color="auto" w:fill="auto"/>
            <w:vAlign w:val="center"/>
          </w:tcPr>
          <w:p w:rsidR="002E1193" w:rsidRPr="004D2BCB" w:rsidRDefault="002E1193" w:rsidP="00397C35">
            <w:pPr>
              <w:jc w:val="center"/>
              <w:rPr>
                <w:rFonts w:ascii="Arial" w:hAnsi="Arial" w:cs="Arial"/>
                <w:i/>
                <w:sz w:val="20"/>
                <w:szCs w:val="20"/>
              </w:rPr>
            </w:pPr>
            <w:r w:rsidRPr="004D2BCB">
              <w:rPr>
                <w:rFonts w:ascii="Arial" w:hAnsi="Arial" w:cs="Arial"/>
                <w:sz w:val="20"/>
                <w:szCs w:val="20"/>
              </w:rPr>
              <w:t>ROB</w:t>
            </w:r>
          </w:p>
        </w:tc>
        <w:tc>
          <w:tcPr>
            <w:tcW w:w="1160" w:type="dxa"/>
            <w:shd w:val="clear" w:color="auto" w:fill="auto"/>
            <w:vAlign w:val="center"/>
          </w:tcPr>
          <w:p w:rsidR="002E1193" w:rsidRPr="004D2BCB" w:rsidRDefault="002E1193" w:rsidP="00397C35">
            <w:pPr>
              <w:jc w:val="center"/>
              <w:rPr>
                <w:rFonts w:ascii="Arial" w:hAnsi="Arial" w:cs="Arial"/>
                <w:i/>
                <w:sz w:val="20"/>
                <w:szCs w:val="20"/>
              </w:rPr>
            </w:pPr>
            <w:r w:rsidRPr="004D2BCB">
              <w:rPr>
                <w:rFonts w:ascii="Arial" w:hAnsi="Arial" w:cs="Arial"/>
                <w:sz w:val="20"/>
                <w:szCs w:val="20"/>
              </w:rPr>
              <w:t>Existing</w:t>
            </w:r>
          </w:p>
        </w:tc>
        <w:tc>
          <w:tcPr>
            <w:tcW w:w="1250" w:type="dxa"/>
            <w:shd w:val="clear" w:color="auto" w:fill="auto"/>
            <w:vAlign w:val="center"/>
          </w:tcPr>
          <w:p w:rsidR="002E1193" w:rsidRPr="00390130" w:rsidRDefault="002E1193" w:rsidP="00693003">
            <w:pPr>
              <w:jc w:val="center"/>
              <w:rPr>
                <w:rFonts w:ascii="Arial" w:hAnsi="Arial" w:cs="Arial"/>
                <w:color w:val="000000"/>
                <w:sz w:val="20"/>
                <w:szCs w:val="20"/>
              </w:rPr>
            </w:pPr>
            <w:r w:rsidRPr="00390130">
              <w:rPr>
                <w:rFonts w:ascii="Arial" w:hAnsi="Arial" w:cs="Arial"/>
                <w:color w:val="000000"/>
                <w:sz w:val="20"/>
                <w:szCs w:val="20"/>
              </w:rPr>
              <w:t>$11.52</w:t>
            </w:r>
          </w:p>
        </w:tc>
      </w:tr>
      <w:tr w:rsidR="002E1193" w:rsidRPr="004D2BCB" w:rsidTr="002E1193">
        <w:trPr>
          <w:cantSplit/>
          <w:jc w:val="center"/>
        </w:trPr>
        <w:tc>
          <w:tcPr>
            <w:tcW w:w="1980" w:type="dxa"/>
            <w:shd w:val="clear" w:color="auto" w:fill="auto"/>
            <w:vAlign w:val="center"/>
          </w:tcPr>
          <w:p w:rsidR="002E1193" w:rsidRPr="004D2BCB" w:rsidRDefault="002E1193" w:rsidP="00397C35">
            <w:pPr>
              <w:jc w:val="center"/>
              <w:rPr>
                <w:rFonts w:ascii="Arial" w:hAnsi="Arial" w:cs="Arial"/>
                <w:color w:val="000000"/>
                <w:sz w:val="20"/>
                <w:szCs w:val="20"/>
              </w:rPr>
            </w:pPr>
            <w:r w:rsidRPr="004D2BCB">
              <w:rPr>
                <w:rFonts w:ascii="Arial" w:hAnsi="Arial" w:cs="Arial"/>
                <w:color w:val="000000"/>
                <w:sz w:val="20"/>
                <w:szCs w:val="20"/>
              </w:rPr>
              <w:t>LED Luminaire in Walk-in Cooler: 100W to 38W</w:t>
            </w:r>
          </w:p>
        </w:tc>
        <w:tc>
          <w:tcPr>
            <w:tcW w:w="1350" w:type="dxa"/>
            <w:shd w:val="clear" w:color="auto" w:fill="auto"/>
            <w:vAlign w:val="center"/>
          </w:tcPr>
          <w:p w:rsidR="002E1193" w:rsidRPr="004D2BCB" w:rsidRDefault="002E1193" w:rsidP="00397C35">
            <w:pPr>
              <w:jc w:val="center"/>
              <w:rPr>
                <w:rFonts w:ascii="Arial" w:hAnsi="Arial" w:cs="Arial"/>
                <w:i/>
                <w:sz w:val="20"/>
                <w:szCs w:val="20"/>
              </w:rPr>
            </w:pPr>
            <w:r w:rsidRPr="004D2BCB">
              <w:rPr>
                <w:rFonts w:ascii="Arial" w:hAnsi="Arial" w:cs="Arial"/>
                <w:sz w:val="20"/>
                <w:szCs w:val="20"/>
              </w:rPr>
              <w:t>ROB</w:t>
            </w:r>
          </w:p>
        </w:tc>
        <w:tc>
          <w:tcPr>
            <w:tcW w:w="1160" w:type="dxa"/>
            <w:shd w:val="clear" w:color="auto" w:fill="auto"/>
            <w:vAlign w:val="center"/>
          </w:tcPr>
          <w:p w:rsidR="002E1193" w:rsidRPr="004D2BCB" w:rsidRDefault="002E1193" w:rsidP="00397C35">
            <w:pPr>
              <w:jc w:val="center"/>
              <w:rPr>
                <w:rFonts w:ascii="Arial" w:hAnsi="Arial" w:cs="Arial"/>
                <w:i/>
                <w:sz w:val="20"/>
                <w:szCs w:val="20"/>
              </w:rPr>
            </w:pPr>
            <w:r w:rsidRPr="004D2BCB">
              <w:rPr>
                <w:rFonts w:ascii="Arial" w:hAnsi="Arial" w:cs="Arial"/>
                <w:sz w:val="20"/>
                <w:szCs w:val="20"/>
              </w:rPr>
              <w:t>Existing</w:t>
            </w:r>
          </w:p>
        </w:tc>
        <w:tc>
          <w:tcPr>
            <w:tcW w:w="1250" w:type="dxa"/>
            <w:shd w:val="clear" w:color="auto" w:fill="auto"/>
            <w:vAlign w:val="center"/>
          </w:tcPr>
          <w:p w:rsidR="002E1193" w:rsidRPr="00390130" w:rsidRDefault="002E1193" w:rsidP="00693003">
            <w:pPr>
              <w:jc w:val="center"/>
              <w:rPr>
                <w:rFonts w:ascii="Arial" w:hAnsi="Arial" w:cs="Arial"/>
                <w:color w:val="000000"/>
                <w:sz w:val="20"/>
                <w:szCs w:val="20"/>
              </w:rPr>
            </w:pPr>
            <w:r w:rsidRPr="00390130">
              <w:rPr>
                <w:rFonts w:ascii="Arial" w:hAnsi="Arial" w:cs="Arial"/>
                <w:color w:val="000000"/>
                <w:sz w:val="20"/>
                <w:szCs w:val="20"/>
              </w:rPr>
              <w:t>$3.50</w:t>
            </w:r>
          </w:p>
        </w:tc>
      </w:tr>
      <w:tr w:rsidR="002E1193" w:rsidRPr="004D2BCB" w:rsidTr="002E1193">
        <w:trPr>
          <w:cantSplit/>
          <w:jc w:val="center"/>
        </w:trPr>
        <w:tc>
          <w:tcPr>
            <w:tcW w:w="1980" w:type="dxa"/>
            <w:shd w:val="clear" w:color="auto" w:fill="auto"/>
            <w:vAlign w:val="center"/>
          </w:tcPr>
          <w:p w:rsidR="002E1193" w:rsidRPr="004D2BCB" w:rsidRDefault="002E1193" w:rsidP="00397C35">
            <w:pPr>
              <w:jc w:val="center"/>
              <w:rPr>
                <w:rFonts w:ascii="Arial" w:hAnsi="Arial" w:cs="Arial"/>
                <w:color w:val="000000"/>
                <w:sz w:val="20"/>
                <w:szCs w:val="20"/>
              </w:rPr>
            </w:pPr>
            <w:r w:rsidRPr="004D2BCB">
              <w:rPr>
                <w:rFonts w:ascii="Arial" w:hAnsi="Arial" w:cs="Arial"/>
                <w:color w:val="000000"/>
                <w:sz w:val="20"/>
                <w:szCs w:val="20"/>
              </w:rPr>
              <w:t>LED Luminaire in Walk-in Freezer: 100W to 38W</w:t>
            </w:r>
          </w:p>
        </w:tc>
        <w:tc>
          <w:tcPr>
            <w:tcW w:w="1350" w:type="dxa"/>
            <w:shd w:val="clear" w:color="auto" w:fill="auto"/>
            <w:vAlign w:val="center"/>
          </w:tcPr>
          <w:p w:rsidR="002E1193" w:rsidRPr="004D2BCB" w:rsidRDefault="002E1193" w:rsidP="00397C35">
            <w:pPr>
              <w:jc w:val="center"/>
              <w:rPr>
                <w:rFonts w:ascii="Arial" w:hAnsi="Arial" w:cs="Arial"/>
                <w:i/>
                <w:sz w:val="20"/>
                <w:szCs w:val="20"/>
              </w:rPr>
            </w:pPr>
            <w:r w:rsidRPr="004D2BCB">
              <w:rPr>
                <w:rFonts w:ascii="Arial" w:hAnsi="Arial" w:cs="Arial"/>
                <w:sz w:val="20"/>
                <w:szCs w:val="20"/>
              </w:rPr>
              <w:t>ROB</w:t>
            </w:r>
          </w:p>
        </w:tc>
        <w:tc>
          <w:tcPr>
            <w:tcW w:w="1160" w:type="dxa"/>
            <w:shd w:val="clear" w:color="auto" w:fill="auto"/>
            <w:vAlign w:val="center"/>
          </w:tcPr>
          <w:p w:rsidR="002E1193" w:rsidRPr="004D2BCB" w:rsidRDefault="002E1193" w:rsidP="00397C35">
            <w:pPr>
              <w:jc w:val="center"/>
              <w:rPr>
                <w:rFonts w:ascii="Arial" w:hAnsi="Arial" w:cs="Arial"/>
                <w:i/>
                <w:sz w:val="20"/>
                <w:szCs w:val="20"/>
              </w:rPr>
            </w:pPr>
            <w:r w:rsidRPr="004D2BCB">
              <w:rPr>
                <w:rFonts w:ascii="Arial" w:hAnsi="Arial" w:cs="Arial"/>
                <w:sz w:val="20"/>
                <w:szCs w:val="20"/>
              </w:rPr>
              <w:t>Existing</w:t>
            </w:r>
          </w:p>
        </w:tc>
        <w:tc>
          <w:tcPr>
            <w:tcW w:w="1250" w:type="dxa"/>
            <w:shd w:val="clear" w:color="auto" w:fill="auto"/>
            <w:vAlign w:val="center"/>
          </w:tcPr>
          <w:p w:rsidR="002E1193" w:rsidRPr="00390130" w:rsidRDefault="002E1193" w:rsidP="00693003">
            <w:pPr>
              <w:jc w:val="center"/>
              <w:rPr>
                <w:rFonts w:ascii="Arial" w:hAnsi="Arial" w:cs="Arial"/>
                <w:color w:val="000000"/>
                <w:sz w:val="20"/>
                <w:szCs w:val="20"/>
              </w:rPr>
            </w:pPr>
            <w:r w:rsidRPr="00390130">
              <w:rPr>
                <w:rFonts w:ascii="Arial" w:hAnsi="Arial" w:cs="Arial"/>
                <w:color w:val="000000"/>
                <w:sz w:val="20"/>
                <w:szCs w:val="20"/>
              </w:rPr>
              <w:t>$3.50</w:t>
            </w:r>
          </w:p>
        </w:tc>
      </w:tr>
      <w:tr w:rsidR="002E1193" w:rsidRPr="004D2BCB" w:rsidTr="002E1193">
        <w:trPr>
          <w:cantSplit/>
          <w:jc w:val="center"/>
        </w:trPr>
        <w:tc>
          <w:tcPr>
            <w:tcW w:w="1980" w:type="dxa"/>
            <w:shd w:val="clear" w:color="auto" w:fill="auto"/>
            <w:vAlign w:val="center"/>
          </w:tcPr>
          <w:p w:rsidR="002E1193" w:rsidRPr="004D2BCB" w:rsidRDefault="002E1193" w:rsidP="00397C35">
            <w:pPr>
              <w:jc w:val="center"/>
              <w:rPr>
                <w:rFonts w:ascii="Arial" w:hAnsi="Arial" w:cs="Arial"/>
                <w:color w:val="000000"/>
                <w:sz w:val="20"/>
                <w:szCs w:val="20"/>
              </w:rPr>
            </w:pPr>
            <w:r w:rsidRPr="004D2BCB">
              <w:rPr>
                <w:rFonts w:ascii="Arial" w:hAnsi="Arial" w:cs="Arial"/>
                <w:color w:val="000000"/>
                <w:sz w:val="20"/>
                <w:szCs w:val="20"/>
              </w:rPr>
              <w:t>LED Luminaire in Walk-in Cooler: 220W to 80W</w:t>
            </w:r>
          </w:p>
        </w:tc>
        <w:tc>
          <w:tcPr>
            <w:tcW w:w="1350" w:type="dxa"/>
            <w:shd w:val="clear" w:color="auto" w:fill="auto"/>
            <w:vAlign w:val="center"/>
          </w:tcPr>
          <w:p w:rsidR="002E1193" w:rsidRPr="004D2BCB" w:rsidRDefault="002E1193" w:rsidP="00397C35">
            <w:pPr>
              <w:jc w:val="center"/>
              <w:rPr>
                <w:rFonts w:ascii="Arial" w:hAnsi="Arial" w:cs="Arial"/>
                <w:i/>
                <w:sz w:val="20"/>
                <w:szCs w:val="20"/>
              </w:rPr>
            </w:pPr>
            <w:r w:rsidRPr="004D2BCB">
              <w:rPr>
                <w:rFonts w:ascii="Arial" w:hAnsi="Arial" w:cs="Arial"/>
                <w:sz w:val="20"/>
                <w:szCs w:val="20"/>
              </w:rPr>
              <w:t>ROB</w:t>
            </w:r>
          </w:p>
        </w:tc>
        <w:tc>
          <w:tcPr>
            <w:tcW w:w="1160" w:type="dxa"/>
            <w:shd w:val="clear" w:color="auto" w:fill="auto"/>
            <w:vAlign w:val="center"/>
          </w:tcPr>
          <w:p w:rsidR="002E1193" w:rsidRPr="004D2BCB" w:rsidRDefault="002E1193" w:rsidP="00397C35">
            <w:pPr>
              <w:jc w:val="center"/>
              <w:rPr>
                <w:rFonts w:ascii="Arial" w:hAnsi="Arial" w:cs="Arial"/>
                <w:i/>
                <w:sz w:val="20"/>
                <w:szCs w:val="20"/>
              </w:rPr>
            </w:pPr>
            <w:r w:rsidRPr="004D2BCB">
              <w:rPr>
                <w:rFonts w:ascii="Arial" w:hAnsi="Arial" w:cs="Arial"/>
                <w:sz w:val="20"/>
                <w:szCs w:val="20"/>
              </w:rPr>
              <w:t>Existing</w:t>
            </w:r>
          </w:p>
        </w:tc>
        <w:tc>
          <w:tcPr>
            <w:tcW w:w="1250" w:type="dxa"/>
            <w:shd w:val="clear" w:color="auto" w:fill="auto"/>
            <w:vAlign w:val="center"/>
          </w:tcPr>
          <w:p w:rsidR="002E1193" w:rsidRPr="00390130" w:rsidRDefault="002E1193" w:rsidP="00693003">
            <w:pPr>
              <w:jc w:val="center"/>
              <w:rPr>
                <w:rFonts w:ascii="Arial" w:hAnsi="Arial" w:cs="Arial"/>
                <w:color w:val="000000"/>
                <w:sz w:val="20"/>
                <w:szCs w:val="20"/>
              </w:rPr>
            </w:pPr>
            <w:r w:rsidRPr="00390130">
              <w:rPr>
                <w:rFonts w:ascii="Arial" w:hAnsi="Arial" w:cs="Arial"/>
                <w:color w:val="000000"/>
                <w:sz w:val="20"/>
                <w:szCs w:val="20"/>
              </w:rPr>
              <w:t>$39.00</w:t>
            </w:r>
          </w:p>
        </w:tc>
      </w:tr>
      <w:tr w:rsidR="002E1193" w:rsidRPr="004D2BCB" w:rsidTr="002E1193">
        <w:trPr>
          <w:cantSplit/>
          <w:jc w:val="center"/>
        </w:trPr>
        <w:tc>
          <w:tcPr>
            <w:tcW w:w="1980" w:type="dxa"/>
            <w:shd w:val="clear" w:color="auto" w:fill="auto"/>
            <w:vAlign w:val="center"/>
          </w:tcPr>
          <w:p w:rsidR="002E1193" w:rsidRPr="004D2BCB" w:rsidRDefault="002E1193" w:rsidP="00397C35">
            <w:pPr>
              <w:jc w:val="center"/>
              <w:rPr>
                <w:rFonts w:ascii="Arial" w:hAnsi="Arial" w:cs="Arial"/>
                <w:color w:val="000000"/>
                <w:sz w:val="20"/>
                <w:szCs w:val="20"/>
              </w:rPr>
            </w:pPr>
            <w:r w:rsidRPr="004D2BCB">
              <w:rPr>
                <w:rFonts w:ascii="Arial" w:hAnsi="Arial" w:cs="Arial"/>
                <w:color w:val="000000"/>
                <w:sz w:val="20"/>
                <w:szCs w:val="20"/>
              </w:rPr>
              <w:t>LED Luminaire in Walk-in Freezer: 220W to 80W</w:t>
            </w:r>
          </w:p>
        </w:tc>
        <w:tc>
          <w:tcPr>
            <w:tcW w:w="1350" w:type="dxa"/>
            <w:shd w:val="clear" w:color="auto" w:fill="auto"/>
            <w:vAlign w:val="center"/>
          </w:tcPr>
          <w:p w:rsidR="002E1193" w:rsidRPr="004D2BCB" w:rsidRDefault="002E1193" w:rsidP="00397C35">
            <w:pPr>
              <w:jc w:val="center"/>
              <w:rPr>
                <w:rFonts w:ascii="Arial" w:hAnsi="Arial" w:cs="Arial"/>
                <w:i/>
                <w:sz w:val="20"/>
                <w:szCs w:val="20"/>
              </w:rPr>
            </w:pPr>
            <w:r w:rsidRPr="004D2BCB">
              <w:rPr>
                <w:rFonts w:ascii="Arial" w:hAnsi="Arial" w:cs="Arial"/>
                <w:sz w:val="20"/>
                <w:szCs w:val="20"/>
              </w:rPr>
              <w:t>ROB</w:t>
            </w:r>
          </w:p>
        </w:tc>
        <w:tc>
          <w:tcPr>
            <w:tcW w:w="1160" w:type="dxa"/>
            <w:shd w:val="clear" w:color="auto" w:fill="auto"/>
            <w:vAlign w:val="center"/>
          </w:tcPr>
          <w:p w:rsidR="002E1193" w:rsidRPr="004D2BCB" w:rsidRDefault="002E1193" w:rsidP="00397C35">
            <w:pPr>
              <w:jc w:val="center"/>
              <w:rPr>
                <w:rFonts w:ascii="Arial" w:hAnsi="Arial" w:cs="Arial"/>
                <w:i/>
                <w:sz w:val="20"/>
                <w:szCs w:val="20"/>
              </w:rPr>
            </w:pPr>
            <w:r w:rsidRPr="004D2BCB">
              <w:rPr>
                <w:rFonts w:ascii="Arial" w:hAnsi="Arial" w:cs="Arial"/>
                <w:sz w:val="20"/>
                <w:szCs w:val="20"/>
              </w:rPr>
              <w:t>Existing</w:t>
            </w:r>
          </w:p>
        </w:tc>
        <w:tc>
          <w:tcPr>
            <w:tcW w:w="1250" w:type="dxa"/>
            <w:shd w:val="clear" w:color="auto" w:fill="auto"/>
            <w:vAlign w:val="center"/>
          </w:tcPr>
          <w:p w:rsidR="002E1193" w:rsidRPr="00390130" w:rsidRDefault="002E1193" w:rsidP="00693003">
            <w:pPr>
              <w:jc w:val="center"/>
              <w:rPr>
                <w:rFonts w:ascii="Arial" w:hAnsi="Arial" w:cs="Arial"/>
                <w:color w:val="000000"/>
                <w:sz w:val="20"/>
                <w:szCs w:val="20"/>
              </w:rPr>
            </w:pPr>
            <w:r w:rsidRPr="00390130">
              <w:rPr>
                <w:rFonts w:ascii="Arial" w:hAnsi="Arial" w:cs="Arial"/>
                <w:color w:val="000000"/>
                <w:sz w:val="20"/>
                <w:szCs w:val="20"/>
              </w:rPr>
              <w:t>$39.00</w:t>
            </w:r>
          </w:p>
        </w:tc>
      </w:tr>
    </w:tbl>
    <w:p w:rsidR="004F0EB3" w:rsidRPr="004D2BCB" w:rsidRDefault="004F0EB3" w:rsidP="004F0EB3">
      <w:pPr>
        <w:rPr>
          <w:rFonts w:ascii="Arial" w:hAnsi="Arial" w:cs="Arial"/>
          <w:i/>
          <w:sz w:val="20"/>
          <w:szCs w:val="20"/>
        </w:rPr>
      </w:pPr>
      <w:r w:rsidRPr="004D2BCB">
        <w:rPr>
          <w:rFonts w:ascii="Arial" w:hAnsi="Arial" w:cs="Arial"/>
          <w:i/>
          <w:sz w:val="20"/>
          <w:szCs w:val="20"/>
        </w:rPr>
        <w:t>All costs are noted as $ per luminaire</w:t>
      </w:r>
    </w:p>
    <w:p w:rsidR="008D6F1D" w:rsidRDefault="008D6F1D" w:rsidP="002E0043">
      <w:pPr>
        <w:pStyle w:val="Heading2"/>
        <w:keepNext w:val="0"/>
      </w:pPr>
    </w:p>
    <w:p w:rsidR="008D6F1D" w:rsidRDefault="008D6F1D" w:rsidP="002E0043">
      <w:pPr>
        <w:pStyle w:val="Heading2"/>
        <w:keepNext w:val="0"/>
      </w:pPr>
    </w:p>
    <w:p w:rsidR="008D6F1D" w:rsidRDefault="008D6F1D" w:rsidP="002E0043">
      <w:pPr>
        <w:pStyle w:val="Heading2"/>
        <w:keepNext w:val="0"/>
      </w:pPr>
    </w:p>
    <w:p w:rsidR="008D6F1D" w:rsidRDefault="008D6F1D" w:rsidP="002E0043">
      <w:pPr>
        <w:pStyle w:val="Heading2"/>
        <w:keepNext w:val="0"/>
      </w:pPr>
    </w:p>
    <w:p w:rsidR="008D6F1D" w:rsidRDefault="008D6F1D" w:rsidP="002E0043">
      <w:pPr>
        <w:pStyle w:val="Heading2"/>
        <w:keepNext w:val="0"/>
      </w:pPr>
    </w:p>
    <w:p w:rsidR="008D6F1D" w:rsidRDefault="008D6F1D" w:rsidP="002E0043">
      <w:pPr>
        <w:pStyle w:val="Heading2"/>
        <w:keepNext w:val="0"/>
      </w:pPr>
    </w:p>
    <w:p w:rsidR="00C069A2" w:rsidRPr="004D2BCB" w:rsidRDefault="00663A00" w:rsidP="002E0043">
      <w:pPr>
        <w:pStyle w:val="Heading2"/>
        <w:keepNext w:val="0"/>
      </w:pPr>
      <w:bookmarkStart w:id="105" w:name="_Toc438047479"/>
      <w:r w:rsidRPr="004D2BCB">
        <w:lastRenderedPageBreak/>
        <w:t>4.2 Meas</w:t>
      </w:r>
      <w:r w:rsidR="00C069A2" w:rsidRPr="004D2BCB">
        <w:t xml:space="preserve">ure </w:t>
      </w:r>
      <w:r w:rsidR="00930877" w:rsidRPr="004D2BCB">
        <w:t xml:space="preserve">Case </w:t>
      </w:r>
      <w:r w:rsidR="00C069A2" w:rsidRPr="004D2BCB">
        <w:t>Costs</w:t>
      </w:r>
      <w:bookmarkEnd w:id="105"/>
      <w:r w:rsidR="00930877" w:rsidRPr="004D2BCB">
        <w:t xml:space="preserve"> </w:t>
      </w:r>
    </w:p>
    <w:p w:rsidR="00DD1C47" w:rsidRPr="004D2BCB" w:rsidRDefault="00D9003F" w:rsidP="00390130">
      <w:pPr>
        <w:jc w:val="both"/>
        <w:rPr>
          <w:rFonts w:ascii="Arial" w:hAnsi="Arial" w:cs="Arial"/>
          <w:sz w:val="20"/>
        </w:rPr>
      </w:pPr>
      <w:r w:rsidRPr="004D2BCB">
        <w:rPr>
          <w:rFonts w:ascii="Arial" w:hAnsi="Arial" w:cs="Arial"/>
          <w:sz w:val="20"/>
        </w:rPr>
        <w:t>The measure cost is the cost of the LED luminaire. The LED lamp costs were developed using vendor quotes for two currently available products specific to this application</w:t>
      </w:r>
      <w:r w:rsidR="00A42B11" w:rsidRPr="004D2BCB">
        <w:rPr>
          <w:rFonts w:ascii="Arial" w:hAnsi="Arial" w:cs="Arial"/>
          <w:sz w:val="20"/>
        </w:rPr>
        <w:t>.</w:t>
      </w:r>
      <w:r w:rsidRPr="004D2BCB">
        <w:rPr>
          <w:rFonts w:ascii="Arial" w:hAnsi="Arial" w:cs="Arial"/>
        </w:rPr>
        <w:t xml:space="preserve"> </w:t>
      </w:r>
      <w:r w:rsidRPr="004D2BCB">
        <w:rPr>
          <w:rFonts w:ascii="Arial" w:hAnsi="Arial" w:cs="Arial"/>
          <w:sz w:val="20"/>
        </w:rPr>
        <w:t>The costs for the two 220W to 80W measures assumes that two LED luminaires are required to match the light output of a single 220W baseline fixture.</w:t>
      </w:r>
      <w:r w:rsidR="008C5E78" w:rsidRPr="004D2BCB">
        <w:rPr>
          <w:rFonts w:ascii="Arial" w:hAnsi="Arial" w:cs="Arial"/>
          <w:sz w:val="20"/>
        </w:rPr>
        <w:t xml:space="preserve"> </w:t>
      </w:r>
      <w:r w:rsidRPr="004D2BCB">
        <w:rPr>
          <w:rFonts w:ascii="Arial" w:hAnsi="Arial" w:cs="Arial"/>
          <w:sz w:val="20"/>
        </w:rPr>
        <w:t xml:space="preserve">The following </w:t>
      </w:r>
      <w:r w:rsidR="008C5E78" w:rsidRPr="004D2BCB">
        <w:rPr>
          <w:rFonts w:ascii="Arial" w:hAnsi="Arial" w:cs="Arial"/>
          <w:sz w:val="20"/>
        </w:rPr>
        <w:t>Measure Application Type is</w:t>
      </w:r>
      <w:r w:rsidRPr="004D2BCB">
        <w:rPr>
          <w:rFonts w:ascii="Arial" w:hAnsi="Arial" w:cs="Arial"/>
          <w:sz w:val="20"/>
        </w:rPr>
        <w:t xml:space="preserve"> appropriate to these measures.  </w:t>
      </w:r>
      <w:r w:rsidR="00DD1C47" w:rsidRPr="004D2BCB">
        <w:rPr>
          <w:rFonts w:ascii="Arial" w:hAnsi="Arial" w:cs="Arial"/>
          <w:sz w:val="20"/>
        </w:rPr>
        <w:t>The Measure Case Costs are:</w:t>
      </w:r>
    </w:p>
    <w:p w:rsidR="00D9003F" w:rsidRPr="004D2BCB" w:rsidRDefault="00D9003F" w:rsidP="00DD1C47">
      <w:pPr>
        <w:rPr>
          <w:rFonts w:ascii="Arial" w:hAnsi="Arial" w:cs="Arial"/>
          <w:sz w:val="20"/>
          <w:szCs w:val="20"/>
        </w:rPr>
      </w:pPr>
    </w:p>
    <w:p w:rsidR="00DD1C47" w:rsidRPr="004D2BCB" w:rsidRDefault="00DD1C47" w:rsidP="00DD1C47">
      <w:pPr>
        <w:rPr>
          <w:rFonts w:ascii="Arial" w:hAnsi="Arial" w:cs="Arial"/>
          <w:i/>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0"/>
        <w:gridCol w:w="1350"/>
        <w:gridCol w:w="1160"/>
        <w:gridCol w:w="1250"/>
      </w:tblGrid>
      <w:tr w:rsidR="00A42B11" w:rsidRPr="004D2BCB" w:rsidTr="00390130">
        <w:trPr>
          <w:cantSplit/>
          <w:tblHeader/>
          <w:jc w:val="center"/>
        </w:trPr>
        <w:tc>
          <w:tcPr>
            <w:tcW w:w="1980" w:type="dxa"/>
            <w:shd w:val="clear" w:color="auto" w:fill="auto"/>
          </w:tcPr>
          <w:p w:rsidR="00A42B11" w:rsidRPr="004D2BCB" w:rsidRDefault="00A42B11" w:rsidP="003F57BD">
            <w:pPr>
              <w:rPr>
                <w:rFonts w:ascii="Arial" w:hAnsi="Arial" w:cs="Arial"/>
                <w:b/>
                <w:i/>
                <w:sz w:val="20"/>
                <w:szCs w:val="20"/>
              </w:rPr>
            </w:pPr>
            <w:r w:rsidRPr="004D2BCB">
              <w:rPr>
                <w:rFonts w:ascii="Arial" w:hAnsi="Arial" w:cs="Arial"/>
                <w:b/>
                <w:i/>
                <w:sz w:val="20"/>
                <w:szCs w:val="20"/>
              </w:rPr>
              <w:t>Measure Code</w:t>
            </w:r>
          </w:p>
        </w:tc>
        <w:tc>
          <w:tcPr>
            <w:tcW w:w="1350" w:type="dxa"/>
            <w:shd w:val="clear" w:color="auto" w:fill="auto"/>
          </w:tcPr>
          <w:p w:rsidR="00A42B11" w:rsidRPr="004D2BCB" w:rsidRDefault="00A42B11" w:rsidP="003F57BD">
            <w:pPr>
              <w:rPr>
                <w:rFonts w:ascii="Arial" w:hAnsi="Arial" w:cs="Arial"/>
                <w:b/>
                <w:sz w:val="20"/>
                <w:szCs w:val="20"/>
              </w:rPr>
            </w:pPr>
            <w:r w:rsidRPr="004D2BCB">
              <w:rPr>
                <w:rFonts w:ascii="Arial" w:hAnsi="Arial" w:cs="Arial"/>
                <w:b/>
                <w:sz w:val="20"/>
                <w:szCs w:val="20"/>
              </w:rPr>
              <w:t>Measure Application Type</w:t>
            </w:r>
          </w:p>
        </w:tc>
        <w:tc>
          <w:tcPr>
            <w:tcW w:w="1160" w:type="dxa"/>
            <w:shd w:val="clear" w:color="auto" w:fill="auto"/>
          </w:tcPr>
          <w:p w:rsidR="00A42B11" w:rsidRPr="004D2BCB" w:rsidRDefault="00A42B11" w:rsidP="003F57BD">
            <w:pPr>
              <w:rPr>
                <w:rFonts w:ascii="Arial" w:hAnsi="Arial" w:cs="Arial"/>
                <w:b/>
                <w:sz w:val="20"/>
                <w:szCs w:val="20"/>
              </w:rPr>
            </w:pPr>
            <w:r w:rsidRPr="004D2BCB">
              <w:rPr>
                <w:rFonts w:ascii="Arial" w:hAnsi="Arial" w:cs="Arial"/>
                <w:b/>
                <w:sz w:val="20"/>
                <w:szCs w:val="20"/>
              </w:rPr>
              <w:t>Baseline</w:t>
            </w:r>
          </w:p>
        </w:tc>
        <w:tc>
          <w:tcPr>
            <w:tcW w:w="1250" w:type="dxa"/>
            <w:shd w:val="clear" w:color="auto" w:fill="auto"/>
          </w:tcPr>
          <w:p w:rsidR="00A42B11" w:rsidRPr="004D2BCB" w:rsidRDefault="00A42B11" w:rsidP="003F57BD">
            <w:pPr>
              <w:rPr>
                <w:rFonts w:ascii="Arial" w:hAnsi="Arial" w:cs="Arial"/>
                <w:b/>
                <w:sz w:val="20"/>
                <w:szCs w:val="20"/>
              </w:rPr>
            </w:pPr>
            <w:r w:rsidRPr="004D2BCB">
              <w:rPr>
                <w:rFonts w:ascii="Arial" w:hAnsi="Arial" w:cs="Arial"/>
                <w:b/>
                <w:sz w:val="20"/>
                <w:szCs w:val="20"/>
              </w:rPr>
              <w:t>Equipment Cost</w:t>
            </w:r>
          </w:p>
        </w:tc>
      </w:tr>
      <w:tr w:rsidR="00A42B11" w:rsidRPr="004D2BCB" w:rsidTr="00390130">
        <w:trPr>
          <w:cantSplit/>
          <w:jc w:val="center"/>
        </w:trPr>
        <w:tc>
          <w:tcPr>
            <w:tcW w:w="1980" w:type="dxa"/>
            <w:shd w:val="clear" w:color="auto" w:fill="auto"/>
            <w:vAlign w:val="center"/>
          </w:tcPr>
          <w:p w:rsidR="00A42B11" w:rsidRPr="004D2BCB" w:rsidRDefault="00A42B11" w:rsidP="00C17C7D">
            <w:pPr>
              <w:jc w:val="center"/>
              <w:rPr>
                <w:rFonts w:ascii="Arial" w:hAnsi="Arial" w:cs="Arial"/>
                <w:color w:val="000000"/>
                <w:sz w:val="20"/>
                <w:szCs w:val="20"/>
              </w:rPr>
            </w:pPr>
            <w:r w:rsidRPr="004D2BCB">
              <w:rPr>
                <w:rFonts w:ascii="Arial" w:hAnsi="Arial" w:cs="Arial"/>
                <w:color w:val="000000"/>
                <w:sz w:val="20"/>
                <w:szCs w:val="20"/>
              </w:rPr>
              <w:t>LED Luminaire in Walk-in Cooler: 32W to 24W</w:t>
            </w:r>
          </w:p>
        </w:tc>
        <w:tc>
          <w:tcPr>
            <w:tcW w:w="1350" w:type="dxa"/>
            <w:shd w:val="clear" w:color="auto" w:fill="auto"/>
            <w:vAlign w:val="center"/>
          </w:tcPr>
          <w:p w:rsidR="00A42B11" w:rsidRPr="004D2BCB" w:rsidRDefault="00A42B11" w:rsidP="00C17C7D">
            <w:pPr>
              <w:jc w:val="center"/>
              <w:rPr>
                <w:rFonts w:ascii="Arial" w:hAnsi="Arial" w:cs="Arial"/>
                <w:sz w:val="20"/>
                <w:szCs w:val="20"/>
              </w:rPr>
            </w:pPr>
            <w:r w:rsidRPr="004D2BCB">
              <w:rPr>
                <w:rFonts w:ascii="Arial" w:hAnsi="Arial" w:cs="Arial"/>
                <w:sz w:val="20"/>
                <w:szCs w:val="20"/>
              </w:rPr>
              <w:t>ROB</w:t>
            </w:r>
          </w:p>
        </w:tc>
        <w:tc>
          <w:tcPr>
            <w:tcW w:w="1160" w:type="dxa"/>
            <w:shd w:val="clear" w:color="auto" w:fill="auto"/>
            <w:vAlign w:val="center"/>
          </w:tcPr>
          <w:p w:rsidR="00A42B11" w:rsidRPr="004D2BCB" w:rsidRDefault="00A42B11" w:rsidP="00C17C7D">
            <w:pPr>
              <w:jc w:val="center"/>
              <w:rPr>
                <w:rFonts w:ascii="Arial" w:hAnsi="Arial" w:cs="Arial"/>
                <w:sz w:val="20"/>
                <w:szCs w:val="20"/>
              </w:rPr>
            </w:pPr>
            <w:r w:rsidRPr="004D2BCB">
              <w:rPr>
                <w:rFonts w:ascii="Arial" w:hAnsi="Arial" w:cs="Arial"/>
                <w:sz w:val="20"/>
                <w:szCs w:val="20"/>
              </w:rPr>
              <w:t>Existing</w:t>
            </w:r>
          </w:p>
        </w:tc>
        <w:tc>
          <w:tcPr>
            <w:tcW w:w="1250" w:type="dxa"/>
            <w:shd w:val="clear" w:color="auto" w:fill="auto"/>
            <w:vAlign w:val="center"/>
          </w:tcPr>
          <w:p w:rsidR="00A42B11" w:rsidRPr="004D2BCB" w:rsidRDefault="00A42B11" w:rsidP="00C17C7D">
            <w:pPr>
              <w:jc w:val="center"/>
              <w:rPr>
                <w:rFonts w:ascii="Arial" w:hAnsi="Arial" w:cs="Arial"/>
                <w:color w:val="000000"/>
                <w:sz w:val="20"/>
                <w:szCs w:val="20"/>
              </w:rPr>
            </w:pPr>
            <w:r w:rsidRPr="004D2BCB">
              <w:rPr>
                <w:rFonts w:ascii="Arial" w:hAnsi="Arial" w:cs="Arial"/>
                <w:color w:val="000000"/>
                <w:sz w:val="20"/>
                <w:szCs w:val="20"/>
              </w:rPr>
              <w:t>$121.50</w:t>
            </w:r>
          </w:p>
        </w:tc>
      </w:tr>
      <w:tr w:rsidR="00A42B11" w:rsidRPr="004D2BCB" w:rsidTr="00390130">
        <w:trPr>
          <w:cantSplit/>
          <w:jc w:val="center"/>
        </w:trPr>
        <w:tc>
          <w:tcPr>
            <w:tcW w:w="1980" w:type="dxa"/>
            <w:shd w:val="clear" w:color="auto" w:fill="auto"/>
            <w:vAlign w:val="center"/>
          </w:tcPr>
          <w:p w:rsidR="00A42B11" w:rsidRPr="004D2BCB" w:rsidRDefault="00A42B11" w:rsidP="00C17C7D">
            <w:pPr>
              <w:jc w:val="center"/>
              <w:rPr>
                <w:rFonts w:ascii="Arial" w:hAnsi="Arial" w:cs="Arial"/>
                <w:color w:val="000000"/>
                <w:sz w:val="20"/>
                <w:szCs w:val="20"/>
              </w:rPr>
            </w:pPr>
            <w:r w:rsidRPr="004D2BCB">
              <w:rPr>
                <w:rFonts w:ascii="Arial" w:hAnsi="Arial" w:cs="Arial"/>
                <w:color w:val="000000"/>
                <w:sz w:val="20"/>
                <w:szCs w:val="20"/>
              </w:rPr>
              <w:t>LED Luminaire in Walk-in Freezer: 32W to 24W</w:t>
            </w:r>
          </w:p>
        </w:tc>
        <w:tc>
          <w:tcPr>
            <w:tcW w:w="1350" w:type="dxa"/>
            <w:shd w:val="clear" w:color="auto" w:fill="auto"/>
            <w:vAlign w:val="center"/>
          </w:tcPr>
          <w:p w:rsidR="00A42B11" w:rsidRPr="004D2BCB" w:rsidRDefault="00A42B11" w:rsidP="00C17C7D">
            <w:pPr>
              <w:jc w:val="center"/>
              <w:rPr>
                <w:rFonts w:ascii="Arial" w:hAnsi="Arial" w:cs="Arial"/>
                <w:i/>
                <w:sz w:val="20"/>
                <w:szCs w:val="20"/>
              </w:rPr>
            </w:pPr>
            <w:r w:rsidRPr="004D2BCB">
              <w:rPr>
                <w:rFonts w:ascii="Arial" w:hAnsi="Arial" w:cs="Arial"/>
                <w:sz w:val="20"/>
                <w:szCs w:val="20"/>
              </w:rPr>
              <w:t>ROB</w:t>
            </w:r>
          </w:p>
        </w:tc>
        <w:tc>
          <w:tcPr>
            <w:tcW w:w="1160" w:type="dxa"/>
            <w:shd w:val="clear" w:color="auto" w:fill="auto"/>
            <w:vAlign w:val="center"/>
          </w:tcPr>
          <w:p w:rsidR="00A42B11" w:rsidRPr="004D2BCB" w:rsidRDefault="00A42B11" w:rsidP="00C17C7D">
            <w:pPr>
              <w:jc w:val="center"/>
              <w:rPr>
                <w:rFonts w:ascii="Arial" w:hAnsi="Arial" w:cs="Arial"/>
                <w:i/>
                <w:sz w:val="20"/>
                <w:szCs w:val="20"/>
              </w:rPr>
            </w:pPr>
            <w:r w:rsidRPr="004D2BCB">
              <w:rPr>
                <w:rFonts w:ascii="Arial" w:hAnsi="Arial" w:cs="Arial"/>
                <w:sz w:val="20"/>
                <w:szCs w:val="20"/>
              </w:rPr>
              <w:t>Existing</w:t>
            </w:r>
          </w:p>
        </w:tc>
        <w:tc>
          <w:tcPr>
            <w:tcW w:w="1250" w:type="dxa"/>
            <w:shd w:val="clear" w:color="auto" w:fill="auto"/>
            <w:vAlign w:val="center"/>
          </w:tcPr>
          <w:p w:rsidR="00A42B11" w:rsidRPr="004D2BCB" w:rsidRDefault="00A42B11" w:rsidP="00C17C7D">
            <w:pPr>
              <w:jc w:val="center"/>
              <w:rPr>
                <w:rFonts w:ascii="Arial" w:hAnsi="Arial" w:cs="Arial"/>
                <w:color w:val="000000"/>
                <w:sz w:val="20"/>
                <w:szCs w:val="20"/>
              </w:rPr>
            </w:pPr>
            <w:r w:rsidRPr="004D2BCB">
              <w:rPr>
                <w:rFonts w:ascii="Arial" w:hAnsi="Arial" w:cs="Arial"/>
                <w:color w:val="000000"/>
                <w:sz w:val="20"/>
                <w:szCs w:val="20"/>
              </w:rPr>
              <w:t>$121.50</w:t>
            </w:r>
          </w:p>
        </w:tc>
      </w:tr>
      <w:tr w:rsidR="00A42B11" w:rsidRPr="004D2BCB" w:rsidTr="00390130">
        <w:trPr>
          <w:cantSplit/>
          <w:jc w:val="center"/>
        </w:trPr>
        <w:tc>
          <w:tcPr>
            <w:tcW w:w="1980" w:type="dxa"/>
            <w:shd w:val="clear" w:color="auto" w:fill="auto"/>
            <w:vAlign w:val="center"/>
          </w:tcPr>
          <w:p w:rsidR="00A42B11" w:rsidRPr="004D2BCB" w:rsidRDefault="00A42B11" w:rsidP="00C17C7D">
            <w:pPr>
              <w:jc w:val="center"/>
              <w:rPr>
                <w:rFonts w:ascii="Arial" w:hAnsi="Arial" w:cs="Arial"/>
                <w:color w:val="000000"/>
                <w:sz w:val="20"/>
                <w:szCs w:val="20"/>
              </w:rPr>
            </w:pPr>
            <w:r w:rsidRPr="004D2BCB">
              <w:rPr>
                <w:rFonts w:ascii="Arial" w:hAnsi="Arial" w:cs="Arial"/>
                <w:color w:val="000000"/>
                <w:sz w:val="20"/>
                <w:szCs w:val="20"/>
              </w:rPr>
              <w:t>LED Luminaire in Walk-in Cooler: 60W to 38W</w:t>
            </w:r>
          </w:p>
        </w:tc>
        <w:tc>
          <w:tcPr>
            <w:tcW w:w="1350" w:type="dxa"/>
            <w:shd w:val="clear" w:color="auto" w:fill="auto"/>
            <w:vAlign w:val="center"/>
          </w:tcPr>
          <w:p w:rsidR="00A42B11" w:rsidRPr="004D2BCB" w:rsidRDefault="00A42B11" w:rsidP="00C17C7D">
            <w:pPr>
              <w:jc w:val="center"/>
              <w:rPr>
                <w:rFonts w:ascii="Arial" w:hAnsi="Arial" w:cs="Arial"/>
                <w:i/>
                <w:sz w:val="20"/>
                <w:szCs w:val="20"/>
              </w:rPr>
            </w:pPr>
            <w:r w:rsidRPr="004D2BCB">
              <w:rPr>
                <w:rFonts w:ascii="Arial" w:hAnsi="Arial" w:cs="Arial"/>
                <w:sz w:val="20"/>
                <w:szCs w:val="20"/>
              </w:rPr>
              <w:t>ROB</w:t>
            </w:r>
          </w:p>
        </w:tc>
        <w:tc>
          <w:tcPr>
            <w:tcW w:w="1160" w:type="dxa"/>
            <w:shd w:val="clear" w:color="auto" w:fill="auto"/>
            <w:vAlign w:val="center"/>
          </w:tcPr>
          <w:p w:rsidR="00A42B11" w:rsidRPr="004D2BCB" w:rsidRDefault="00A42B11" w:rsidP="00C17C7D">
            <w:pPr>
              <w:jc w:val="center"/>
              <w:rPr>
                <w:rFonts w:ascii="Arial" w:hAnsi="Arial" w:cs="Arial"/>
                <w:i/>
                <w:sz w:val="20"/>
                <w:szCs w:val="20"/>
              </w:rPr>
            </w:pPr>
            <w:r w:rsidRPr="004D2BCB">
              <w:rPr>
                <w:rFonts w:ascii="Arial" w:hAnsi="Arial" w:cs="Arial"/>
                <w:sz w:val="20"/>
                <w:szCs w:val="20"/>
              </w:rPr>
              <w:t>Existing</w:t>
            </w:r>
          </w:p>
        </w:tc>
        <w:tc>
          <w:tcPr>
            <w:tcW w:w="1250" w:type="dxa"/>
            <w:shd w:val="clear" w:color="auto" w:fill="auto"/>
            <w:vAlign w:val="center"/>
          </w:tcPr>
          <w:p w:rsidR="00A42B11" w:rsidRPr="004D2BCB" w:rsidRDefault="00A42B11" w:rsidP="00C17C7D">
            <w:pPr>
              <w:jc w:val="center"/>
              <w:rPr>
                <w:rFonts w:ascii="Arial" w:hAnsi="Arial" w:cs="Arial"/>
                <w:color w:val="000000"/>
                <w:sz w:val="20"/>
                <w:szCs w:val="20"/>
              </w:rPr>
            </w:pPr>
            <w:r w:rsidRPr="004D2BCB">
              <w:rPr>
                <w:rFonts w:ascii="Arial" w:hAnsi="Arial" w:cs="Arial"/>
                <w:color w:val="000000"/>
                <w:sz w:val="20"/>
                <w:szCs w:val="20"/>
              </w:rPr>
              <w:t>$250.00</w:t>
            </w:r>
          </w:p>
        </w:tc>
      </w:tr>
      <w:tr w:rsidR="00A42B11" w:rsidRPr="004D2BCB" w:rsidTr="00390130">
        <w:trPr>
          <w:cantSplit/>
          <w:jc w:val="center"/>
        </w:trPr>
        <w:tc>
          <w:tcPr>
            <w:tcW w:w="1980" w:type="dxa"/>
            <w:shd w:val="clear" w:color="auto" w:fill="auto"/>
            <w:vAlign w:val="center"/>
          </w:tcPr>
          <w:p w:rsidR="00A42B11" w:rsidRPr="004D2BCB" w:rsidRDefault="00A42B11" w:rsidP="00C17C7D">
            <w:pPr>
              <w:jc w:val="center"/>
              <w:rPr>
                <w:rFonts w:ascii="Arial" w:hAnsi="Arial" w:cs="Arial"/>
                <w:color w:val="000000"/>
                <w:sz w:val="20"/>
                <w:szCs w:val="20"/>
              </w:rPr>
            </w:pPr>
            <w:r w:rsidRPr="004D2BCB">
              <w:rPr>
                <w:rFonts w:ascii="Arial" w:hAnsi="Arial" w:cs="Arial"/>
                <w:color w:val="000000"/>
                <w:sz w:val="20"/>
                <w:szCs w:val="20"/>
              </w:rPr>
              <w:t>LED Luminaire in Walk-in Freezer: 60W to 38W</w:t>
            </w:r>
          </w:p>
        </w:tc>
        <w:tc>
          <w:tcPr>
            <w:tcW w:w="1350" w:type="dxa"/>
            <w:shd w:val="clear" w:color="auto" w:fill="auto"/>
            <w:vAlign w:val="center"/>
          </w:tcPr>
          <w:p w:rsidR="00A42B11" w:rsidRPr="004D2BCB" w:rsidRDefault="00A42B11" w:rsidP="00C17C7D">
            <w:pPr>
              <w:jc w:val="center"/>
              <w:rPr>
                <w:rFonts w:ascii="Arial" w:hAnsi="Arial" w:cs="Arial"/>
                <w:i/>
                <w:sz w:val="20"/>
                <w:szCs w:val="20"/>
              </w:rPr>
            </w:pPr>
            <w:r w:rsidRPr="004D2BCB">
              <w:rPr>
                <w:rFonts w:ascii="Arial" w:hAnsi="Arial" w:cs="Arial"/>
                <w:sz w:val="20"/>
                <w:szCs w:val="20"/>
              </w:rPr>
              <w:t>ROB</w:t>
            </w:r>
          </w:p>
        </w:tc>
        <w:tc>
          <w:tcPr>
            <w:tcW w:w="1160" w:type="dxa"/>
            <w:shd w:val="clear" w:color="auto" w:fill="auto"/>
            <w:vAlign w:val="center"/>
          </w:tcPr>
          <w:p w:rsidR="00A42B11" w:rsidRPr="004D2BCB" w:rsidRDefault="00A42B11" w:rsidP="00C17C7D">
            <w:pPr>
              <w:jc w:val="center"/>
              <w:rPr>
                <w:rFonts w:ascii="Arial" w:hAnsi="Arial" w:cs="Arial"/>
                <w:i/>
                <w:sz w:val="20"/>
                <w:szCs w:val="20"/>
              </w:rPr>
            </w:pPr>
            <w:r w:rsidRPr="004D2BCB">
              <w:rPr>
                <w:rFonts w:ascii="Arial" w:hAnsi="Arial" w:cs="Arial"/>
                <w:sz w:val="20"/>
                <w:szCs w:val="20"/>
              </w:rPr>
              <w:t>Existing</w:t>
            </w:r>
          </w:p>
        </w:tc>
        <w:tc>
          <w:tcPr>
            <w:tcW w:w="1250" w:type="dxa"/>
            <w:shd w:val="clear" w:color="auto" w:fill="auto"/>
            <w:vAlign w:val="center"/>
          </w:tcPr>
          <w:p w:rsidR="00A42B11" w:rsidRPr="004D2BCB" w:rsidRDefault="00A42B11" w:rsidP="00C17C7D">
            <w:pPr>
              <w:jc w:val="center"/>
              <w:rPr>
                <w:rFonts w:ascii="Arial" w:hAnsi="Arial" w:cs="Arial"/>
                <w:color w:val="000000"/>
                <w:sz w:val="20"/>
                <w:szCs w:val="20"/>
              </w:rPr>
            </w:pPr>
            <w:r w:rsidRPr="004D2BCB">
              <w:rPr>
                <w:rFonts w:ascii="Arial" w:hAnsi="Arial" w:cs="Arial"/>
                <w:color w:val="000000"/>
                <w:sz w:val="20"/>
                <w:szCs w:val="20"/>
              </w:rPr>
              <w:t>$250.00</w:t>
            </w:r>
          </w:p>
        </w:tc>
      </w:tr>
      <w:tr w:rsidR="00A42B11" w:rsidRPr="004D2BCB" w:rsidTr="00390130">
        <w:trPr>
          <w:cantSplit/>
          <w:jc w:val="center"/>
        </w:trPr>
        <w:tc>
          <w:tcPr>
            <w:tcW w:w="1980" w:type="dxa"/>
            <w:shd w:val="clear" w:color="auto" w:fill="auto"/>
            <w:vAlign w:val="center"/>
          </w:tcPr>
          <w:p w:rsidR="00A42B11" w:rsidRPr="004D2BCB" w:rsidRDefault="00A42B11" w:rsidP="00C17C7D">
            <w:pPr>
              <w:jc w:val="center"/>
              <w:rPr>
                <w:rFonts w:ascii="Arial" w:hAnsi="Arial" w:cs="Arial"/>
                <w:color w:val="000000"/>
                <w:sz w:val="20"/>
                <w:szCs w:val="20"/>
              </w:rPr>
            </w:pPr>
            <w:r w:rsidRPr="004D2BCB">
              <w:rPr>
                <w:rFonts w:ascii="Arial" w:hAnsi="Arial" w:cs="Arial"/>
                <w:color w:val="000000"/>
                <w:sz w:val="20"/>
                <w:szCs w:val="20"/>
              </w:rPr>
              <w:t>LED Luminaire in Walk-in Cooler: 75W to 38W</w:t>
            </w:r>
          </w:p>
        </w:tc>
        <w:tc>
          <w:tcPr>
            <w:tcW w:w="1350" w:type="dxa"/>
            <w:shd w:val="clear" w:color="auto" w:fill="auto"/>
            <w:vAlign w:val="center"/>
          </w:tcPr>
          <w:p w:rsidR="00A42B11" w:rsidRPr="004D2BCB" w:rsidRDefault="00A42B11" w:rsidP="00C17C7D">
            <w:pPr>
              <w:jc w:val="center"/>
              <w:rPr>
                <w:rFonts w:ascii="Arial" w:hAnsi="Arial" w:cs="Arial"/>
                <w:i/>
                <w:sz w:val="20"/>
                <w:szCs w:val="20"/>
              </w:rPr>
            </w:pPr>
            <w:r w:rsidRPr="004D2BCB">
              <w:rPr>
                <w:rFonts w:ascii="Arial" w:hAnsi="Arial" w:cs="Arial"/>
                <w:sz w:val="20"/>
                <w:szCs w:val="20"/>
              </w:rPr>
              <w:t>ROB</w:t>
            </w:r>
          </w:p>
        </w:tc>
        <w:tc>
          <w:tcPr>
            <w:tcW w:w="1160" w:type="dxa"/>
            <w:shd w:val="clear" w:color="auto" w:fill="auto"/>
            <w:vAlign w:val="center"/>
          </w:tcPr>
          <w:p w:rsidR="00A42B11" w:rsidRPr="004D2BCB" w:rsidRDefault="00A42B11" w:rsidP="00C17C7D">
            <w:pPr>
              <w:jc w:val="center"/>
              <w:rPr>
                <w:rFonts w:ascii="Arial" w:hAnsi="Arial" w:cs="Arial"/>
                <w:i/>
                <w:sz w:val="20"/>
                <w:szCs w:val="20"/>
              </w:rPr>
            </w:pPr>
            <w:r w:rsidRPr="004D2BCB">
              <w:rPr>
                <w:rFonts w:ascii="Arial" w:hAnsi="Arial" w:cs="Arial"/>
                <w:sz w:val="20"/>
                <w:szCs w:val="20"/>
              </w:rPr>
              <w:t>Existing</w:t>
            </w:r>
          </w:p>
        </w:tc>
        <w:tc>
          <w:tcPr>
            <w:tcW w:w="1250" w:type="dxa"/>
            <w:shd w:val="clear" w:color="auto" w:fill="auto"/>
            <w:vAlign w:val="center"/>
          </w:tcPr>
          <w:p w:rsidR="00A42B11" w:rsidRPr="004D2BCB" w:rsidRDefault="00A42B11" w:rsidP="00C17C7D">
            <w:pPr>
              <w:jc w:val="center"/>
              <w:rPr>
                <w:rFonts w:ascii="Arial" w:hAnsi="Arial" w:cs="Arial"/>
                <w:color w:val="000000"/>
                <w:sz w:val="20"/>
                <w:szCs w:val="20"/>
              </w:rPr>
            </w:pPr>
            <w:r w:rsidRPr="004D2BCB">
              <w:rPr>
                <w:rFonts w:ascii="Arial" w:hAnsi="Arial" w:cs="Arial"/>
                <w:color w:val="000000"/>
                <w:sz w:val="20"/>
                <w:szCs w:val="20"/>
              </w:rPr>
              <w:t>$250.00</w:t>
            </w:r>
          </w:p>
        </w:tc>
      </w:tr>
      <w:tr w:rsidR="00A42B11" w:rsidRPr="004D2BCB" w:rsidTr="00390130">
        <w:trPr>
          <w:cantSplit/>
          <w:jc w:val="center"/>
        </w:trPr>
        <w:tc>
          <w:tcPr>
            <w:tcW w:w="1980" w:type="dxa"/>
            <w:shd w:val="clear" w:color="auto" w:fill="auto"/>
            <w:vAlign w:val="center"/>
          </w:tcPr>
          <w:p w:rsidR="00A42B11" w:rsidRPr="004D2BCB" w:rsidRDefault="00A42B11" w:rsidP="00C17C7D">
            <w:pPr>
              <w:jc w:val="center"/>
              <w:rPr>
                <w:rFonts w:ascii="Arial" w:hAnsi="Arial" w:cs="Arial"/>
                <w:color w:val="000000"/>
                <w:sz w:val="20"/>
                <w:szCs w:val="20"/>
              </w:rPr>
            </w:pPr>
            <w:r w:rsidRPr="004D2BCB">
              <w:rPr>
                <w:rFonts w:ascii="Arial" w:hAnsi="Arial" w:cs="Arial"/>
                <w:color w:val="000000"/>
                <w:sz w:val="20"/>
                <w:szCs w:val="20"/>
              </w:rPr>
              <w:t>LED Luminaire in Walk-in Freezer: 75W to 38W</w:t>
            </w:r>
          </w:p>
        </w:tc>
        <w:tc>
          <w:tcPr>
            <w:tcW w:w="1350" w:type="dxa"/>
            <w:shd w:val="clear" w:color="auto" w:fill="auto"/>
            <w:vAlign w:val="center"/>
          </w:tcPr>
          <w:p w:rsidR="00A42B11" w:rsidRPr="004D2BCB" w:rsidRDefault="00A42B11" w:rsidP="00C17C7D">
            <w:pPr>
              <w:jc w:val="center"/>
              <w:rPr>
                <w:rFonts w:ascii="Arial" w:hAnsi="Arial" w:cs="Arial"/>
                <w:i/>
                <w:sz w:val="20"/>
                <w:szCs w:val="20"/>
              </w:rPr>
            </w:pPr>
            <w:r w:rsidRPr="004D2BCB">
              <w:rPr>
                <w:rFonts w:ascii="Arial" w:hAnsi="Arial" w:cs="Arial"/>
                <w:sz w:val="20"/>
                <w:szCs w:val="20"/>
              </w:rPr>
              <w:t>ROB</w:t>
            </w:r>
          </w:p>
        </w:tc>
        <w:tc>
          <w:tcPr>
            <w:tcW w:w="1160" w:type="dxa"/>
            <w:shd w:val="clear" w:color="auto" w:fill="auto"/>
            <w:vAlign w:val="center"/>
          </w:tcPr>
          <w:p w:rsidR="00A42B11" w:rsidRPr="004D2BCB" w:rsidRDefault="00A42B11" w:rsidP="00C17C7D">
            <w:pPr>
              <w:jc w:val="center"/>
              <w:rPr>
                <w:rFonts w:ascii="Arial" w:hAnsi="Arial" w:cs="Arial"/>
                <w:i/>
                <w:sz w:val="20"/>
                <w:szCs w:val="20"/>
              </w:rPr>
            </w:pPr>
            <w:r w:rsidRPr="004D2BCB">
              <w:rPr>
                <w:rFonts w:ascii="Arial" w:hAnsi="Arial" w:cs="Arial"/>
                <w:sz w:val="20"/>
                <w:szCs w:val="20"/>
              </w:rPr>
              <w:t>Existing</w:t>
            </w:r>
          </w:p>
        </w:tc>
        <w:tc>
          <w:tcPr>
            <w:tcW w:w="1250" w:type="dxa"/>
            <w:shd w:val="clear" w:color="auto" w:fill="auto"/>
            <w:vAlign w:val="center"/>
          </w:tcPr>
          <w:p w:rsidR="00A42B11" w:rsidRPr="004D2BCB" w:rsidRDefault="00A42B11" w:rsidP="00C17C7D">
            <w:pPr>
              <w:jc w:val="center"/>
              <w:rPr>
                <w:rFonts w:ascii="Arial" w:hAnsi="Arial" w:cs="Arial"/>
                <w:color w:val="000000"/>
                <w:sz w:val="20"/>
                <w:szCs w:val="20"/>
              </w:rPr>
            </w:pPr>
            <w:r w:rsidRPr="004D2BCB">
              <w:rPr>
                <w:rFonts w:ascii="Arial" w:hAnsi="Arial" w:cs="Arial"/>
                <w:color w:val="000000"/>
                <w:sz w:val="20"/>
                <w:szCs w:val="20"/>
              </w:rPr>
              <w:t>$250.00</w:t>
            </w:r>
          </w:p>
        </w:tc>
      </w:tr>
      <w:tr w:rsidR="00A42B11" w:rsidRPr="004D2BCB" w:rsidTr="00390130">
        <w:trPr>
          <w:cantSplit/>
          <w:jc w:val="center"/>
        </w:trPr>
        <w:tc>
          <w:tcPr>
            <w:tcW w:w="1980" w:type="dxa"/>
            <w:shd w:val="clear" w:color="auto" w:fill="auto"/>
            <w:vAlign w:val="center"/>
          </w:tcPr>
          <w:p w:rsidR="00A42B11" w:rsidRPr="004D2BCB" w:rsidRDefault="00A42B11" w:rsidP="00C17C7D">
            <w:pPr>
              <w:jc w:val="center"/>
              <w:rPr>
                <w:rFonts w:ascii="Arial" w:hAnsi="Arial" w:cs="Arial"/>
                <w:color w:val="000000"/>
                <w:sz w:val="20"/>
                <w:szCs w:val="20"/>
              </w:rPr>
            </w:pPr>
            <w:r w:rsidRPr="004D2BCB">
              <w:rPr>
                <w:rFonts w:ascii="Arial" w:hAnsi="Arial" w:cs="Arial"/>
                <w:color w:val="000000"/>
                <w:sz w:val="20"/>
                <w:szCs w:val="20"/>
              </w:rPr>
              <w:t>LED Luminaire in Walk-in Cooler: 100W to 38W</w:t>
            </w:r>
          </w:p>
        </w:tc>
        <w:tc>
          <w:tcPr>
            <w:tcW w:w="1350" w:type="dxa"/>
            <w:shd w:val="clear" w:color="auto" w:fill="auto"/>
            <w:vAlign w:val="center"/>
          </w:tcPr>
          <w:p w:rsidR="00A42B11" w:rsidRPr="004D2BCB" w:rsidRDefault="00A42B11" w:rsidP="00C17C7D">
            <w:pPr>
              <w:jc w:val="center"/>
              <w:rPr>
                <w:rFonts w:ascii="Arial" w:hAnsi="Arial" w:cs="Arial"/>
                <w:i/>
                <w:sz w:val="20"/>
                <w:szCs w:val="20"/>
              </w:rPr>
            </w:pPr>
            <w:r w:rsidRPr="004D2BCB">
              <w:rPr>
                <w:rFonts w:ascii="Arial" w:hAnsi="Arial" w:cs="Arial"/>
                <w:sz w:val="20"/>
                <w:szCs w:val="20"/>
              </w:rPr>
              <w:t>ROB</w:t>
            </w:r>
          </w:p>
        </w:tc>
        <w:tc>
          <w:tcPr>
            <w:tcW w:w="1160" w:type="dxa"/>
            <w:shd w:val="clear" w:color="auto" w:fill="auto"/>
            <w:vAlign w:val="center"/>
          </w:tcPr>
          <w:p w:rsidR="00A42B11" w:rsidRPr="004D2BCB" w:rsidRDefault="00A42B11" w:rsidP="00C17C7D">
            <w:pPr>
              <w:jc w:val="center"/>
              <w:rPr>
                <w:rFonts w:ascii="Arial" w:hAnsi="Arial" w:cs="Arial"/>
                <w:i/>
                <w:sz w:val="20"/>
                <w:szCs w:val="20"/>
              </w:rPr>
            </w:pPr>
            <w:r w:rsidRPr="004D2BCB">
              <w:rPr>
                <w:rFonts w:ascii="Arial" w:hAnsi="Arial" w:cs="Arial"/>
                <w:sz w:val="20"/>
                <w:szCs w:val="20"/>
              </w:rPr>
              <w:t>Existing</w:t>
            </w:r>
          </w:p>
        </w:tc>
        <w:tc>
          <w:tcPr>
            <w:tcW w:w="1250" w:type="dxa"/>
            <w:shd w:val="clear" w:color="auto" w:fill="auto"/>
            <w:vAlign w:val="center"/>
          </w:tcPr>
          <w:p w:rsidR="00A42B11" w:rsidRPr="004D2BCB" w:rsidRDefault="00A42B11" w:rsidP="00C17C7D">
            <w:pPr>
              <w:jc w:val="center"/>
              <w:rPr>
                <w:rFonts w:ascii="Arial" w:hAnsi="Arial" w:cs="Arial"/>
                <w:color w:val="000000"/>
                <w:sz w:val="20"/>
                <w:szCs w:val="20"/>
              </w:rPr>
            </w:pPr>
            <w:r w:rsidRPr="004D2BCB">
              <w:rPr>
                <w:rFonts w:ascii="Arial" w:hAnsi="Arial" w:cs="Arial"/>
                <w:color w:val="000000"/>
                <w:sz w:val="20"/>
                <w:szCs w:val="20"/>
              </w:rPr>
              <w:t>$250.00</w:t>
            </w:r>
          </w:p>
        </w:tc>
      </w:tr>
      <w:tr w:rsidR="00A42B11" w:rsidRPr="004D2BCB" w:rsidTr="00390130">
        <w:trPr>
          <w:cantSplit/>
          <w:jc w:val="center"/>
        </w:trPr>
        <w:tc>
          <w:tcPr>
            <w:tcW w:w="1980" w:type="dxa"/>
            <w:shd w:val="clear" w:color="auto" w:fill="auto"/>
            <w:vAlign w:val="center"/>
          </w:tcPr>
          <w:p w:rsidR="00A42B11" w:rsidRPr="004D2BCB" w:rsidRDefault="00A42B11" w:rsidP="00C17C7D">
            <w:pPr>
              <w:jc w:val="center"/>
              <w:rPr>
                <w:rFonts w:ascii="Arial" w:hAnsi="Arial" w:cs="Arial"/>
                <w:color w:val="000000"/>
                <w:sz w:val="20"/>
                <w:szCs w:val="20"/>
              </w:rPr>
            </w:pPr>
            <w:r w:rsidRPr="004D2BCB">
              <w:rPr>
                <w:rFonts w:ascii="Arial" w:hAnsi="Arial" w:cs="Arial"/>
                <w:color w:val="000000"/>
                <w:sz w:val="20"/>
                <w:szCs w:val="20"/>
              </w:rPr>
              <w:t>LED Luminaire in Walk-in Freezer: 100W to 38W</w:t>
            </w:r>
          </w:p>
        </w:tc>
        <w:tc>
          <w:tcPr>
            <w:tcW w:w="1350" w:type="dxa"/>
            <w:shd w:val="clear" w:color="auto" w:fill="auto"/>
            <w:vAlign w:val="center"/>
          </w:tcPr>
          <w:p w:rsidR="00A42B11" w:rsidRPr="004D2BCB" w:rsidRDefault="00A42B11" w:rsidP="00C17C7D">
            <w:pPr>
              <w:jc w:val="center"/>
              <w:rPr>
                <w:rFonts w:ascii="Arial" w:hAnsi="Arial" w:cs="Arial"/>
                <w:i/>
                <w:sz w:val="20"/>
                <w:szCs w:val="20"/>
              </w:rPr>
            </w:pPr>
            <w:r w:rsidRPr="004D2BCB">
              <w:rPr>
                <w:rFonts w:ascii="Arial" w:hAnsi="Arial" w:cs="Arial"/>
                <w:sz w:val="20"/>
                <w:szCs w:val="20"/>
              </w:rPr>
              <w:t>ROB</w:t>
            </w:r>
          </w:p>
        </w:tc>
        <w:tc>
          <w:tcPr>
            <w:tcW w:w="1160" w:type="dxa"/>
            <w:shd w:val="clear" w:color="auto" w:fill="auto"/>
            <w:vAlign w:val="center"/>
          </w:tcPr>
          <w:p w:rsidR="00A42B11" w:rsidRPr="004D2BCB" w:rsidRDefault="00A42B11" w:rsidP="00C17C7D">
            <w:pPr>
              <w:jc w:val="center"/>
              <w:rPr>
                <w:rFonts w:ascii="Arial" w:hAnsi="Arial" w:cs="Arial"/>
                <w:i/>
                <w:sz w:val="20"/>
                <w:szCs w:val="20"/>
              </w:rPr>
            </w:pPr>
            <w:r w:rsidRPr="004D2BCB">
              <w:rPr>
                <w:rFonts w:ascii="Arial" w:hAnsi="Arial" w:cs="Arial"/>
                <w:sz w:val="20"/>
                <w:szCs w:val="20"/>
              </w:rPr>
              <w:t>Existing</w:t>
            </w:r>
          </w:p>
        </w:tc>
        <w:tc>
          <w:tcPr>
            <w:tcW w:w="1250" w:type="dxa"/>
            <w:shd w:val="clear" w:color="auto" w:fill="auto"/>
            <w:vAlign w:val="center"/>
          </w:tcPr>
          <w:p w:rsidR="00A42B11" w:rsidRPr="004D2BCB" w:rsidRDefault="00A42B11" w:rsidP="00C17C7D">
            <w:pPr>
              <w:jc w:val="center"/>
              <w:rPr>
                <w:rFonts w:ascii="Arial" w:hAnsi="Arial" w:cs="Arial"/>
                <w:color w:val="000000"/>
                <w:sz w:val="20"/>
                <w:szCs w:val="20"/>
              </w:rPr>
            </w:pPr>
            <w:r w:rsidRPr="004D2BCB">
              <w:rPr>
                <w:rFonts w:ascii="Arial" w:hAnsi="Arial" w:cs="Arial"/>
                <w:color w:val="000000"/>
                <w:sz w:val="20"/>
                <w:szCs w:val="20"/>
              </w:rPr>
              <w:t>$250.00</w:t>
            </w:r>
          </w:p>
        </w:tc>
      </w:tr>
      <w:tr w:rsidR="00A42B11" w:rsidRPr="004D2BCB" w:rsidTr="00390130">
        <w:trPr>
          <w:cantSplit/>
          <w:jc w:val="center"/>
        </w:trPr>
        <w:tc>
          <w:tcPr>
            <w:tcW w:w="1980" w:type="dxa"/>
            <w:shd w:val="clear" w:color="auto" w:fill="auto"/>
            <w:vAlign w:val="center"/>
          </w:tcPr>
          <w:p w:rsidR="00A42B11" w:rsidRPr="004D2BCB" w:rsidRDefault="00A42B11" w:rsidP="00C17C7D">
            <w:pPr>
              <w:jc w:val="center"/>
              <w:rPr>
                <w:rFonts w:ascii="Arial" w:hAnsi="Arial" w:cs="Arial"/>
                <w:color w:val="000000"/>
                <w:sz w:val="20"/>
                <w:szCs w:val="20"/>
              </w:rPr>
            </w:pPr>
            <w:r w:rsidRPr="004D2BCB">
              <w:rPr>
                <w:rFonts w:ascii="Arial" w:hAnsi="Arial" w:cs="Arial"/>
                <w:color w:val="000000"/>
                <w:sz w:val="20"/>
                <w:szCs w:val="20"/>
              </w:rPr>
              <w:t>LED Luminaire in Walk-in Cooler: 220W to 80W</w:t>
            </w:r>
          </w:p>
        </w:tc>
        <w:tc>
          <w:tcPr>
            <w:tcW w:w="1350" w:type="dxa"/>
            <w:shd w:val="clear" w:color="auto" w:fill="auto"/>
            <w:vAlign w:val="center"/>
          </w:tcPr>
          <w:p w:rsidR="00A42B11" w:rsidRPr="004D2BCB" w:rsidRDefault="00A42B11" w:rsidP="00C17C7D">
            <w:pPr>
              <w:jc w:val="center"/>
              <w:rPr>
                <w:rFonts w:ascii="Arial" w:hAnsi="Arial" w:cs="Arial"/>
                <w:i/>
                <w:sz w:val="20"/>
                <w:szCs w:val="20"/>
              </w:rPr>
            </w:pPr>
            <w:r w:rsidRPr="004D2BCB">
              <w:rPr>
                <w:rFonts w:ascii="Arial" w:hAnsi="Arial" w:cs="Arial"/>
                <w:sz w:val="20"/>
                <w:szCs w:val="20"/>
              </w:rPr>
              <w:t>ROB</w:t>
            </w:r>
          </w:p>
        </w:tc>
        <w:tc>
          <w:tcPr>
            <w:tcW w:w="1160" w:type="dxa"/>
            <w:shd w:val="clear" w:color="auto" w:fill="auto"/>
            <w:vAlign w:val="center"/>
          </w:tcPr>
          <w:p w:rsidR="00A42B11" w:rsidRPr="004D2BCB" w:rsidRDefault="00A42B11" w:rsidP="00C17C7D">
            <w:pPr>
              <w:jc w:val="center"/>
              <w:rPr>
                <w:rFonts w:ascii="Arial" w:hAnsi="Arial" w:cs="Arial"/>
                <w:i/>
                <w:sz w:val="20"/>
                <w:szCs w:val="20"/>
              </w:rPr>
            </w:pPr>
            <w:r w:rsidRPr="004D2BCB">
              <w:rPr>
                <w:rFonts w:ascii="Arial" w:hAnsi="Arial" w:cs="Arial"/>
                <w:sz w:val="20"/>
                <w:szCs w:val="20"/>
              </w:rPr>
              <w:t>Existing</w:t>
            </w:r>
          </w:p>
        </w:tc>
        <w:tc>
          <w:tcPr>
            <w:tcW w:w="1250" w:type="dxa"/>
            <w:shd w:val="clear" w:color="auto" w:fill="auto"/>
            <w:vAlign w:val="center"/>
          </w:tcPr>
          <w:p w:rsidR="00A42B11" w:rsidRPr="004D2BCB" w:rsidRDefault="00A42B11" w:rsidP="00C17C7D">
            <w:pPr>
              <w:jc w:val="center"/>
              <w:rPr>
                <w:rFonts w:ascii="Arial" w:hAnsi="Arial" w:cs="Arial"/>
                <w:color w:val="000000"/>
                <w:sz w:val="20"/>
                <w:szCs w:val="20"/>
              </w:rPr>
            </w:pPr>
            <w:r w:rsidRPr="004D2BCB">
              <w:rPr>
                <w:rFonts w:ascii="Arial" w:hAnsi="Arial" w:cs="Arial"/>
                <w:color w:val="000000"/>
                <w:sz w:val="20"/>
                <w:szCs w:val="20"/>
              </w:rPr>
              <w:t>$500.00</w:t>
            </w:r>
          </w:p>
        </w:tc>
      </w:tr>
      <w:tr w:rsidR="00A42B11" w:rsidRPr="004D2BCB" w:rsidTr="00390130">
        <w:trPr>
          <w:cantSplit/>
          <w:jc w:val="center"/>
        </w:trPr>
        <w:tc>
          <w:tcPr>
            <w:tcW w:w="1980" w:type="dxa"/>
            <w:shd w:val="clear" w:color="auto" w:fill="auto"/>
            <w:vAlign w:val="center"/>
          </w:tcPr>
          <w:p w:rsidR="00A42B11" w:rsidRPr="004D2BCB" w:rsidRDefault="00A42B11" w:rsidP="00C17C7D">
            <w:pPr>
              <w:jc w:val="center"/>
              <w:rPr>
                <w:rFonts w:ascii="Arial" w:hAnsi="Arial" w:cs="Arial"/>
                <w:color w:val="000000"/>
                <w:sz w:val="20"/>
                <w:szCs w:val="20"/>
              </w:rPr>
            </w:pPr>
            <w:r w:rsidRPr="004D2BCB">
              <w:rPr>
                <w:rFonts w:ascii="Arial" w:hAnsi="Arial" w:cs="Arial"/>
                <w:color w:val="000000"/>
                <w:sz w:val="20"/>
                <w:szCs w:val="20"/>
              </w:rPr>
              <w:t>LED Luminaire in Walk-in Freezer: 220W to 80W</w:t>
            </w:r>
          </w:p>
        </w:tc>
        <w:tc>
          <w:tcPr>
            <w:tcW w:w="1350" w:type="dxa"/>
            <w:shd w:val="clear" w:color="auto" w:fill="auto"/>
            <w:vAlign w:val="center"/>
          </w:tcPr>
          <w:p w:rsidR="00A42B11" w:rsidRPr="004D2BCB" w:rsidRDefault="00A42B11" w:rsidP="00C17C7D">
            <w:pPr>
              <w:jc w:val="center"/>
              <w:rPr>
                <w:rFonts w:ascii="Arial" w:hAnsi="Arial" w:cs="Arial"/>
                <w:i/>
                <w:sz w:val="20"/>
                <w:szCs w:val="20"/>
              </w:rPr>
            </w:pPr>
            <w:r w:rsidRPr="004D2BCB">
              <w:rPr>
                <w:rFonts w:ascii="Arial" w:hAnsi="Arial" w:cs="Arial"/>
                <w:sz w:val="20"/>
                <w:szCs w:val="20"/>
              </w:rPr>
              <w:t>ROB</w:t>
            </w:r>
          </w:p>
        </w:tc>
        <w:tc>
          <w:tcPr>
            <w:tcW w:w="1160" w:type="dxa"/>
            <w:shd w:val="clear" w:color="auto" w:fill="auto"/>
            <w:vAlign w:val="center"/>
          </w:tcPr>
          <w:p w:rsidR="00A42B11" w:rsidRPr="004D2BCB" w:rsidRDefault="00A42B11" w:rsidP="00C17C7D">
            <w:pPr>
              <w:jc w:val="center"/>
              <w:rPr>
                <w:rFonts w:ascii="Arial" w:hAnsi="Arial" w:cs="Arial"/>
                <w:i/>
                <w:sz w:val="20"/>
                <w:szCs w:val="20"/>
              </w:rPr>
            </w:pPr>
            <w:r w:rsidRPr="004D2BCB">
              <w:rPr>
                <w:rFonts w:ascii="Arial" w:hAnsi="Arial" w:cs="Arial"/>
                <w:sz w:val="20"/>
                <w:szCs w:val="20"/>
              </w:rPr>
              <w:t>Existing</w:t>
            </w:r>
          </w:p>
        </w:tc>
        <w:tc>
          <w:tcPr>
            <w:tcW w:w="1250" w:type="dxa"/>
            <w:shd w:val="clear" w:color="auto" w:fill="auto"/>
            <w:vAlign w:val="center"/>
          </w:tcPr>
          <w:p w:rsidR="00A42B11" w:rsidRPr="004D2BCB" w:rsidRDefault="00A42B11" w:rsidP="00C17C7D">
            <w:pPr>
              <w:jc w:val="center"/>
              <w:rPr>
                <w:rFonts w:ascii="Arial" w:hAnsi="Arial" w:cs="Arial"/>
                <w:color w:val="000000"/>
                <w:sz w:val="20"/>
                <w:szCs w:val="20"/>
              </w:rPr>
            </w:pPr>
            <w:r w:rsidRPr="004D2BCB">
              <w:rPr>
                <w:rFonts w:ascii="Arial" w:hAnsi="Arial" w:cs="Arial"/>
                <w:color w:val="000000"/>
                <w:sz w:val="20"/>
                <w:szCs w:val="20"/>
              </w:rPr>
              <w:t>$500.00</w:t>
            </w:r>
          </w:p>
        </w:tc>
      </w:tr>
    </w:tbl>
    <w:p w:rsidR="00DD1C47" w:rsidRPr="004D2BCB" w:rsidRDefault="00DD1C47" w:rsidP="00F55847">
      <w:pPr>
        <w:rPr>
          <w:rFonts w:ascii="Arial" w:hAnsi="Arial" w:cs="Arial"/>
          <w:i/>
          <w:sz w:val="20"/>
          <w:szCs w:val="20"/>
        </w:rPr>
      </w:pPr>
      <w:r w:rsidRPr="004D2BCB">
        <w:rPr>
          <w:rFonts w:ascii="Arial" w:hAnsi="Arial" w:cs="Arial"/>
          <w:i/>
          <w:sz w:val="20"/>
          <w:szCs w:val="20"/>
        </w:rPr>
        <w:t xml:space="preserve">All costs are noted as $ per </w:t>
      </w:r>
      <w:r w:rsidR="00BF17F6" w:rsidRPr="004D2BCB">
        <w:rPr>
          <w:rFonts w:ascii="Arial" w:hAnsi="Arial" w:cs="Arial"/>
          <w:i/>
          <w:sz w:val="20"/>
          <w:szCs w:val="20"/>
        </w:rPr>
        <w:t>luminaire</w:t>
      </w:r>
    </w:p>
    <w:p w:rsidR="000B6CB4" w:rsidRPr="004D2BCB" w:rsidRDefault="000B6CB4" w:rsidP="00F55847">
      <w:pPr>
        <w:rPr>
          <w:rFonts w:ascii="Arial" w:hAnsi="Arial" w:cs="Arial"/>
          <w:i/>
          <w:sz w:val="20"/>
          <w:szCs w:val="20"/>
        </w:rPr>
      </w:pPr>
    </w:p>
    <w:p w:rsidR="008D6F1D" w:rsidRDefault="008D6F1D" w:rsidP="002E0043">
      <w:pPr>
        <w:pStyle w:val="Heading2"/>
        <w:keepNext w:val="0"/>
      </w:pPr>
    </w:p>
    <w:p w:rsidR="008D6F1D" w:rsidRDefault="008D6F1D" w:rsidP="002E0043">
      <w:pPr>
        <w:pStyle w:val="Heading2"/>
        <w:keepNext w:val="0"/>
      </w:pPr>
    </w:p>
    <w:p w:rsidR="008D6F1D" w:rsidRDefault="008D6F1D" w:rsidP="002E0043">
      <w:pPr>
        <w:pStyle w:val="Heading2"/>
        <w:keepNext w:val="0"/>
      </w:pPr>
    </w:p>
    <w:p w:rsidR="008D6F1D" w:rsidRDefault="008D6F1D" w:rsidP="002E0043">
      <w:pPr>
        <w:pStyle w:val="Heading2"/>
        <w:keepNext w:val="0"/>
      </w:pPr>
    </w:p>
    <w:p w:rsidR="0030550A" w:rsidRPr="004D2BCB" w:rsidRDefault="0030550A" w:rsidP="002E0043">
      <w:pPr>
        <w:pStyle w:val="Heading2"/>
        <w:keepNext w:val="0"/>
      </w:pPr>
      <w:bookmarkStart w:id="106" w:name="_Toc438047480"/>
      <w:r w:rsidRPr="004D2BCB">
        <w:lastRenderedPageBreak/>
        <w:t>4.3 Incremental</w:t>
      </w:r>
      <w:bookmarkEnd w:id="106"/>
      <w:r w:rsidRPr="004D2BCB">
        <w:t xml:space="preserve"> </w:t>
      </w:r>
    </w:p>
    <w:tbl>
      <w:tblPr>
        <w:tblW w:w="4068" w:type="dxa"/>
        <w:jc w:val="cente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2790"/>
      </w:tblGrid>
      <w:tr w:rsidR="00E930A5" w:rsidRPr="004D2BCB" w:rsidTr="00390130">
        <w:trPr>
          <w:trHeight w:val="255"/>
          <w:jc w:val="center"/>
        </w:trPr>
        <w:tc>
          <w:tcPr>
            <w:tcW w:w="1278" w:type="dxa"/>
            <w:shd w:val="clear" w:color="auto" w:fill="0D0D0D"/>
            <w:noWrap/>
            <w:vAlign w:val="bottom"/>
          </w:tcPr>
          <w:p w:rsidR="00E930A5" w:rsidRPr="00390130" w:rsidRDefault="00E930A5" w:rsidP="00312A1F">
            <w:pPr>
              <w:jc w:val="center"/>
              <w:rPr>
                <w:rFonts w:ascii="Arial" w:hAnsi="Arial" w:cs="Arial"/>
                <w:b/>
                <w:sz w:val="20"/>
              </w:rPr>
            </w:pPr>
            <w:r w:rsidRPr="00390130">
              <w:rPr>
                <w:rFonts w:ascii="Arial" w:hAnsi="Arial" w:cs="Arial"/>
                <w:b/>
                <w:sz w:val="20"/>
                <w:szCs w:val="20"/>
              </w:rPr>
              <w:t>Measure Application</w:t>
            </w:r>
            <w:r w:rsidRPr="00390130">
              <w:rPr>
                <w:rFonts w:ascii="Arial" w:hAnsi="Arial" w:cs="Arial"/>
                <w:b/>
                <w:sz w:val="20"/>
              </w:rPr>
              <w:t xml:space="preserve"> Type</w:t>
            </w:r>
          </w:p>
        </w:tc>
        <w:tc>
          <w:tcPr>
            <w:tcW w:w="2790" w:type="dxa"/>
            <w:shd w:val="clear" w:color="auto" w:fill="0D0D0D"/>
            <w:noWrap/>
            <w:vAlign w:val="bottom"/>
          </w:tcPr>
          <w:p w:rsidR="00E930A5" w:rsidRPr="00390130" w:rsidRDefault="00E930A5" w:rsidP="00312A1F">
            <w:pPr>
              <w:jc w:val="center"/>
              <w:rPr>
                <w:rFonts w:ascii="Arial" w:hAnsi="Arial" w:cs="Arial"/>
                <w:b/>
                <w:sz w:val="20"/>
              </w:rPr>
            </w:pPr>
            <w:r w:rsidRPr="00390130">
              <w:rPr>
                <w:rFonts w:ascii="Arial" w:hAnsi="Arial" w:cs="Arial"/>
                <w:b/>
                <w:sz w:val="20"/>
              </w:rPr>
              <w:t>Incremental Measure Cost</w:t>
            </w:r>
          </w:p>
        </w:tc>
      </w:tr>
      <w:tr w:rsidR="00E930A5" w:rsidRPr="004D2BCB" w:rsidTr="00390130">
        <w:trPr>
          <w:trHeight w:val="255"/>
          <w:jc w:val="center"/>
        </w:trPr>
        <w:tc>
          <w:tcPr>
            <w:tcW w:w="1278" w:type="dxa"/>
            <w:shd w:val="pct20" w:color="000000" w:fill="FFFFFF"/>
            <w:noWrap/>
            <w:vAlign w:val="bottom"/>
          </w:tcPr>
          <w:p w:rsidR="00E930A5" w:rsidRPr="00390130" w:rsidRDefault="00E930A5" w:rsidP="00683C25">
            <w:pPr>
              <w:jc w:val="center"/>
              <w:rPr>
                <w:rFonts w:ascii="Arial" w:hAnsi="Arial" w:cs="Arial"/>
                <w:sz w:val="20"/>
                <w:szCs w:val="20"/>
              </w:rPr>
            </w:pPr>
            <w:r w:rsidRPr="00390130">
              <w:rPr>
                <w:rFonts w:ascii="Arial" w:hAnsi="Arial" w:cs="Arial"/>
                <w:sz w:val="20"/>
                <w:szCs w:val="20"/>
              </w:rPr>
              <w:t>ROB</w:t>
            </w:r>
          </w:p>
        </w:tc>
        <w:tc>
          <w:tcPr>
            <w:tcW w:w="2790" w:type="dxa"/>
            <w:shd w:val="pct20" w:color="000000" w:fill="FFFFFF"/>
            <w:noWrap/>
            <w:vAlign w:val="bottom"/>
          </w:tcPr>
          <w:p w:rsidR="00E930A5" w:rsidRPr="00390130" w:rsidRDefault="00E930A5" w:rsidP="00683C25">
            <w:pPr>
              <w:jc w:val="center"/>
              <w:rPr>
                <w:rFonts w:ascii="Arial" w:hAnsi="Arial" w:cs="Arial"/>
                <w:sz w:val="20"/>
                <w:szCs w:val="20"/>
              </w:rPr>
            </w:pPr>
            <w:r w:rsidRPr="00390130">
              <w:rPr>
                <w:rFonts w:ascii="Arial" w:hAnsi="Arial" w:cs="Arial"/>
                <w:sz w:val="20"/>
                <w:szCs w:val="20"/>
              </w:rPr>
              <w:t xml:space="preserve">Measure Total Cost </w:t>
            </w:r>
          </w:p>
          <w:p w:rsidR="00E930A5" w:rsidRPr="00390130" w:rsidRDefault="00E930A5" w:rsidP="00792411">
            <w:pPr>
              <w:jc w:val="center"/>
              <w:rPr>
                <w:rFonts w:ascii="Arial" w:hAnsi="Arial" w:cs="Arial"/>
                <w:sz w:val="20"/>
                <w:szCs w:val="20"/>
              </w:rPr>
            </w:pPr>
            <w:r w:rsidRPr="00390130">
              <w:rPr>
                <w:rFonts w:ascii="Arial" w:hAnsi="Arial" w:cs="Arial"/>
                <w:sz w:val="20"/>
                <w:szCs w:val="20"/>
              </w:rPr>
              <w:t>– Base Case Total Cost</w:t>
            </w:r>
          </w:p>
        </w:tc>
      </w:tr>
    </w:tbl>
    <w:p w:rsidR="00AE08CB" w:rsidRPr="00390130" w:rsidRDefault="00AE08CB" w:rsidP="00312A1F">
      <w:pPr>
        <w:rPr>
          <w:rFonts w:ascii="Arial" w:hAnsi="Arial" w:cs="Arial"/>
        </w:rPr>
      </w:pPr>
    </w:p>
    <w:p w:rsidR="00774447" w:rsidRPr="004D2BCB" w:rsidRDefault="00774447" w:rsidP="003F57BD">
      <w:pPr>
        <w:rPr>
          <w:rFonts w:ascii="Arial" w:hAnsi="Arial" w:cs="Arial"/>
          <w:sz w:val="20"/>
        </w:rPr>
      </w:pPr>
    </w:p>
    <w:p w:rsidR="00A47BFE" w:rsidRPr="004D2BCB" w:rsidRDefault="00A81E0D" w:rsidP="00774447">
      <w:pPr>
        <w:pStyle w:val="Heading3"/>
      </w:pPr>
      <w:bookmarkStart w:id="107" w:name="_Toc438047481"/>
      <w:r w:rsidRPr="004D2BCB">
        <w:t>4.3.</w:t>
      </w:r>
      <w:r w:rsidR="00E930A5" w:rsidRPr="004D2BCB">
        <w:t>1</w:t>
      </w:r>
      <w:r w:rsidRPr="004D2BCB">
        <w:t xml:space="preserve"> </w:t>
      </w:r>
      <w:r w:rsidR="00A47BFE" w:rsidRPr="004D2BCB">
        <w:t>Incremental Measure Costs</w:t>
      </w:r>
      <w:bookmarkEnd w:id="107"/>
    </w:p>
    <w:p w:rsidR="00ED3B31" w:rsidRPr="004D2BCB" w:rsidRDefault="00ED3B31" w:rsidP="00390130">
      <w:pPr>
        <w:jc w:val="both"/>
        <w:rPr>
          <w:rFonts w:ascii="Arial" w:hAnsi="Arial" w:cs="Arial"/>
          <w:sz w:val="20"/>
        </w:rPr>
      </w:pPr>
      <w:r w:rsidRPr="004D2BCB">
        <w:rPr>
          <w:rFonts w:ascii="Arial" w:hAnsi="Arial" w:cs="Arial"/>
          <w:sz w:val="20"/>
        </w:rPr>
        <w:t xml:space="preserve">Incremental Measure Cost is the premium cost to install an energy efficient measure over a standard efficiency measure or code baseline measure.  While IMC has a straightforward definition depending on the </w:t>
      </w:r>
      <w:r w:rsidR="008C5E78" w:rsidRPr="004D2BCB">
        <w:rPr>
          <w:rFonts w:ascii="Arial" w:hAnsi="Arial" w:cs="Arial"/>
          <w:sz w:val="20"/>
        </w:rPr>
        <w:t xml:space="preserve">Measure Application </w:t>
      </w:r>
      <w:r w:rsidRPr="004D2BCB">
        <w:rPr>
          <w:rFonts w:ascii="Arial" w:hAnsi="Arial" w:cs="Arial"/>
          <w:sz w:val="20"/>
        </w:rPr>
        <w:t xml:space="preserve">type, the equation does vary.  </w:t>
      </w:r>
    </w:p>
    <w:p w:rsidR="00ED3B31" w:rsidRPr="004D2BCB" w:rsidRDefault="00ED3B31" w:rsidP="00390130">
      <w:pPr>
        <w:jc w:val="both"/>
        <w:rPr>
          <w:rFonts w:ascii="Arial" w:hAnsi="Arial" w:cs="Arial"/>
          <w:sz w:val="20"/>
        </w:rPr>
      </w:pPr>
    </w:p>
    <w:p w:rsidR="00ED3B31" w:rsidRPr="004D2BCB" w:rsidRDefault="00ED3B31" w:rsidP="00390130">
      <w:pPr>
        <w:jc w:val="both"/>
        <w:rPr>
          <w:rFonts w:ascii="Arial" w:hAnsi="Arial" w:cs="Arial"/>
          <w:sz w:val="20"/>
        </w:rPr>
      </w:pPr>
      <w:r w:rsidRPr="004D2BCB">
        <w:rPr>
          <w:rFonts w:ascii="Arial" w:hAnsi="Arial" w:cs="Arial"/>
          <w:sz w:val="20"/>
        </w:rPr>
        <w:t xml:space="preserve">This </w:t>
      </w:r>
      <w:r w:rsidR="008C5E78" w:rsidRPr="004D2BCB">
        <w:rPr>
          <w:rFonts w:ascii="Arial" w:hAnsi="Arial" w:cs="Arial"/>
          <w:sz w:val="20"/>
        </w:rPr>
        <w:t>Measure Application</w:t>
      </w:r>
      <w:r w:rsidR="0008400E" w:rsidRPr="004D2BCB">
        <w:rPr>
          <w:rFonts w:ascii="Arial" w:hAnsi="Arial" w:cs="Arial"/>
          <w:sz w:val="20"/>
        </w:rPr>
        <w:t xml:space="preserve"> type is ROB</w:t>
      </w:r>
      <w:r w:rsidRPr="004D2BCB">
        <w:rPr>
          <w:rFonts w:ascii="Arial" w:hAnsi="Arial" w:cs="Arial"/>
          <w:sz w:val="20"/>
        </w:rPr>
        <w:t xml:space="preserve"> so the </w:t>
      </w:r>
      <w:r w:rsidR="0008400E" w:rsidRPr="004D2BCB">
        <w:rPr>
          <w:rFonts w:ascii="Arial" w:hAnsi="Arial" w:cs="Arial"/>
          <w:sz w:val="20"/>
        </w:rPr>
        <w:t xml:space="preserve">Incremental </w:t>
      </w:r>
      <w:r w:rsidRPr="004D2BCB">
        <w:rPr>
          <w:rFonts w:ascii="Arial" w:hAnsi="Arial" w:cs="Arial"/>
          <w:sz w:val="20"/>
        </w:rPr>
        <w:t>Measure Cost (</w:t>
      </w:r>
      <w:r w:rsidR="0008400E" w:rsidRPr="004D2BCB">
        <w:rPr>
          <w:rFonts w:ascii="Arial" w:hAnsi="Arial" w:cs="Arial"/>
          <w:sz w:val="20"/>
        </w:rPr>
        <w:t>I</w:t>
      </w:r>
      <w:r w:rsidRPr="004D2BCB">
        <w:rPr>
          <w:rFonts w:ascii="Arial" w:hAnsi="Arial" w:cs="Arial"/>
          <w:sz w:val="20"/>
        </w:rPr>
        <w:t>MC) is represented by the</w:t>
      </w:r>
      <w:r w:rsidR="008C5E78" w:rsidRPr="004D2BCB">
        <w:rPr>
          <w:rFonts w:ascii="Arial" w:hAnsi="Arial" w:cs="Arial"/>
          <w:sz w:val="20"/>
        </w:rPr>
        <w:t xml:space="preserve"> appropriate</w:t>
      </w:r>
      <w:r w:rsidRPr="004D2BCB">
        <w:rPr>
          <w:rFonts w:ascii="Arial" w:hAnsi="Arial" w:cs="Arial"/>
          <w:sz w:val="20"/>
        </w:rPr>
        <w:t xml:space="preserve"> equation below:</w:t>
      </w:r>
    </w:p>
    <w:p w:rsidR="00ED3B31" w:rsidRPr="004D2BCB" w:rsidRDefault="00ED3B31" w:rsidP="0008400E">
      <w:pPr>
        <w:ind w:right="720"/>
        <w:rPr>
          <w:rFonts w:ascii="Arial" w:hAnsi="Arial" w:cs="Arial"/>
          <w:sz w:val="20"/>
        </w:rPr>
      </w:pPr>
    </w:p>
    <w:p w:rsidR="006B11F6" w:rsidRPr="004D2BCB" w:rsidRDefault="00ED3B31" w:rsidP="006B11F6">
      <w:pPr>
        <w:ind w:firstLine="720"/>
        <w:rPr>
          <w:rFonts w:ascii="Arial" w:hAnsi="Arial" w:cs="Arial"/>
          <w:sz w:val="20"/>
        </w:rPr>
      </w:pPr>
      <w:r w:rsidRPr="004D2BCB">
        <w:rPr>
          <w:rFonts w:ascii="Arial" w:hAnsi="Arial" w:cs="Arial"/>
          <w:sz w:val="20"/>
        </w:rPr>
        <w:t xml:space="preserve">IMC = </w:t>
      </w:r>
      <w:r w:rsidR="006B11F6" w:rsidRPr="004D2BCB">
        <w:rPr>
          <w:rFonts w:ascii="Arial" w:hAnsi="Arial" w:cs="Arial"/>
          <w:sz w:val="20"/>
        </w:rPr>
        <w:t>(Measure Equipment Cost + Measure Labor Cost) –</w:t>
      </w:r>
    </w:p>
    <w:p w:rsidR="00A42B11" w:rsidRPr="004D2BCB" w:rsidRDefault="006B11F6" w:rsidP="006B11F6">
      <w:pPr>
        <w:ind w:firstLine="720"/>
        <w:rPr>
          <w:rFonts w:ascii="Arial" w:hAnsi="Arial" w:cs="Arial"/>
          <w:sz w:val="20"/>
        </w:rPr>
      </w:pPr>
      <w:r w:rsidRPr="004D2BCB">
        <w:rPr>
          <w:rFonts w:ascii="Arial" w:hAnsi="Arial" w:cs="Arial"/>
          <w:sz w:val="20"/>
        </w:rPr>
        <w:t xml:space="preserve">    (Base Case Equipment Cost + Base Case Labor Cost)</w:t>
      </w:r>
    </w:p>
    <w:p w:rsidR="00A42B11" w:rsidRPr="004D2BCB" w:rsidRDefault="00A42B11" w:rsidP="006A661F">
      <w:pPr>
        <w:rPr>
          <w:rFonts w:ascii="Arial" w:hAnsi="Arial" w:cs="Arial"/>
          <w:sz w:val="20"/>
        </w:rPr>
      </w:pPr>
    </w:p>
    <w:p w:rsidR="00A42B11" w:rsidRPr="004D2BCB" w:rsidRDefault="00A42B11" w:rsidP="00390130">
      <w:pPr>
        <w:jc w:val="both"/>
        <w:rPr>
          <w:rFonts w:ascii="Arial" w:hAnsi="Arial" w:cs="Arial"/>
          <w:sz w:val="20"/>
        </w:rPr>
      </w:pPr>
      <w:r w:rsidRPr="004D2BCB">
        <w:rPr>
          <w:rFonts w:ascii="Arial" w:hAnsi="Arial" w:cs="Arial"/>
          <w:sz w:val="20"/>
        </w:rPr>
        <w:t>*Note: The measure case labor and base case labor are assumed to be the same value reducing the equation to the following:</w:t>
      </w:r>
    </w:p>
    <w:p w:rsidR="00A42B11" w:rsidRPr="004D2BCB" w:rsidRDefault="00A42B11" w:rsidP="00A42B11">
      <w:pPr>
        <w:ind w:firstLine="720"/>
        <w:rPr>
          <w:rFonts w:ascii="Arial" w:hAnsi="Arial" w:cs="Arial"/>
          <w:sz w:val="20"/>
          <w:szCs w:val="20"/>
        </w:rPr>
      </w:pPr>
      <w:r w:rsidRPr="004D2BCB">
        <w:rPr>
          <w:rFonts w:ascii="Arial" w:hAnsi="Arial" w:cs="Arial"/>
          <w:sz w:val="20"/>
        </w:rPr>
        <w:t xml:space="preserve">IMC = </w:t>
      </w:r>
      <w:r w:rsidRPr="004D2BCB">
        <w:rPr>
          <w:rFonts w:ascii="Arial" w:hAnsi="Arial" w:cs="Arial"/>
          <w:sz w:val="20"/>
          <w:szCs w:val="20"/>
        </w:rPr>
        <w:t>(Measure Equipment Cost) – (Base Case Equipment Cost)</w:t>
      </w:r>
    </w:p>
    <w:p w:rsidR="00A42B11" w:rsidRPr="004D2BCB" w:rsidRDefault="00A42B11" w:rsidP="006A661F">
      <w:pPr>
        <w:rPr>
          <w:rFonts w:ascii="Arial" w:hAnsi="Arial" w:cs="Arial"/>
          <w:sz w:val="20"/>
        </w:rPr>
      </w:pPr>
    </w:p>
    <w:p w:rsidR="00E930A5" w:rsidRDefault="006A661F" w:rsidP="00390130">
      <w:pPr>
        <w:rPr>
          <w:rFonts w:ascii="Arial" w:hAnsi="Arial" w:cs="Arial"/>
          <w:sz w:val="20"/>
        </w:rPr>
      </w:pPr>
      <w:r w:rsidRPr="004D2BCB">
        <w:rPr>
          <w:rFonts w:ascii="Arial" w:hAnsi="Arial" w:cs="Arial"/>
          <w:sz w:val="20"/>
        </w:rPr>
        <w:t>The Incremental Measure Costs vary by measure, see summary table below.</w:t>
      </w:r>
    </w:p>
    <w:p w:rsidR="008D6F1D" w:rsidRPr="008D6F1D" w:rsidRDefault="008D6F1D" w:rsidP="00390130">
      <w:pPr>
        <w:rPr>
          <w:rFonts w:ascii="Arial" w:hAnsi="Arial" w:cs="Arial"/>
          <w:sz w:val="20"/>
        </w:rPr>
      </w:pPr>
    </w:p>
    <w:p w:rsidR="0008400E" w:rsidRPr="00390130" w:rsidRDefault="0008400E" w:rsidP="00346796">
      <w:pPr>
        <w:pStyle w:val="Caption"/>
        <w:rPr>
          <w:rFonts w:cs="Arial"/>
        </w:rPr>
      </w:pPr>
    </w:p>
    <w:p w:rsidR="002F3610" w:rsidRPr="00390130" w:rsidRDefault="002F3610" w:rsidP="00346796">
      <w:pPr>
        <w:pStyle w:val="Caption"/>
        <w:rPr>
          <w:rFonts w:cs="Arial"/>
        </w:rPr>
      </w:pPr>
      <w:r w:rsidRPr="00390130">
        <w:rPr>
          <w:rFonts w:cs="Arial"/>
        </w:rPr>
        <w:t>Summary Table for Section 4</w:t>
      </w:r>
    </w:p>
    <w:p w:rsidR="002F3610" w:rsidRPr="004D2BCB" w:rsidRDefault="002F3610" w:rsidP="002F3610">
      <w:pPr>
        <w:ind w:firstLine="720"/>
        <w:jc w:val="center"/>
        <w:rPr>
          <w:rFonts w:ascii="Arial" w:hAnsi="Arial" w:cs="Arial"/>
          <w:b/>
          <w:sz w:val="20"/>
          <w:szCs w:val="20"/>
        </w:rPr>
      </w:pPr>
    </w:p>
    <w:tbl>
      <w:tblPr>
        <w:tblW w:w="4307"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2458"/>
        <w:gridCol w:w="1319"/>
        <w:gridCol w:w="1454"/>
        <w:gridCol w:w="1677"/>
        <w:gridCol w:w="1353"/>
      </w:tblGrid>
      <w:tr w:rsidR="00F232F1" w:rsidRPr="004D2BCB" w:rsidTr="00390130">
        <w:tc>
          <w:tcPr>
            <w:tcW w:w="1488" w:type="pct"/>
            <w:shd w:val="clear" w:color="auto" w:fill="auto"/>
            <w:vAlign w:val="center"/>
          </w:tcPr>
          <w:p w:rsidR="00F232F1" w:rsidRPr="004D2BCB" w:rsidRDefault="00F232F1" w:rsidP="00390130">
            <w:pPr>
              <w:jc w:val="center"/>
              <w:rPr>
                <w:rFonts w:ascii="Arial" w:hAnsi="Arial" w:cs="Arial"/>
                <w:b/>
                <w:sz w:val="20"/>
                <w:szCs w:val="20"/>
              </w:rPr>
            </w:pPr>
            <w:r w:rsidRPr="004D2BCB">
              <w:rPr>
                <w:rFonts w:ascii="Arial" w:hAnsi="Arial" w:cs="Arial"/>
                <w:b/>
                <w:sz w:val="20"/>
                <w:szCs w:val="20"/>
              </w:rPr>
              <w:t>Measure ID</w:t>
            </w:r>
          </w:p>
        </w:tc>
        <w:tc>
          <w:tcPr>
            <w:tcW w:w="798" w:type="pct"/>
            <w:shd w:val="clear" w:color="auto" w:fill="auto"/>
            <w:vAlign w:val="center"/>
          </w:tcPr>
          <w:p w:rsidR="00F232F1" w:rsidRPr="004D2BCB" w:rsidRDefault="00F232F1" w:rsidP="00390130">
            <w:pPr>
              <w:jc w:val="center"/>
              <w:rPr>
                <w:rFonts w:ascii="Arial" w:hAnsi="Arial" w:cs="Arial"/>
                <w:b/>
                <w:sz w:val="20"/>
                <w:szCs w:val="20"/>
              </w:rPr>
            </w:pPr>
            <w:r w:rsidRPr="004D2BCB">
              <w:rPr>
                <w:rFonts w:ascii="Arial" w:hAnsi="Arial" w:cs="Arial"/>
                <w:b/>
                <w:sz w:val="20"/>
                <w:szCs w:val="20"/>
              </w:rPr>
              <w:t>Measure Application</w:t>
            </w:r>
          </w:p>
          <w:p w:rsidR="00F232F1" w:rsidRPr="004D2BCB" w:rsidRDefault="00F232F1" w:rsidP="00390130">
            <w:pPr>
              <w:jc w:val="center"/>
              <w:rPr>
                <w:rFonts w:ascii="Arial" w:hAnsi="Arial" w:cs="Arial"/>
                <w:b/>
                <w:sz w:val="20"/>
                <w:szCs w:val="20"/>
              </w:rPr>
            </w:pPr>
            <w:r w:rsidRPr="004D2BCB">
              <w:rPr>
                <w:rFonts w:ascii="Arial" w:hAnsi="Arial" w:cs="Arial"/>
                <w:b/>
                <w:sz w:val="20"/>
                <w:szCs w:val="20"/>
              </w:rPr>
              <w:t>Type</w:t>
            </w:r>
          </w:p>
        </w:tc>
        <w:tc>
          <w:tcPr>
            <w:tcW w:w="880" w:type="pct"/>
            <w:shd w:val="clear" w:color="auto" w:fill="auto"/>
            <w:vAlign w:val="center"/>
          </w:tcPr>
          <w:p w:rsidR="00F232F1" w:rsidRPr="004D2BCB" w:rsidRDefault="00F232F1" w:rsidP="00390130">
            <w:pPr>
              <w:jc w:val="center"/>
              <w:rPr>
                <w:rFonts w:ascii="Arial" w:hAnsi="Arial" w:cs="Arial"/>
                <w:b/>
                <w:sz w:val="20"/>
                <w:szCs w:val="20"/>
              </w:rPr>
            </w:pPr>
            <w:r w:rsidRPr="004D2BCB">
              <w:rPr>
                <w:rFonts w:ascii="Arial" w:hAnsi="Arial" w:cs="Arial"/>
                <w:b/>
                <w:sz w:val="20"/>
                <w:szCs w:val="20"/>
              </w:rPr>
              <w:t>Base Case Total Cost</w:t>
            </w:r>
          </w:p>
        </w:tc>
        <w:tc>
          <w:tcPr>
            <w:tcW w:w="1015" w:type="pct"/>
            <w:shd w:val="clear" w:color="auto" w:fill="auto"/>
            <w:vAlign w:val="center"/>
          </w:tcPr>
          <w:p w:rsidR="00F232F1" w:rsidRPr="004D2BCB" w:rsidRDefault="00F232F1" w:rsidP="00390130">
            <w:pPr>
              <w:jc w:val="center"/>
              <w:rPr>
                <w:rFonts w:ascii="Arial" w:hAnsi="Arial" w:cs="Arial"/>
                <w:b/>
                <w:sz w:val="20"/>
                <w:szCs w:val="20"/>
              </w:rPr>
            </w:pPr>
            <w:r w:rsidRPr="004D2BCB">
              <w:rPr>
                <w:rFonts w:ascii="Arial" w:hAnsi="Arial" w:cs="Arial"/>
                <w:b/>
                <w:sz w:val="20"/>
                <w:szCs w:val="20"/>
              </w:rPr>
              <w:t>Measure Case Total Cost</w:t>
            </w:r>
          </w:p>
        </w:tc>
        <w:tc>
          <w:tcPr>
            <w:tcW w:w="819" w:type="pct"/>
            <w:shd w:val="clear" w:color="auto" w:fill="auto"/>
            <w:vAlign w:val="center"/>
          </w:tcPr>
          <w:p w:rsidR="00F232F1" w:rsidRPr="004D2BCB" w:rsidRDefault="00F232F1" w:rsidP="00390130">
            <w:pPr>
              <w:jc w:val="center"/>
              <w:rPr>
                <w:rFonts w:ascii="Arial" w:hAnsi="Arial" w:cs="Arial"/>
                <w:b/>
                <w:sz w:val="20"/>
                <w:szCs w:val="20"/>
              </w:rPr>
            </w:pPr>
            <w:r w:rsidRPr="004D2BCB">
              <w:rPr>
                <w:rFonts w:ascii="Arial" w:hAnsi="Arial" w:cs="Arial"/>
                <w:b/>
                <w:sz w:val="20"/>
                <w:szCs w:val="20"/>
              </w:rPr>
              <w:t>Incremental Measure Cost</w:t>
            </w:r>
          </w:p>
        </w:tc>
      </w:tr>
      <w:tr w:rsidR="009B04A3" w:rsidRPr="004D2BCB" w:rsidTr="009B04A3">
        <w:tc>
          <w:tcPr>
            <w:tcW w:w="1488" w:type="pct"/>
            <w:shd w:val="clear" w:color="auto" w:fill="auto"/>
            <w:vAlign w:val="center"/>
          </w:tcPr>
          <w:p w:rsidR="009B04A3" w:rsidRPr="004D2BCB" w:rsidRDefault="009B04A3">
            <w:pPr>
              <w:jc w:val="center"/>
              <w:rPr>
                <w:rFonts w:ascii="Arial" w:hAnsi="Arial" w:cs="Arial"/>
                <w:color w:val="000000"/>
                <w:sz w:val="20"/>
                <w:szCs w:val="20"/>
              </w:rPr>
            </w:pPr>
            <w:r w:rsidRPr="004D2BCB">
              <w:rPr>
                <w:rFonts w:ascii="Arial" w:hAnsi="Arial" w:cs="Arial"/>
                <w:color w:val="000000"/>
                <w:sz w:val="20"/>
                <w:szCs w:val="20"/>
              </w:rPr>
              <w:t>LED Luminaire in Walk-in Cooler: 32W to 24W</w:t>
            </w:r>
          </w:p>
        </w:tc>
        <w:tc>
          <w:tcPr>
            <w:tcW w:w="798" w:type="pct"/>
            <w:shd w:val="clear" w:color="auto" w:fill="auto"/>
            <w:vAlign w:val="center"/>
          </w:tcPr>
          <w:p w:rsidR="009B04A3" w:rsidRPr="004D2BCB" w:rsidRDefault="009B04A3">
            <w:pPr>
              <w:jc w:val="center"/>
              <w:rPr>
                <w:rFonts w:ascii="Arial" w:hAnsi="Arial" w:cs="Arial"/>
                <w:color w:val="000000"/>
                <w:sz w:val="20"/>
                <w:szCs w:val="20"/>
              </w:rPr>
            </w:pPr>
            <w:r w:rsidRPr="004D2BCB">
              <w:rPr>
                <w:rFonts w:ascii="Arial" w:hAnsi="Arial" w:cs="Arial"/>
                <w:color w:val="000000"/>
                <w:sz w:val="20"/>
                <w:szCs w:val="20"/>
              </w:rPr>
              <w:t>ROB</w:t>
            </w:r>
          </w:p>
        </w:tc>
        <w:tc>
          <w:tcPr>
            <w:tcW w:w="880" w:type="pct"/>
            <w:shd w:val="clear" w:color="auto" w:fill="auto"/>
            <w:vAlign w:val="center"/>
          </w:tcPr>
          <w:p w:rsidR="009B04A3" w:rsidRPr="004D2BCB" w:rsidRDefault="009B04A3">
            <w:pPr>
              <w:jc w:val="center"/>
              <w:rPr>
                <w:rFonts w:ascii="Arial" w:hAnsi="Arial" w:cs="Arial"/>
                <w:color w:val="000000"/>
                <w:sz w:val="20"/>
                <w:szCs w:val="20"/>
              </w:rPr>
            </w:pPr>
            <w:r w:rsidRPr="00390130">
              <w:rPr>
                <w:rFonts w:ascii="Arial" w:hAnsi="Arial" w:cs="Arial"/>
                <w:color w:val="000000"/>
                <w:sz w:val="20"/>
                <w:szCs w:val="20"/>
              </w:rPr>
              <w:t>$4.79</w:t>
            </w:r>
          </w:p>
        </w:tc>
        <w:tc>
          <w:tcPr>
            <w:tcW w:w="1015" w:type="pct"/>
            <w:shd w:val="clear" w:color="auto" w:fill="auto"/>
            <w:vAlign w:val="center"/>
          </w:tcPr>
          <w:p w:rsidR="009B04A3" w:rsidRPr="004D2BCB" w:rsidRDefault="009B04A3">
            <w:pPr>
              <w:jc w:val="center"/>
              <w:rPr>
                <w:rFonts w:ascii="Arial" w:hAnsi="Arial" w:cs="Arial"/>
                <w:color w:val="000000"/>
                <w:sz w:val="20"/>
                <w:szCs w:val="20"/>
              </w:rPr>
            </w:pPr>
            <w:r w:rsidRPr="00390130">
              <w:rPr>
                <w:rFonts w:ascii="Arial" w:hAnsi="Arial" w:cs="Arial"/>
                <w:color w:val="000000"/>
                <w:sz w:val="20"/>
                <w:szCs w:val="20"/>
              </w:rPr>
              <w:t>$121.50</w:t>
            </w:r>
          </w:p>
        </w:tc>
        <w:tc>
          <w:tcPr>
            <w:tcW w:w="819" w:type="pct"/>
            <w:shd w:val="clear" w:color="auto" w:fill="auto"/>
            <w:vAlign w:val="center"/>
          </w:tcPr>
          <w:p w:rsidR="009B04A3" w:rsidRPr="009B04A3" w:rsidRDefault="009B04A3" w:rsidP="009B04A3">
            <w:pPr>
              <w:jc w:val="center"/>
              <w:rPr>
                <w:rFonts w:ascii="Arial" w:hAnsi="Arial" w:cs="Arial"/>
                <w:color w:val="000000"/>
                <w:sz w:val="20"/>
                <w:szCs w:val="20"/>
              </w:rPr>
            </w:pPr>
            <w:r w:rsidRPr="009B04A3">
              <w:rPr>
                <w:rFonts w:ascii="Arial" w:hAnsi="Arial" w:cs="Arial"/>
                <w:color w:val="000000"/>
                <w:sz w:val="20"/>
                <w:szCs w:val="20"/>
              </w:rPr>
              <w:t>$116.71</w:t>
            </w:r>
          </w:p>
        </w:tc>
      </w:tr>
      <w:tr w:rsidR="009B04A3" w:rsidRPr="004D2BCB" w:rsidTr="009B04A3">
        <w:tc>
          <w:tcPr>
            <w:tcW w:w="1488" w:type="pct"/>
            <w:shd w:val="clear" w:color="auto" w:fill="auto"/>
            <w:vAlign w:val="center"/>
          </w:tcPr>
          <w:p w:rsidR="009B04A3" w:rsidRPr="004D2BCB" w:rsidRDefault="009B04A3">
            <w:pPr>
              <w:jc w:val="center"/>
              <w:rPr>
                <w:rFonts w:ascii="Arial" w:hAnsi="Arial" w:cs="Arial"/>
                <w:color w:val="000000"/>
                <w:sz w:val="20"/>
                <w:szCs w:val="20"/>
              </w:rPr>
            </w:pPr>
            <w:r w:rsidRPr="004D2BCB">
              <w:rPr>
                <w:rFonts w:ascii="Arial" w:hAnsi="Arial" w:cs="Arial"/>
                <w:color w:val="000000"/>
                <w:sz w:val="20"/>
                <w:szCs w:val="20"/>
              </w:rPr>
              <w:t>LED Luminaire in Walk-in Freezer: 32W to 24W</w:t>
            </w:r>
          </w:p>
        </w:tc>
        <w:tc>
          <w:tcPr>
            <w:tcW w:w="798" w:type="pct"/>
            <w:shd w:val="clear" w:color="auto" w:fill="auto"/>
            <w:vAlign w:val="center"/>
          </w:tcPr>
          <w:p w:rsidR="009B04A3" w:rsidRPr="004D2BCB" w:rsidRDefault="009B04A3">
            <w:pPr>
              <w:jc w:val="center"/>
              <w:rPr>
                <w:rFonts w:ascii="Arial" w:hAnsi="Arial" w:cs="Arial"/>
                <w:color w:val="000000"/>
                <w:sz w:val="20"/>
                <w:szCs w:val="20"/>
              </w:rPr>
            </w:pPr>
            <w:r w:rsidRPr="004D2BCB">
              <w:rPr>
                <w:rFonts w:ascii="Arial" w:hAnsi="Arial" w:cs="Arial"/>
                <w:color w:val="000000"/>
                <w:sz w:val="20"/>
                <w:szCs w:val="20"/>
              </w:rPr>
              <w:t>ROB</w:t>
            </w:r>
          </w:p>
        </w:tc>
        <w:tc>
          <w:tcPr>
            <w:tcW w:w="880" w:type="pct"/>
            <w:shd w:val="clear" w:color="auto" w:fill="auto"/>
            <w:vAlign w:val="center"/>
          </w:tcPr>
          <w:p w:rsidR="009B04A3" w:rsidRPr="004D2BCB" w:rsidRDefault="009B04A3">
            <w:pPr>
              <w:jc w:val="center"/>
              <w:rPr>
                <w:rFonts w:ascii="Arial" w:hAnsi="Arial" w:cs="Arial"/>
                <w:color w:val="000000"/>
                <w:sz w:val="20"/>
                <w:szCs w:val="20"/>
              </w:rPr>
            </w:pPr>
            <w:r w:rsidRPr="00390130">
              <w:rPr>
                <w:rFonts w:ascii="Arial" w:hAnsi="Arial" w:cs="Arial"/>
                <w:color w:val="000000"/>
                <w:sz w:val="20"/>
                <w:szCs w:val="20"/>
              </w:rPr>
              <w:t>$4.79</w:t>
            </w:r>
          </w:p>
        </w:tc>
        <w:tc>
          <w:tcPr>
            <w:tcW w:w="1015" w:type="pct"/>
            <w:shd w:val="clear" w:color="auto" w:fill="auto"/>
            <w:vAlign w:val="center"/>
          </w:tcPr>
          <w:p w:rsidR="009B04A3" w:rsidRPr="004D2BCB" w:rsidRDefault="009B04A3">
            <w:pPr>
              <w:jc w:val="center"/>
              <w:rPr>
                <w:rFonts w:ascii="Arial" w:hAnsi="Arial" w:cs="Arial"/>
                <w:color w:val="000000"/>
                <w:sz w:val="20"/>
                <w:szCs w:val="20"/>
              </w:rPr>
            </w:pPr>
            <w:r w:rsidRPr="00390130">
              <w:rPr>
                <w:rFonts w:ascii="Arial" w:hAnsi="Arial" w:cs="Arial"/>
                <w:color w:val="000000"/>
                <w:sz w:val="20"/>
                <w:szCs w:val="20"/>
              </w:rPr>
              <w:t>$121.50</w:t>
            </w:r>
          </w:p>
        </w:tc>
        <w:tc>
          <w:tcPr>
            <w:tcW w:w="819" w:type="pct"/>
            <w:shd w:val="clear" w:color="auto" w:fill="auto"/>
            <w:vAlign w:val="center"/>
          </w:tcPr>
          <w:p w:rsidR="009B04A3" w:rsidRPr="009B04A3" w:rsidRDefault="009B04A3" w:rsidP="009B04A3">
            <w:pPr>
              <w:jc w:val="center"/>
              <w:rPr>
                <w:rFonts w:ascii="Arial" w:hAnsi="Arial" w:cs="Arial"/>
                <w:color w:val="000000"/>
                <w:sz w:val="20"/>
                <w:szCs w:val="20"/>
              </w:rPr>
            </w:pPr>
            <w:r w:rsidRPr="009B04A3">
              <w:rPr>
                <w:rFonts w:ascii="Arial" w:hAnsi="Arial" w:cs="Arial"/>
                <w:color w:val="000000"/>
                <w:sz w:val="20"/>
                <w:szCs w:val="20"/>
              </w:rPr>
              <w:t>$116.71</w:t>
            </w:r>
          </w:p>
        </w:tc>
      </w:tr>
      <w:tr w:rsidR="009B04A3" w:rsidRPr="004D2BCB" w:rsidTr="009B04A3">
        <w:tc>
          <w:tcPr>
            <w:tcW w:w="1488" w:type="pct"/>
            <w:shd w:val="clear" w:color="auto" w:fill="auto"/>
            <w:vAlign w:val="center"/>
          </w:tcPr>
          <w:p w:rsidR="009B04A3" w:rsidRPr="004D2BCB" w:rsidRDefault="009B04A3">
            <w:pPr>
              <w:jc w:val="center"/>
              <w:rPr>
                <w:rFonts w:ascii="Arial" w:hAnsi="Arial" w:cs="Arial"/>
                <w:color w:val="000000"/>
                <w:sz w:val="20"/>
                <w:szCs w:val="20"/>
              </w:rPr>
            </w:pPr>
            <w:r w:rsidRPr="004D2BCB">
              <w:rPr>
                <w:rFonts w:ascii="Arial" w:hAnsi="Arial" w:cs="Arial"/>
                <w:color w:val="000000"/>
                <w:sz w:val="20"/>
                <w:szCs w:val="20"/>
              </w:rPr>
              <w:t>LED Luminaire in Walk-in Cooler: 60W to 38W</w:t>
            </w:r>
          </w:p>
        </w:tc>
        <w:tc>
          <w:tcPr>
            <w:tcW w:w="798" w:type="pct"/>
            <w:shd w:val="clear" w:color="auto" w:fill="auto"/>
            <w:vAlign w:val="center"/>
          </w:tcPr>
          <w:p w:rsidR="009B04A3" w:rsidRPr="004D2BCB" w:rsidRDefault="009B04A3">
            <w:pPr>
              <w:jc w:val="center"/>
              <w:rPr>
                <w:rFonts w:ascii="Arial" w:hAnsi="Arial" w:cs="Arial"/>
                <w:color w:val="000000"/>
                <w:sz w:val="20"/>
                <w:szCs w:val="20"/>
              </w:rPr>
            </w:pPr>
            <w:r w:rsidRPr="004D2BCB">
              <w:rPr>
                <w:rFonts w:ascii="Arial" w:hAnsi="Arial" w:cs="Arial"/>
                <w:color w:val="000000"/>
                <w:sz w:val="20"/>
                <w:szCs w:val="20"/>
              </w:rPr>
              <w:t>ROB</w:t>
            </w:r>
          </w:p>
        </w:tc>
        <w:tc>
          <w:tcPr>
            <w:tcW w:w="880" w:type="pct"/>
            <w:shd w:val="clear" w:color="auto" w:fill="auto"/>
            <w:vAlign w:val="center"/>
          </w:tcPr>
          <w:p w:rsidR="009B04A3" w:rsidRPr="004D2BCB" w:rsidRDefault="009B04A3">
            <w:pPr>
              <w:jc w:val="center"/>
              <w:rPr>
                <w:rFonts w:ascii="Arial" w:hAnsi="Arial" w:cs="Arial"/>
                <w:color w:val="000000"/>
                <w:sz w:val="20"/>
                <w:szCs w:val="20"/>
              </w:rPr>
            </w:pPr>
            <w:r w:rsidRPr="00390130">
              <w:rPr>
                <w:rFonts w:ascii="Arial" w:hAnsi="Arial" w:cs="Arial"/>
                <w:color w:val="000000"/>
                <w:sz w:val="20"/>
                <w:szCs w:val="20"/>
              </w:rPr>
              <w:t>$9.58</w:t>
            </w:r>
          </w:p>
        </w:tc>
        <w:tc>
          <w:tcPr>
            <w:tcW w:w="1015" w:type="pct"/>
            <w:shd w:val="clear" w:color="auto" w:fill="auto"/>
            <w:vAlign w:val="center"/>
          </w:tcPr>
          <w:p w:rsidR="009B04A3" w:rsidRPr="004D2BCB" w:rsidRDefault="009B04A3">
            <w:pPr>
              <w:jc w:val="center"/>
              <w:rPr>
                <w:rFonts w:ascii="Arial" w:hAnsi="Arial" w:cs="Arial"/>
                <w:color w:val="000000"/>
                <w:sz w:val="20"/>
                <w:szCs w:val="20"/>
              </w:rPr>
            </w:pPr>
            <w:r w:rsidRPr="00390130">
              <w:rPr>
                <w:rFonts w:ascii="Arial" w:hAnsi="Arial" w:cs="Arial"/>
                <w:color w:val="000000"/>
                <w:sz w:val="20"/>
                <w:szCs w:val="20"/>
              </w:rPr>
              <w:t>$250.00</w:t>
            </w:r>
          </w:p>
        </w:tc>
        <w:tc>
          <w:tcPr>
            <w:tcW w:w="819" w:type="pct"/>
            <w:shd w:val="clear" w:color="auto" w:fill="auto"/>
            <w:vAlign w:val="center"/>
          </w:tcPr>
          <w:p w:rsidR="009B04A3" w:rsidRPr="009B04A3" w:rsidRDefault="009B04A3" w:rsidP="009B04A3">
            <w:pPr>
              <w:jc w:val="center"/>
              <w:rPr>
                <w:rFonts w:ascii="Arial" w:hAnsi="Arial" w:cs="Arial"/>
                <w:color w:val="000000"/>
                <w:sz w:val="20"/>
                <w:szCs w:val="20"/>
              </w:rPr>
            </w:pPr>
            <w:r w:rsidRPr="009B04A3">
              <w:rPr>
                <w:rFonts w:ascii="Arial" w:hAnsi="Arial" w:cs="Arial"/>
                <w:color w:val="000000"/>
                <w:sz w:val="20"/>
                <w:szCs w:val="20"/>
              </w:rPr>
              <w:t>$240.42</w:t>
            </w:r>
          </w:p>
        </w:tc>
      </w:tr>
      <w:tr w:rsidR="009B04A3" w:rsidRPr="004D2BCB" w:rsidTr="009B04A3">
        <w:tc>
          <w:tcPr>
            <w:tcW w:w="1488" w:type="pct"/>
            <w:shd w:val="clear" w:color="auto" w:fill="auto"/>
            <w:vAlign w:val="center"/>
          </w:tcPr>
          <w:p w:rsidR="009B04A3" w:rsidRPr="004D2BCB" w:rsidRDefault="009B04A3">
            <w:pPr>
              <w:jc w:val="center"/>
              <w:rPr>
                <w:rFonts w:ascii="Arial" w:hAnsi="Arial" w:cs="Arial"/>
                <w:color w:val="000000"/>
                <w:sz w:val="20"/>
                <w:szCs w:val="20"/>
              </w:rPr>
            </w:pPr>
            <w:r w:rsidRPr="004D2BCB">
              <w:rPr>
                <w:rFonts w:ascii="Arial" w:hAnsi="Arial" w:cs="Arial"/>
                <w:color w:val="000000"/>
                <w:sz w:val="20"/>
                <w:szCs w:val="20"/>
              </w:rPr>
              <w:t>LED Luminaire in Walk-in Freezer: 60W to 38W</w:t>
            </w:r>
          </w:p>
        </w:tc>
        <w:tc>
          <w:tcPr>
            <w:tcW w:w="798" w:type="pct"/>
            <w:shd w:val="clear" w:color="auto" w:fill="auto"/>
            <w:vAlign w:val="center"/>
          </w:tcPr>
          <w:p w:rsidR="009B04A3" w:rsidRPr="004D2BCB" w:rsidRDefault="009B04A3">
            <w:pPr>
              <w:jc w:val="center"/>
              <w:rPr>
                <w:rFonts w:ascii="Arial" w:hAnsi="Arial" w:cs="Arial"/>
                <w:color w:val="000000"/>
                <w:sz w:val="20"/>
                <w:szCs w:val="20"/>
              </w:rPr>
            </w:pPr>
            <w:r w:rsidRPr="004D2BCB">
              <w:rPr>
                <w:rFonts w:ascii="Arial" w:hAnsi="Arial" w:cs="Arial"/>
                <w:color w:val="000000"/>
                <w:sz w:val="20"/>
                <w:szCs w:val="20"/>
              </w:rPr>
              <w:t>ROB</w:t>
            </w:r>
          </w:p>
        </w:tc>
        <w:tc>
          <w:tcPr>
            <w:tcW w:w="880" w:type="pct"/>
            <w:shd w:val="clear" w:color="auto" w:fill="auto"/>
            <w:vAlign w:val="center"/>
          </w:tcPr>
          <w:p w:rsidR="009B04A3" w:rsidRPr="004D2BCB" w:rsidRDefault="009B04A3">
            <w:pPr>
              <w:jc w:val="center"/>
              <w:rPr>
                <w:rFonts w:ascii="Arial" w:hAnsi="Arial" w:cs="Arial"/>
                <w:color w:val="000000"/>
                <w:sz w:val="20"/>
                <w:szCs w:val="20"/>
              </w:rPr>
            </w:pPr>
            <w:r w:rsidRPr="00390130">
              <w:rPr>
                <w:rFonts w:ascii="Arial" w:hAnsi="Arial" w:cs="Arial"/>
                <w:color w:val="000000"/>
                <w:sz w:val="20"/>
                <w:szCs w:val="20"/>
              </w:rPr>
              <w:t>$9.58</w:t>
            </w:r>
          </w:p>
        </w:tc>
        <w:tc>
          <w:tcPr>
            <w:tcW w:w="1015" w:type="pct"/>
            <w:shd w:val="clear" w:color="auto" w:fill="auto"/>
            <w:vAlign w:val="center"/>
          </w:tcPr>
          <w:p w:rsidR="009B04A3" w:rsidRPr="004D2BCB" w:rsidRDefault="009B04A3">
            <w:pPr>
              <w:jc w:val="center"/>
              <w:rPr>
                <w:rFonts w:ascii="Arial" w:hAnsi="Arial" w:cs="Arial"/>
                <w:color w:val="000000"/>
                <w:sz w:val="20"/>
                <w:szCs w:val="20"/>
              </w:rPr>
            </w:pPr>
            <w:r w:rsidRPr="00390130">
              <w:rPr>
                <w:rFonts w:ascii="Arial" w:hAnsi="Arial" w:cs="Arial"/>
                <w:color w:val="000000"/>
                <w:sz w:val="20"/>
                <w:szCs w:val="20"/>
              </w:rPr>
              <w:t>$250.00</w:t>
            </w:r>
          </w:p>
        </w:tc>
        <w:tc>
          <w:tcPr>
            <w:tcW w:w="819" w:type="pct"/>
            <w:shd w:val="clear" w:color="auto" w:fill="auto"/>
            <w:vAlign w:val="center"/>
          </w:tcPr>
          <w:p w:rsidR="009B04A3" w:rsidRPr="009B04A3" w:rsidRDefault="009B04A3" w:rsidP="009B04A3">
            <w:pPr>
              <w:jc w:val="center"/>
              <w:rPr>
                <w:rFonts w:ascii="Arial" w:hAnsi="Arial" w:cs="Arial"/>
                <w:color w:val="000000"/>
                <w:sz w:val="20"/>
                <w:szCs w:val="20"/>
              </w:rPr>
            </w:pPr>
            <w:r w:rsidRPr="009B04A3">
              <w:rPr>
                <w:rFonts w:ascii="Arial" w:hAnsi="Arial" w:cs="Arial"/>
                <w:color w:val="000000"/>
                <w:sz w:val="20"/>
                <w:szCs w:val="20"/>
              </w:rPr>
              <w:t>$240.42</w:t>
            </w:r>
          </w:p>
        </w:tc>
      </w:tr>
      <w:tr w:rsidR="009B04A3" w:rsidRPr="004D2BCB" w:rsidTr="009B04A3">
        <w:tc>
          <w:tcPr>
            <w:tcW w:w="1488" w:type="pct"/>
            <w:shd w:val="clear" w:color="auto" w:fill="auto"/>
            <w:vAlign w:val="center"/>
          </w:tcPr>
          <w:p w:rsidR="009B04A3" w:rsidRPr="004D2BCB" w:rsidRDefault="009B04A3">
            <w:pPr>
              <w:jc w:val="center"/>
              <w:rPr>
                <w:rFonts w:ascii="Arial" w:hAnsi="Arial" w:cs="Arial"/>
                <w:color w:val="000000"/>
                <w:sz w:val="20"/>
                <w:szCs w:val="20"/>
              </w:rPr>
            </w:pPr>
            <w:r w:rsidRPr="004D2BCB">
              <w:rPr>
                <w:rFonts w:ascii="Arial" w:hAnsi="Arial" w:cs="Arial"/>
                <w:color w:val="000000"/>
                <w:sz w:val="20"/>
                <w:szCs w:val="20"/>
              </w:rPr>
              <w:t>LED Luminaire in Walk-in Cooler: 75W to 38W</w:t>
            </w:r>
          </w:p>
        </w:tc>
        <w:tc>
          <w:tcPr>
            <w:tcW w:w="798" w:type="pct"/>
            <w:shd w:val="clear" w:color="auto" w:fill="auto"/>
            <w:vAlign w:val="center"/>
          </w:tcPr>
          <w:p w:rsidR="009B04A3" w:rsidRPr="004D2BCB" w:rsidRDefault="009B04A3">
            <w:pPr>
              <w:jc w:val="center"/>
              <w:rPr>
                <w:rFonts w:ascii="Arial" w:hAnsi="Arial" w:cs="Arial"/>
                <w:color w:val="000000"/>
                <w:sz w:val="20"/>
                <w:szCs w:val="20"/>
              </w:rPr>
            </w:pPr>
            <w:r w:rsidRPr="004D2BCB">
              <w:rPr>
                <w:rFonts w:ascii="Arial" w:hAnsi="Arial" w:cs="Arial"/>
                <w:color w:val="000000"/>
                <w:sz w:val="20"/>
                <w:szCs w:val="20"/>
              </w:rPr>
              <w:t>ROB</w:t>
            </w:r>
          </w:p>
        </w:tc>
        <w:tc>
          <w:tcPr>
            <w:tcW w:w="880" w:type="pct"/>
            <w:shd w:val="clear" w:color="auto" w:fill="auto"/>
            <w:vAlign w:val="center"/>
          </w:tcPr>
          <w:p w:rsidR="009B04A3" w:rsidRPr="004D2BCB" w:rsidRDefault="009B04A3">
            <w:pPr>
              <w:jc w:val="center"/>
              <w:rPr>
                <w:rFonts w:ascii="Arial" w:hAnsi="Arial" w:cs="Arial"/>
                <w:color w:val="000000"/>
                <w:sz w:val="20"/>
                <w:szCs w:val="20"/>
              </w:rPr>
            </w:pPr>
            <w:r w:rsidRPr="00390130">
              <w:rPr>
                <w:rFonts w:ascii="Arial" w:hAnsi="Arial" w:cs="Arial"/>
                <w:color w:val="000000"/>
                <w:sz w:val="20"/>
                <w:szCs w:val="20"/>
              </w:rPr>
              <w:t>$11.52</w:t>
            </w:r>
          </w:p>
        </w:tc>
        <w:tc>
          <w:tcPr>
            <w:tcW w:w="1015" w:type="pct"/>
            <w:shd w:val="clear" w:color="auto" w:fill="auto"/>
            <w:vAlign w:val="center"/>
          </w:tcPr>
          <w:p w:rsidR="009B04A3" w:rsidRPr="004D2BCB" w:rsidRDefault="009B04A3">
            <w:pPr>
              <w:jc w:val="center"/>
              <w:rPr>
                <w:rFonts w:ascii="Arial" w:hAnsi="Arial" w:cs="Arial"/>
                <w:color w:val="000000"/>
                <w:sz w:val="20"/>
                <w:szCs w:val="20"/>
              </w:rPr>
            </w:pPr>
            <w:r w:rsidRPr="00390130">
              <w:rPr>
                <w:rFonts w:ascii="Arial" w:hAnsi="Arial" w:cs="Arial"/>
                <w:color w:val="000000"/>
                <w:sz w:val="20"/>
                <w:szCs w:val="20"/>
              </w:rPr>
              <w:t>$250.00</w:t>
            </w:r>
          </w:p>
        </w:tc>
        <w:tc>
          <w:tcPr>
            <w:tcW w:w="819" w:type="pct"/>
            <w:shd w:val="clear" w:color="auto" w:fill="auto"/>
            <w:vAlign w:val="center"/>
          </w:tcPr>
          <w:p w:rsidR="009B04A3" w:rsidRPr="009B04A3" w:rsidRDefault="009B04A3" w:rsidP="009B04A3">
            <w:pPr>
              <w:jc w:val="center"/>
              <w:rPr>
                <w:rFonts w:ascii="Arial" w:hAnsi="Arial" w:cs="Arial"/>
                <w:color w:val="000000"/>
                <w:sz w:val="20"/>
                <w:szCs w:val="20"/>
              </w:rPr>
            </w:pPr>
            <w:r w:rsidRPr="009B04A3">
              <w:rPr>
                <w:rFonts w:ascii="Arial" w:hAnsi="Arial" w:cs="Arial"/>
                <w:color w:val="000000"/>
                <w:sz w:val="20"/>
                <w:szCs w:val="20"/>
              </w:rPr>
              <w:t>$238.48</w:t>
            </w:r>
          </w:p>
        </w:tc>
      </w:tr>
      <w:tr w:rsidR="009B04A3" w:rsidRPr="004D2BCB" w:rsidTr="009B04A3">
        <w:tc>
          <w:tcPr>
            <w:tcW w:w="1488" w:type="pct"/>
            <w:shd w:val="clear" w:color="auto" w:fill="auto"/>
            <w:vAlign w:val="center"/>
          </w:tcPr>
          <w:p w:rsidR="009B04A3" w:rsidRPr="004D2BCB" w:rsidRDefault="009B04A3">
            <w:pPr>
              <w:jc w:val="center"/>
              <w:rPr>
                <w:rFonts w:ascii="Arial" w:hAnsi="Arial" w:cs="Arial"/>
                <w:color w:val="000000"/>
                <w:sz w:val="20"/>
                <w:szCs w:val="20"/>
              </w:rPr>
            </w:pPr>
            <w:r w:rsidRPr="004D2BCB">
              <w:rPr>
                <w:rFonts w:ascii="Arial" w:hAnsi="Arial" w:cs="Arial"/>
                <w:color w:val="000000"/>
                <w:sz w:val="20"/>
                <w:szCs w:val="20"/>
              </w:rPr>
              <w:t>LED Luminaire in Walk-in Freezer: 75W to 38W</w:t>
            </w:r>
          </w:p>
        </w:tc>
        <w:tc>
          <w:tcPr>
            <w:tcW w:w="798" w:type="pct"/>
            <w:shd w:val="clear" w:color="auto" w:fill="auto"/>
            <w:vAlign w:val="center"/>
          </w:tcPr>
          <w:p w:rsidR="009B04A3" w:rsidRPr="004D2BCB" w:rsidRDefault="009B04A3">
            <w:pPr>
              <w:jc w:val="center"/>
              <w:rPr>
                <w:rFonts w:ascii="Arial" w:hAnsi="Arial" w:cs="Arial"/>
                <w:color w:val="000000"/>
                <w:sz w:val="20"/>
                <w:szCs w:val="20"/>
              </w:rPr>
            </w:pPr>
            <w:r w:rsidRPr="004D2BCB">
              <w:rPr>
                <w:rFonts w:ascii="Arial" w:hAnsi="Arial" w:cs="Arial"/>
                <w:color w:val="000000"/>
                <w:sz w:val="20"/>
                <w:szCs w:val="20"/>
              </w:rPr>
              <w:t>ROB</w:t>
            </w:r>
          </w:p>
        </w:tc>
        <w:tc>
          <w:tcPr>
            <w:tcW w:w="880" w:type="pct"/>
            <w:shd w:val="clear" w:color="auto" w:fill="auto"/>
            <w:vAlign w:val="center"/>
          </w:tcPr>
          <w:p w:rsidR="009B04A3" w:rsidRPr="004D2BCB" w:rsidRDefault="009B04A3">
            <w:pPr>
              <w:jc w:val="center"/>
              <w:rPr>
                <w:rFonts w:ascii="Arial" w:hAnsi="Arial" w:cs="Arial"/>
                <w:color w:val="000000"/>
                <w:sz w:val="20"/>
                <w:szCs w:val="20"/>
              </w:rPr>
            </w:pPr>
            <w:r w:rsidRPr="00390130">
              <w:rPr>
                <w:rFonts w:ascii="Arial" w:hAnsi="Arial" w:cs="Arial"/>
                <w:color w:val="000000"/>
                <w:sz w:val="20"/>
                <w:szCs w:val="20"/>
              </w:rPr>
              <w:t>$11.52</w:t>
            </w:r>
          </w:p>
        </w:tc>
        <w:tc>
          <w:tcPr>
            <w:tcW w:w="1015" w:type="pct"/>
            <w:shd w:val="clear" w:color="auto" w:fill="auto"/>
            <w:vAlign w:val="center"/>
          </w:tcPr>
          <w:p w:rsidR="009B04A3" w:rsidRPr="004D2BCB" w:rsidRDefault="009B04A3">
            <w:pPr>
              <w:jc w:val="center"/>
              <w:rPr>
                <w:rFonts w:ascii="Arial" w:hAnsi="Arial" w:cs="Arial"/>
                <w:color w:val="000000"/>
                <w:sz w:val="20"/>
                <w:szCs w:val="20"/>
              </w:rPr>
            </w:pPr>
            <w:r w:rsidRPr="00390130">
              <w:rPr>
                <w:rFonts w:ascii="Arial" w:hAnsi="Arial" w:cs="Arial"/>
                <w:color w:val="000000"/>
                <w:sz w:val="20"/>
                <w:szCs w:val="20"/>
              </w:rPr>
              <w:t>$250.00</w:t>
            </w:r>
          </w:p>
        </w:tc>
        <w:tc>
          <w:tcPr>
            <w:tcW w:w="819" w:type="pct"/>
            <w:shd w:val="clear" w:color="auto" w:fill="auto"/>
            <w:vAlign w:val="center"/>
          </w:tcPr>
          <w:p w:rsidR="009B04A3" w:rsidRPr="009B04A3" w:rsidRDefault="009B04A3" w:rsidP="009B04A3">
            <w:pPr>
              <w:jc w:val="center"/>
              <w:rPr>
                <w:rFonts w:ascii="Arial" w:hAnsi="Arial" w:cs="Arial"/>
                <w:color w:val="000000"/>
                <w:sz w:val="20"/>
                <w:szCs w:val="20"/>
              </w:rPr>
            </w:pPr>
            <w:r w:rsidRPr="009B04A3">
              <w:rPr>
                <w:rFonts w:ascii="Arial" w:hAnsi="Arial" w:cs="Arial"/>
                <w:color w:val="000000"/>
                <w:sz w:val="20"/>
                <w:szCs w:val="20"/>
              </w:rPr>
              <w:t>$238.48</w:t>
            </w:r>
          </w:p>
        </w:tc>
      </w:tr>
      <w:tr w:rsidR="009B04A3" w:rsidRPr="004D2BCB" w:rsidTr="009B04A3">
        <w:tc>
          <w:tcPr>
            <w:tcW w:w="1488" w:type="pct"/>
            <w:shd w:val="clear" w:color="auto" w:fill="auto"/>
            <w:vAlign w:val="center"/>
          </w:tcPr>
          <w:p w:rsidR="009B04A3" w:rsidRPr="004D2BCB" w:rsidRDefault="009B04A3">
            <w:pPr>
              <w:jc w:val="center"/>
              <w:rPr>
                <w:rFonts w:ascii="Arial" w:hAnsi="Arial" w:cs="Arial"/>
                <w:color w:val="000000"/>
                <w:sz w:val="20"/>
                <w:szCs w:val="20"/>
              </w:rPr>
            </w:pPr>
            <w:r w:rsidRPr="004D2BCB">
              <w:rPr>
                <w:rFonts w:ascii="Arial" w:hAnsi="Arial" w:cs="Arial"/>
                <w:color w:val="000000"/>
                <w:sz w:val="20"/>
                <w:szCs w:val="20"/>
              </w:rPr>
              <w:t>LED Luminaire in Walk-in Cooler: 100W to 38W</w:t>
            </w:r>
          </w:p>
        </w:tc>
        <w:tc>
          <w:tcPr>
            <w:tcW w:w="798" w:type="pct"/>
            <w:shd w:val="clear" w:color="auto" w:fill="auto"/>
            <w:vAlign w:val="center"/>
          </w:tcPr>
          <w:p w:rsidR="009B04A3" w:rsidRPr="004D2BCB" w:rsidRDefault="009B04A3">
            <w:pPr>
              <w:jc w:val="center"/>
              <w:rPr>
                <w:rFonts w:ascii="Arial" w:hAnsi="Arial" w:cs="Arial"/>
                <w:color w:val="000000"/>
                <w:sz w:val="20"/>
                <w:szCs w:val="20"/>
              </w:rPr>
            </w:pPr>
            <w:r w:rsidRPr="004D2BCB">
              <w:rPr>
                <w:rFonts w:ascii="Arial" w:hAnsi="Arial" w:cs="Arial"/>
                <w:color w:val="000000"/>
                <w:sz w:val="20"/>
                <w:szCs w:val="20"/>
              </w:rPr>
              <w:t>ROB</w:t>
            </w:r>
          </w:p>
        </w:tc>
        <w:tc>
          <w:tcPr>
            <w:tcW w:w="880" w:type="pct"/>
            <w:shd w:val="clear" w:color="auto" w:fill="auto"/>
            <w:vAlign w:val="center"/>
          </w:tcPr>
          <w:p w:rsidR="009B04A3" w:rsidRPr="004D2BCB" w:rsidRDefault="009B04A3">
            <w:pPr>
              <w:jc w:val="center"/>
              <w:rPr>
                <w:rFonts w:ascii="Arial" w:hAnsi="Arial" w:cs="Arial"/>
                <w:color w:val="000000"/>
                <w:sz w:val="20"/>
                <w:szCs w:val="20"/>
              </w:rPr>
            </w:pPr>
            <w:r w:rsidRPr="00390130">
              <w:rPr>
                <w:rFonts w:ascii="Arial" w:hAnsi="Arial" w:cs="Arial"/>
                <w:color w:val="000000"/>
                <w:sz w:val="20"/>
                <w:szCs w:val="20"/>
              </w:rPr>
              <w:t>$3.50</w:t>
            </w:r>
          </w:p>
        </w:tc>
        <w:tc>
          <w:tcPr>
            <w:tcW w:w="1015" w:type="pct"/>
            <w:shd w:val="clear" w:color="auto" w:fill="auto"/>
            <w:vAlign w:val="center"/>
          </w:tcPr>
          <w:p w:rsidR="009B04A3" w:rsidRPr="004D2BCB" w:rsidRDefault="009B04A3">
            <w:pPr>
              <w:jc w:val="center"/>
              <w:rPr>
                <w:rFonts w:ascii="Arial" w:hAnsi="Arial" w:cs="Arial"/>
                <w:color w:val="000000"/>
                <w:sz w:val="20"/>
                <w:szCs w:val="20"/>
              </w:rPr>
            </w:pPr>
            <w:r w:rsidRPr="00390130">
              <w:rPr>
                <w:rFonts w:ascii="Arial" w:hAnsi="Arial" w:cs="Arial"/>
                <w:color w:val="000000"/>
                <w:sz w:val="20"/>
                <w:szCs w:val="20"/>
              </w:rPr>
              <w:t>$250.00</w:t>
            </w:r>
          </w:p>
        </w:tc>
        <w:tc>
          <w:tcPr>
            <w:tcW w:w="819" w:type="pct"/>
            <w:shd w:val="clear" w:color="auto" w:fill="auto"/>
            <w:vAlign w:val="center"/>
          </w:tcPr>
          <w:p w:rsidR="009B04A3" w:rsidRPr="009B04A3" w:rsidRDefault="009B04A3" w:rsidP="009B04A3">
            <w:pPr>
              <w:jc w:val="center"/>
              <w:rPr>
                <w:rFonts w:ascii="Arial" w:hAnsi="Arial" w:cs="Arial"/>
                <w:color w:val="000000"/>
                <w:sz w:val="20"/>
                <w:szCs w:val="20"/>
              </w:rPr>
            </w:pPr>
            <w:r w:rsidRPr="009B04A3">
              <w:rPr>
                <w:rFonts w:ascii="Arial" w:hAnsi="Arial" w:cs="Arial"/>
                <w:color w:val="000000"/>
                <w:sz w:val="20"/>
                <w:szCs w:val="20"/>
              </w:rPr>
              <w:t>$246.50</w:t>
            </w:r>
          </w:p>
        </w:tc>
      </w:tr>
      <w:tr w:rsidR="009B04A3" w:rsidRPr="004D2BCB" w:rsidTr="009B04A3">
        <w:tc>
          <w:tcPr>
            <w:tcW w:w="1488" w:type="pct"/>
            <w:shd w:val="clear" w:color="auto" w:fill="auto"/>
            <w:vAlign w:val="center"/>
          </w:tcPr>
          <w:p w:rsidR="009B04A3" w:rsidRPr="004D2BCB" w:rsidRDefault="009B04A3">
            <w:pPr>
              <w:jc w:val="center"/>
              <w:rPr>
                <w:rFonts w:ascii="Arial" w:hAnsi="Arial" w:cs="Arial"/>
                <w:color w:val="000000"/>
                <w:sz w:val="20"/>
                <w:szCs w:val="20"/>
              </w:rPr>
            </w:pPr>
            <w:r w:rsidRPr="004D2BCB">
              <w:rPr>
                <w:rFonts w:ascii="Arial" w:hAnsi="Arial" w:cs="Arial"/>
                <w:color w:val="000000"/>
                <w:sz w:val="20"/>
                <w:szCs w:val="20"/>
              </w:rPr>
              <w:t>LED Luminaire in Walk-in Freezer: 100W to 38W</w:t>
            </w:r>
          </w:p>
        </w:tc>
        <w:tc>
          <w:tcPr>
            <w:tcW w:w="798" w:type="pct"/>
            <w:shd w:val="clear" w:color="auto" w:fill="auto"/>
            <w:vAlign w:val="center"/>
          </w:tcPr>
          <w:p w:rsidR="009B04A3" w:rsidRPr="004D2BCB" w:rsidRDefault="009B04A3">
            <w:pPr>
              <w:jc w:val="center"/>
              <w:rPr>
                <w:rFonts w:ascii="Arial" w:hAnsi="Arial" w:cs="Arial"/>
                <w:color w:val="000000"/>
                <w:sz w:val="20"/>
                <w:szCs w:val="20"/>
              </w:rPr>
            </w:pPr>
            <w:r w:rsidRPr="004D2BCB">
              <w:rPr>
                <w:rFonts w:ascii="Arial" w:hAnsi="Arial" w:cs="Arial"/>
                <w:color w:val="000000"/>
                <w:sz w:val="20"/>
                <w:szCs w:val="20"/>
              </w:rPr>
              <w:t>ROB</w:t>
            </w:r>
          </w:p>
        </w:tc>
        <w:tc>
          <w:tcPr>
            <w:tcW w:w="880" w:type="pct"/>
            <w:shd w:val="clear" w:color="auto" w:fill="auto"/>
            <w:vAlign w:val="center"/>
          </w:tcPr>
          <w:p w:rsidR="009B04A3" w:rsidRPr="004D2BCB" w:rsidRDefault="009B04A3">
            <w:pPr>
              <w:jc w:val="center"/>
              <w:rPr>
                <w:rFonts w:ascii="Arial" w:hAnsi="Arial" w:cs="Arial"/>
                <w:color w:val="000000"/>
                <w:sz w:val="20"/>
                <w:szCs w:val="20"/>
              </w:rPr>
            </w:pPr>
            <w:r w:rsidRPr="00390130">
              <w:rPr>
                <w:rFonts w:ascii="Arial" w:hAnsi="Arial" w:cs="Arial"/>
                <w:color w:val="000000"/>
                <w:sz w:val="20"/>
                <w:szCs w:val="20"/>
              </w:rPr>
              <w:t>$3.50</w:t>
            </w:r>
          </w:p>
        </w:tc>
        <w:tc>
          <w:tcPr>
            <w:tcW w:w="1015" w:type="pct"/>
            <w:shd w:val="clear" w:color="auto" w:fill="auto"/>
            <w:vAlign w:val="center"/>
          </w:tcPr>
          <w:p w:rsidR="009B04A3" w:rsidRPr="004D2BCB" w:rsidRDefault="009B04A3">
            <w:pPr>
              <w:jc w:val="center"/>
              <w:rPr>
                <w:rFonts w:ascii="Arial" w:hAnsi="Arial" w:cs="Arial"/>
                <w:color w:val="000000"/>
                <w:sz w:val="20"/>
                <w:szCs w:val="20"/>
              </w:rPr>
            </w:pPr>
            <w:r w:rsidRPr="00390130">
              <w:rPr>
                <w:rFonts w:ascii="Arial" w:hAnsi="Arial" w:cs="Arial"/>
                <w:color w:val="000000"/>
                <w:sz w:val="20"/>
                <w:szCs w:val="20"/>
              </w:rPr>
              <w:t>$250.00</w:t>
            </w:r>
          </w:p>
        </w:tc>
        <w:tc>
          <w:tcPr>
            <w:tcW w:w="819" w:type="pct"/>
            <w:shd w:val="clear" w:color="auto" w:fill="auto"/>
            <w:vAlign w:val="center"/>
          </w:tcPr>
          <w:p w:rsidR="009B04A3" w:rsidRPr="009B04A3" w:rsidRDefault="009B04A3" w:rsidP="009B04A3">
            <w:pPr>
              <w:jc w:val="center"/>
              <w:rPr>
                <w:rFonts w:ascii="Arial" w:hAnsi="Arial" w:cs="Arial"/>
                <w:color w:val="000000"/>
                <w:sz w:val="20"/>
                <w:szCs w:val="20"/>
              </w:rPr>
            </w:pPr>
            <w:r w:rsidRPr="009B04A3">
              <w:rPr>
                <w:rFonts w:ascii="Arial" w:hAnsi="Arial" w:cs="Arial"/>
                <w:color w:val="000000"/>
                <w:sz w:val="20"/>
                <w:szCs w:val="20"/>
              </w:rPr>
              <w:t>$246.50</w:t>
            </w:r>
          </w:p>
        </w:tc>
      </w:tr>
      <w:tr w:rsidR="009B04A3" w:rsidRPr="004D2BCB" w:rsidTr="009B04A3">
        <w:tc>
          <w:tcPr>
            <w:tcW w:w="1488" w:type="pct"/>
            <w:shd w:val="clear" w:color="auto" w:fill="auto"/>
            <w:vAlign w:val="center"/>
          </w:tcPr>
          <w:p w:rsidR="009B04A3" w:rsidRPr="004D2BCB" w:rsidRDefault="009B04A3">
            <w:pPr>
              <w:jc w:val="center"/>
              <w:rPr>
                <w:rFonts w:ascii="Arial" w:hAnsi="Arial" w:cs="Arial"/>
                <w:color w:val="000000"/>
                <w:sz w:val="20"/>
                <w:szCs w:val="20"/>
              </w:rPr>
            </w:pPr>
            <w:r w:rsidRPr="004D2BCB">
              <w:rPr>
                <w:rFonts w:ascii="Arial" w:hAnsi="Arial" w:cs="Arial"/>
                <w:color w:val="000000"/>
                <w:sz w:val="20"/>
                <w:szCs w:val="20"/>
              </w:rPr>
              <w:t>LED Luminaire in Walk-in Cooler: 220W to 80W</w:t>
            </w:r>
          </w:p>
        </w:tc>
        <w:tc>
          <w:tcPr>
            <w:tcW w:w="798" w:type="pct"/>
            <w:shd w:val="clear" w:color="auto" w:fill="auto"/>
            <w:vAlign w:val="center"/>
          </w:tcPr>
          <w:p w:rsidR="009B04A3" w:rsidRPr="004D2BCB" w:rsidRDefault="009B04A3">
            <w:pPr>
              <w:jc w:val="center"/>
              <w:rPr>
                <w:rFonts w:ascii="Arial" w:hAnsi="Arial" w:cs="Arial"/>
                <w:color w:val="000000"/>
                <w:sz w:val="20"/>
                <w:szCs w:val="20"/>
              </w:rPr>
            </w:pPr>
            <w:r w:rsidRPr="004D2BCB">
              <w:rPr>
                <w:rFonts w:ascii="Arial" w:hAnsi="Arial" w:cs="Arial"/>
                <w:color w:val="000000"/>
                <w:sz w:val="20"/>
                <w:szCs w:val="20"/>
              </w:rPr>
              <w:t>ROB</w:t>
            </w:r>
          </w:p>
        </w:tc>
        <w:tc>
          <w:tcPr>
            <w:tcW w:w="880" w:type="pct"/>
            <w:shd w:val="clear" w:color="auto" w:fill="auto"/>
            <w:vAlign w:val="center"/>
          </w:tcPr>
          <w:p w:rsidR="009B04A3" w:rsidRPr="004D2BCB" w:rsidRDefault="009B04A3">
            <w:pPr>
              <w:jc w:val="center"/>
              <w:rPr>
                <w:rFonts w:ascii="Arial" w:hAnsi="Arial" w:cs="Arial"/>
                <w:color w:val="000000"/>
                <w:sz w:val="20"/>
                <w:szCs w:val="20"/>
              </w:rPr>
            </w:pPr>
            <w:r w:rsidRPr="00390130">
              <w:rPr>
                <w:rFonts w:ascii="Arial" w:hAnsi="Arial" w:cs="Arial"/>
                <w:color w:val="000000"/>
                <w:sz w:val="20"/>
                <w:szCs w:val="20"/>
              </w:rPr>
              <w:t>$39.00</w:t>
            </w:r>
          </w:p>
        </w:tc>
        <w:tc>
          <w:tcPr>
            <w:tcW w:w="1015" w:type="pct"/>
            <w:shd w:val="clear" w:color="auto" w:fill="auto"/>
            <w:vAlign w:val="center"/>
          </w:tcPr>
          <w:p w:rsidR="009B04A3" w:rsidRPr="004D2BCB" w:rsidRDefault="009B04A3">
            <w:pPr>
              <w:jc w:val="center"/>
              <w:rPr>
                <w:rFonts w:ascii="Arial" w:hAnsi="Arial" w:cs="Arial"/>
                <w:color w:val="000000"/>
                <w:sz w:val="20"/>
                <w:szCs w:val="20"/>
              </w:rPr>
            </w:pPr>
            <w:r w:rsidRPr="00390130">
              <w:rPr>
                <w:rFonts w:ascii="Arial" w:hAnsi="Arial" w:cs="Arial"/>
                <w:color w:val="000000"/>
                <w:sz w:val="20"/>
                <w:szCs w:val="20"/>
              </w:rPr>
              <w:t>$500.00</w:t>
            </w:r>
          </w:p>
        </w:tc>
        <w:tc>
          <w:tcPr>
            <w:tcW w:w="819" w:type="pct"/>
            <w:shd w:val="clear" w:color="auto" w:fill="auto"/>
            <w:vAlign w:val="center"/>
          </w:tcPr>
          <w:p w:rsidR="009B04A3" w:rsidRPr="009B04A3" w:rsidRDefault="009B04A3" w:rsidP="009B04A3">
            <w:pPr>
              <w:jc w:val="center"/>
              <w:rPr>
                <w:rFonts w:ascii="Arial" w:hAnsi="Arial" w:cs="Arial"/>
                <w:color w:val="000000"/>
                <w:sz w:val="20"/>
                <w:szCs w:val="20"/>
              </w:rPr>
            </w:pPr>
            <w:r w:rsidRPr="009B04A3">
              <w:rPr>
                <w:rFonts w:ascii="Arial" w:hAnsi="Arial" w:cs="Arial"/>
                <w:color w:val="000000"/>
                <w:sz w:val="20"/>
                <w:szCs w:val="20"/>
              </w:rPr>
              <w:t>$461.00</w:t>
            </w:r>
          </w:p>
        </w:tc>
      </w:tr>
      <w:tr w:rsidR="009B04A3" w:rsidRPr="004D2BCB" w:rsidTr="009B04A3">
        <w:tc>
          <w:tcPr>
            <w:tcW w:w="1488" w:type="pct"/>
            <w:shd w:val="clear" w:color="auto" w:fill="auto"/>
            <w:vAlign w:val="center"/>
          </w:tcPr>
          <w:p w:rsidR="009B04A3" w:rsidRPr="004D2BCB" w:rsidRDefault="009B04A3">
            <w:pPr>
              <w:jc w:val="center"/>
              <w:rPr>
                <w:rFonts w:ascii="Arial" w:hAnsi="Arial" w:cs="Arial"/>
                <w:color w:val="000000"/>
                <w:sz w:val="20"/>
                <w:szCs w:val="20"/>
              </w:rPr>
            </w:pPr>
            <w:r w:rsidRPr="004D2BCB">
              <w:rPr>
                <w:rFonts w:ascii="Arial" w:hAnsi="Arial" w:cs="Arial"/>
                <w:color w:val="000000"/>
                <w:sz w:val="20"/>
                <w:szCs w:val="20"/>
              </w:rPr>
              <w:t>LED Luminaire in Walk-in Freezer: 220W to 80W</w:t>
            </w:r>
          </w:p>
        </w:tc>
        <w:tc>
          <w:tcPr>
            <w:tcW w:w="798" w:type="pct"/>
            <w:shd w:val="clear" w:color="auto" w:fill="auto"/>
            <w:vAlign w:val="center"/>
          </w:tcPr>
          <w:p w:rsidR="009B04A3" w:rsidRPr="004D2BCB" w:rsidRDefault="009B04A3">
            <w:pPr>
              <w:jc w:val="center"/>
              <w:rPr>
                <w:rFonts w:ascii="Arial" w:hAnsi="Arial" w:cs="Arial"/>
                <w:color w:val="000000"/>
                <w:sz w:val="20"/>
                <w:szCs w:val="20"/>
              </w:rPr>
            </w:pPr>
            <w:r w:rsidRPr="004D2BCB">
              <w:rPr>
                <w:rFonts w:ascii="Arial" w:hAnsi="Arial" w:cs="Arial"/>
                <w:color w:val="000000"/>
                <w:sz w:val="20"/>
                <w:szCs w:val="20"/>
              </w:rPr>
              <w:t>ROB</w:t>
            </w:r>
          </w:p>
        </w:tc>
        <w:tc>
          <w:tcPr>
            <w:tcW w:w="880" w:type="pct"/>
            <w:shd w:val="clear" w:color="auto" w:fill="auto"/>
            <w:vAlign w:val="center"/>
          </w:tcPr>
          <w:p w:rsidR="009B04A3" w:rsidRPr="004D2BCB" w:rsidRDefault="009B04A3">
            <w:pPr>
              <w:jc w:val="center"/>
              <w:rPr>
                <w:rFonts w:ascii="Arial" w:hAnsi="Arial" w:cs="Arial"/>
                <w:color w:val="000000"/>
                <w:sz w:val="20"/>
                <w:szCs w:val="20"/>
              </w:rPr>
            </w:pPr>
            <w:r w:rsidRPr="00390130">
              <w:rPr>
                <w:rFonts w:ascii="Arial" w:hAnsi="Arial" w:cs="Arial"/>
                <w:color w:val="000000"/>
                <w:sz w:val="20"/>
                <w:szCs w:val="20"/>
              </w:rPr>
              <w:t>$39.00</w:t>
            </w:r>
          </w:p>
        </w:tc>
        <w:tc>
          <w:tcPr>
            <w:tcW w:w="1015" w:type="pct"/>
            <w:shd w:val="clear" w:color="auto" w:fill="auto"/>
            <w:vAlign w:val="center"/>
          </w:tcPr>
          <w:p w:rsidR="009B04A3" w:rsidRPr="004D2BCB" w:rsidRDefault="009B04A3">
            <w:pPr>
              <w:jc w:val="center"/>
              <w:rPr>
                <w:rFonts w:ascii="Arial" w:hAnsi="Arial" w:cs="Arial"/>
                <w:color w:val="000000"/>
                <w:sz w:val="20"/>
                <w:szCs w:val="20"/>
              </w:rPr>
            </w:pPr>
            <w:r w:rsidRPr="00390130">
              <w:rPr>
                <w:rFonts w:ascii="Arial" w:hAnsi="Arial" w:cs="Arial"/>
                <w:color w:val="000000"/>
                <w:sz w:val="20"/>
                <w:szCs w:val="20"/>
              </w:rPr>
              <w:t>$500.00</w:t>
            </w:r>
          </w:p>
        </w:tc>
        <w:tc>
          <w:tcPr>
            <w:tcW w:w="819" w:type="pct"/>
            <w:shd w:val="clear" w:color="auto" w:fill="auto"/>
            <w:vAlign w:val="center"/>
          </w:tcPr>
          <w:p w:rsidR="009B04A3" w:rsidRPr="009B04A3" w:rsidRDefault="009B04A3" w:rsidP="009B04A3">
            <w:pPr>
              <w:jc w:val="center"/>
              <w:rPr>
                <w:rFonts w:ascii="Arial" w:hAnsi="Arial" w:cs="Arial"/>
                <w:color w:val="000000"/>
                <w:sz w:val="20"/>
                <w:szCs w:val="20"/>
              </w:rPr>
            </w:pPr>
            <w:r w:rsidRPr="009B04A3">
              <w:rPr>
                <w:rFonts w:ascii="Arial" w:hAnsi="Arial" w:cs="Arial"/>
                <w:color w:val="000000"/>
                <w:sz w:val="20"/>
                <w:szCs w:val="20"/>
              </w:rPr>
              <w:t>$461.00</w:t>
            </w:r>
          </w:p>
        </w:tc>
      </w:tr>
    </w:tbl>
    <w:p w:rsidR="002F3610" w:rsidRPr="004D2BCB" w:rsidRDefault="002F3610" w:rsidP="006B11F6">
      <w:pPr>
        <w:jc w:val="center"/>
        <w:rPr>
          <w:rFonts w:ascii="Arial" w:hAnsi="Arial" w:cs="Arial"/>
          <w:color w:val="000000"/>
          <w:sz w:val="20"/>
          <w:szCs w:val="20"/>
        </w:rPr>
      </w:pPr>
    </w:p>
    <w:p w:rsidR="00774447" w:rsidRPr="004D2BCB" w:rsidRDefault="00915CE6" w:rsidP="000B6CB4">
      <w:pPr>
        <w:pStyle w:val="Heading1"/>
      </w:pPr>
      <w:r w:rsidRPr="004D2BCB">
        <w:br w:type="page"/>
      </w:r>
      <w:bookmarkStart w:id="108" w:name="_Toc438047482"/>
      <w:r w:rsidR="000966CC" w:rsidRPr="004D2BCB">
        <w:lastRenderedPageBreak/>
        <w:t>References</w:t>
      </w:r>
      <w:bookmarkEnd w:id="108"/>
      <w:r w:rsidR="00844B27" w:rsidRPr="004D2BCB">
        <w:t xml:space="preserve"> </w:t>
      </w:r>
    </w:p>
    <w:p w:rsidR="00044570" w:rsidRPr="004D2BCB" w:rsidRDefault="00044570" w:rsidP="000966CC">
      <w:pPr>
        <w:rPr>
          <w:rFonts w:ascii="Arial" w:hAnsi="Arial" w:cs="Arial"/>
        </w:rPr>
      </w:pPr>
    </w:p>
    <w:p w:rsidR="002F3610" w:rsidRPr="004D2BCB" w:rsidRDefault="0059791C" w:rsidP="000966CC">
      <w:pPr>
        <w:rPr>
          <w:rFonts w:ascii="Arial" w:hAnsi="Arial" w:cs="Arial"/>
          <w:b/>
        </w:rPr>
      </w:pPr>
      <w:r w:rsidRPr="004D2BCB">
        <w:rPr>
          <w:rFonts w:ascii="Arial" w:hAnsi="Arial" w:cs="Arial"/>
          <w:b/>
        </w:rPr>
        <w:t>See attachments</w:t>
      </w:r>
    </w:p>
    <w:p w:rsidR="002A297C" w:rsidRPr="004D2BCB" w:rsidRDefault="002A297C" w:rsidP="000966CC">
      <w:pPr>
        <w:rPr>
          <w:rFonts w:ascii="Arial" w:hAnsi="Arial" w:cs="Arial"/>
        </w:rPr>
      </w:pPr>
    </w:p>
    <w:p w:rsidR="00695FBF" w:rsidRPr="004D2BCB" w:rsidRDefault="00695FBF" w:rsidP="000966CC">
      <w:pPr>
        <w:rPr>
          <w:rFonts w:ascii="Arial" w:hAnsi="Arial" w:cs="Arial"/>
        </w:rPr>
      </w:pPr>
    </w:p>
    <w:p w:rsidR="00695FBF" w:rsidRPr="004D2BCB" w:rsidRDefault="00695FBF" w:rsidP="000966CC">
      <w:pPr>
        <w:rPr>
          <w:rFonts w:ascii="Arial" w:hAnsi="Arial" w:cs="Arial"/>
        </w:rPr>
      </w:pPr>
    </w:p>
    <w:p w:rsidR="00695FBF" w:rsidRPr="004D2BCB" w:rsidRDefault="00695FBF" w:rsidP="000966CC">
      <w:pPr>
        <w:rPr>
          <w:rFonts w:ascii="Arial" w:hAnsi="Arial" w:cs="Arial"/>
        </w:rPr>
      </w:pPr>
    </w:p>
    <w:p w:rsidR="009168A1" w:rsidRPr="004D2BCB" w:rsidRDefault="00695FBF" w:rsidP="000966CC">
      <w:pPr>
        <w:rPr>
          <w:rFonts w:ascii="Arial" w:hAnsi="Arial" w:cs="Arial"/>
        </w:rPr>
      </w:pPr>
      <w:r w:rsidRPr="004D2BCB" w:rsidDel="00695FBF">
        <w:rPr>
          <w:rFonts w:ascii="Arial" w:hAnsi="Arial" w:cs="Arial"/>
        </w:rPr>
        <w:t xml:space="preserve"> </w:t>
      </w:r>
    </w:p>
    <w:sectPr w:rsidR="009168A1" w:rsidRPr="004D2BCB" w:rsidSect="00282F89">
      <w:footerReference w:type="default" r:id="rId44"/>
      <w:endnotePr>
        <w:numFmt w:val="decimal"/>
      </w:endnotePr>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566" w:rsidRDefault="00D95566">
      <w:r>
        <w:separator/>
      </w:r>
    </w:p>
    <w:p w:rsidR="00D95566" w:rsidRDefault="00D95566"/>
  </w:endnote>
  <w:endnote w:type="continuationSeparator" w:id="0">
    <w:p w:rsidR="00D95566" w:rsidRDefault="00D95566">
      <w:r>
        <w:continuationSeparator/>
      </w:r>
    </w:p>
    <w:p w:rsidR="00D95566" w:rsidRDefault="00D95566"/>
  </w:endnote>
  <w:endnote w:id="1">
    <w:p w:rsidR="000464D5" w:rsidRDefault="000464D5" w:rsidP="00D90D19">
      <w:pPr>
        <w:pStyle w:val="EndnoteText"/>
        <w:ind w:left="720" w:hanging="720"/>
      </w:pPr>
      <w:r>
        <w:rPr>
          <w:rStyle w:val="EndnoteReference"/>
        </w:rPr>
        <w:endnoteRef/>
      </w:r>
      <w:r>
        <w:t xml:space="preserve"> </w:t>
      </w:r>
      <w:r w:rsidRPr="00784500">
        <w:rPr>
          <w:rFonts w:cs="Arial"/>
        </w:rPr>
        <w:t>The DEER Measure Cost Data Users Guide</w:t>
      </w:r>
      <w:r>
        <w:rPr>
          <w:rFonts w:cs="Arial"/>
        </w:rPr>
        <w:t xml:space="preserve"> found on </w:t>
      </w:r>
      <w:hyperlink r:id="rId1"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2">
    <w:p w:rsidR="00B929FF" w:rsidRPr="0033434E" w:rsidRDefault="000464D5" w:rsidP="00B50165">
      <w:pPr>
        <w:pStyle w:val="EndnoteText"/>
        <w:contextualSpacing/>
      </w:pPr>
      <w:r w:rsidRPr="0033434E">
        <w:rPr>
          <w:rStyle w:val="EndnoteReference"/>
        </w:rPr>
        <w:endnoteRef/>
      </w:r>
      <w:r w:rsidRPr="0033434E">
        <w:t xml:space="preserve"> </w:t>
      </w:r>
      <w:proofErr w:type="gramStart"/>
      <w:r w:rsidR="00A32560">
        <w:t xml:space="preserve">DEER Resources website, </w:t>
      </w:r>
      <w:r w:rsidRPr="0033434E">
        <w:t>20</w:t>
      </w:r>
      <w:r w:rsidR="00A32560">
        <w:t>16</w:t>
      </w:r>
      <w:r w:rsidR="00A32560" w:rsidRPr="00FF214D">
        <w:rPr>
          <w:rFonts w:cs="Arial"/>
        </w:rPr>
        <w:t xml:space="preserve"> </w:t>
      </w:r>
      <w:r w:rsidR="00A32560" w:rsidRPr="00390130">
        <w:rPr>
          <w:rFonts w:cs="Arial"/>
        </w:rPr>
        <w:t>HVAC Interactive Effects Factors</w:t>
      </w:r>
      <w:r w:rsidRPr="00FF214D">
        <w:rPr>
          <w:rFonts w:cs="Arial"/>
        </w:rPr>
        <w:t>,</w:t>
      </w:r>
      <w:r w:rsidR="00A32560">
        <w:rPr>
          <w:rFonts w:cs="Arial"/>
        </w:rPr>
        <w:t xml:space="preserve"> May 2015</w:t>
      </w:r>
      <w:r w:rsidRPr="0033434E">
        <w:t>.</w:t>
      </w:r>
      <w:proofErr w:type="gramEnd"/>
      <w:r w:rsidR="00B929FF" w:rsidRPr="00B929FF">
        <w:t xml:space="preserve"> http://www.deeresources.com/files/DEER2016/download/DEER2016_Lighting-HOU-CDF-IE-Update_25May2015.xlsx</w:t>
      </w:r>
    </w:p>
  </w:endnote>
  <w:endnote w:id="3">
    <w:p w:rsidR="000464D5" w:rsidRPr="0033434E" w:rsidRDefault="000464D5" w:rsidP="00B50165">
      <w:pPr>
        <w:pStyle w:val="EndnoteText"/>
        <w:contextualSpacing/>
      </w:pPr>
      <w:r w:rsidRPr="0033434E">
        <w:rPr>
          <w:rStyle w:val="EndnoteReference"/>
        </w:rPr>
        <w:endnoteRef/>
      </w:r>
      <w:r w:rsidRPr="0033434E">
        <w:t xml:space="preserve"> Ibid</w:t>
      </w:r>
      <w:r w:rsidR="00FF214D">
        <w:t>.</w:t>
      </w:r>
    </w:p>
  </w:endnote>
  <w:endnote w:id="4">
    <w:p w:rsidR="000464D5" w:rsidRDefault="000464D5" w:rsidP="000D4976">
      <w:pPr>
        <w:pStyle w:val="EndnoteText"/>
      </w:pPr>
      <w:r>
        <w:rPr>
          <w:rStyle w:val="EndnoteReference"/>
        </w:rPr>
        <w:endnoteRef/>
      </w:r>
      <w:r>
        <w:t xml:space="preserve"> </w:t>
      </w:r>
      <w:proofErr w:type="gramStart"/>
      <w:r>
        <w:t>California Public Utilities Commission.</w:t>
      </w:r>
      <w:proofErr w:type="gramEnd"/>
      <w:r>
        <w:t xml:space="preserve"> “Updated </w:t>
      </w:r>
      <w:proofErr w:type="gramStart"/>
      <w:r>
        <w:t>DEER  NTGR</w:t>
      </w:r>
      <w:proofErr w:type="gramEnd"/>
      <w:r>
        <w:t xml:space="preserve"> Values – 053008.xls” May 2008.</w:t>
      </w:r>
    </w:p>
    <w:p w:rsidR="000464D5" w:rsidRDefault="000464D5" w:rsidP="000D4976">
      <w:pPr>
        <w:pStyle w:val="EndnoteText"/>
      </w:pPr>
      <w:r>
        <w:tab/>
        <w:t xml:space="preserve"> </w:t>
      </w:r>
      <w:hyperlink r:id="rId2" w:history="1">
        <w:r w:rsidRPr="00646403">
          <w:rPr>
            <w:rStyle w:val="Hyperlink"/>
          </w:rPr>
          <w:t>http://www.deeresources.com/index.php?option=com_content&amp;view=article&amp;id=65&amp;Itemid=57</w:t>
        </w:r>
      </w:hyperlink>
    </w:p>
  </w:endnote>
  <w:endnote w:id="5">
    <w:p w:rsidR="000464D5" w:rsidRPr="0033434E" w:rsidRDefault="000464D5" w:rsidP="003B0A0A">
      <w:pPr>
        <w:rPr>
          <w:sz w:val="20"/>
          <w:szCs w:val="20"/>
        </w:rPr>
      </w:pPr>
      <w:r w:rsidRPr="0033434E">
        <w:rPr>
          <w:rStyle w:val="EndnoteReference"/>
          <w:sz w:val="20"/>
          <w:szCs w:val="20"/>
        </w:rPr>
        <w:endnoteRef/>
      </w:r>
      <w:r w:rsidRPr="0033434E">
        <w:rPr>
          <w:sz w:val="20"/>
          <w:szCs w:val="20"/>
        </w:rPr>
        <w:t xml:space="preserve"> California Code of Regulations, Title 20: Division 2, Chapter 4, Article 4, Sections 1601 – 1608: Appliance Efficiency Regulations, p. 1. </w:t>
      </w:r>
    </w:p>
  </w:endnote>
  <w:endnote w:id="6">
    <w:p w:rsidR="000464D5" w:rsidRPr="0033434E" w:rsidRDefault="000464D5" w:rsidP="0033434E">
      <w:pPr>
        <w:rPr>
          <w:sz w:val="20"/>
          <w:szCs w:val="20"/>
        </w:rPr>
      </w:pPr>
      <w:r w:rsidRPr="0033434E">
        <w:rPr>
          <w:rStyle w:val="EndnoteReference"/>
          <w:sz w:val="20"/>
          <w:szCs w:val="20"/>
        </w:rPr>
        <w:endnoteRef/>
      </w:r>
      <w:r w:rsidRPr="0033434E">
        <w:rPr>
          <w:sz w:val="20"/>
          <w:szCs w:val="20"/>
        </w:rPr>
        <w:t xml:space="preserve"> California Code of Regulations, Title 24: Part 6, Section 100(a</w:t>
      </w:r>
      <w:proofErr w:type="gramStart"/>
      <w:r w:rsidRPr="0033434E">
        <w:rPr>
          <w:sz w:val="20"/>
          <w:szCs w:val="20"/>
        </w:rPr>
        <w:t>)2</w:t>
      </w:r>
      <w:proofErr w:type="gramEnd"/>
      <w:r w:rsidRPr="0033434E">
        <w:rPr>
          <w:sz w:val="20"/>
          <w:szCs w:val="20"/>
        </w:rPr>
        <w:t>. Edition: May 2012, 15 Day, p. 32.</w:t>
      </w:r>
    </w:p>
  </w:endnote>
  <w:endnote w:id="7">
    <w:p w:rsidR="000464D5" w:rsidRDefault="000464D5" w:rsidP="00706E8C">
      <w:pPr>
        <w:pStyle w:val="EndnoteText"/>
      </w:pPr>
      <w:r>
        <w:rPr>
          <w:rStyle w:val="EndnoteReference"/>
        </w:rPr>
        <w:endnoteRef/>
      </w:r>
      <w:r>
        <w:t xml:space="preserve"> </w:t>
      </w:r>
      <w:proofErr w:type="gramStart"/>
      <w:r>
        <w:t>Application Assessment Report #0723.</w:t>
      </w:r>
      <w:proofErr w:type="gramEnd"/>
      <w:r>
        <w:t xml:space="preserve"> </w:t>
      </w:r>
      <w:r w:rsidRPr="00CF6FA6">
        <w:rPr>
          <w:i/>
        </w:rPr>
        <w:t xml:space="preserve">LED Lighting in Reach-In Freezer </w:t>
      </w:r>
      <w:proofErr w:type="spellStart"/>
      <w:r w:rsidRPr="00CF6FA6">
        <w:rPr>
          <w:i/>
        </w:rPr>
        <w:t>Cases</w:t>
      </w:r>
      <w:proofErr w:type="gramStart"/>
      <w:r w:rsidRPr="00CF6FA6">
        <w:rPr>
          <w:i/>
        </w:rPr>
        <w:t>:Retail</w:t>
      </w:r>
      <w:proofErr w:type="spellEnd"/>
      <w:proofErr w:type="gramEnd"/>
      <w:r w:rsidRPr="00CF6FA6">
        <w:rPr>
          <w:i/>
        </w:rPr>
        <w:t xml:space="preserve"> Sector</w:t>
      </w:r>
      <w:r>
        <w:t xml:space="preserve">. </w:t>
      </w:r>
      <w:proofErr w:type="gramStart"/>
      <w:r>
        <w:t>PG&amp;E Emerging Technologies Program, 2008.</w:t>
      </w:r>
      <w:proofErr w:type="gramEnd"/>
      <w:r w:rsidRPr="003071BF">
        <w:t xml:space="preserve"> </w:t>
      </w:r>
      <w:hyperlink r:id="rId3" w:history="1">
        <w:r>
          <w:rPr>
            <w:rStyle w:val="Hyperlink"/>
          </w:rPr>
          <w:t>http://www.etcc-ca.com/images/stories/ledfreezercasestudy1.pdf</w:t>
        </w:r>
      </w:hyperlink>
    </w:p>
    <w:p w:rsidR="000464D5" w:rsidRDefault="000464D5" w:rsidP="00706E8C">
      <w:pPr>
        <w:pStyle w:val="EndnoteText"/>
      </w:pPr>
    </w:p>
  </w:endnote>
  <w:endnote w:id="8">
    <w:p w:rsidR="000464D5" w:rsidRDefault="000464D5" w:rsidP="00706E8C">
      <w:pPr>
        <w:pStyle w:val="EndnoteText"/>
      </w:pPr>
      <w:r>
        <w:rPr>
          <w:rStyle w:val="EndnoteReference"/>
        </w:rPr>
        <w:endnoteRef/>
      </w:r>
      <w:r>
        <w:t xml:space="preserve"> </w:t>
      </w:r>
      <w:proofErr w:type="gramStart"/>
      <w:r>
        <w:t>Application Assessment Report #0722.</w:t>
      </w:r>
      <w:proofErr w:type="gramEnd"/>
      <w:r>
        <w:t xml:space="preserve"> </w:t>
      </w:r>
      <w:r w:rsidRPr="007518AC">
        <w:rPr>
          <w:i/>
        </w:rPr>
        <w:t>LED Refrigerated Case Lighting, Costco, Northern California</w:t>
      </w:r>
      <w:r>
        <w:t xml:space="preserve">. </w:t>
      </w:r>
      <w:proofErr w:type="gramStart"/>
      <w:r>
        <w:t>PG&amp;E Emerging Technologies Program.</w:t>
      </w:r>
      <w:proofErr w:type="gramEnd"/>
      <w:r>
        <w:t xml:space="preserve"> </w:t>
      </w:r>
      <w:hyperlink r:id="rId4" w:history="1">
        <w:r w:rsidRPr="00DB42DC">
          <w:rPr>
            <w:rStyle w:val="Hyperlink"/>
          </w:rPr>
          <w:t>http://www.etcc-ca.com/images/stories/pdf/ETCC_Report_469.pdf</w:t>
        </w:r>
      </w:hyperlink>
      <w:r>
        <w:t xml:space="preserve"> </w:t>
      </w:r>
    </w:p>
  </w:endnote>
  <w:endnote w:id="9">
    <w:p w:rsidR="000464D5" w:rsidRDefault="000464D5" w:rsidP="00314731">
      <w:pPr>
        <w:pStyle w:val="EndnoteText"/>
      </w:pPr>
      <w:r>
        <w:rPr>
          <w:rStyle w:val="EndnoteReference"/>
        </w:rPr>
        <w:endnoteRef/>
      </w:r>
      <w:r w:rsidR="001C3B90">
        <w:t xml:space="preserve"> </w:t>
      </w:r>
      <w:proofErr w:type="gramStart"/>
      <w:r w:rsidR="001C3B90">
        <w:t>DEER 2016</w:t>
      </w:r>
      <w:r w:rsidR="00B929FF">
        <w:t>.</w:t>
      </w:r>
      <w:proofErr w:type="gramEnd"/>
      <w:r w:rsidR="00B929FF">
        <w:t xml:space="preserve"> </w:t>
      </w:r>
      <w:r w:rsidR="00B929FF" w:rsidRPr="00B929FF">
        <w:t>http://www.deeresources.com/files/DEER2016/download/DEER2015-2016-NTG-Update-2015-10-20.xls</w:t>
      </w:r>
    </w:p>
  </w:endnote>
  <w:endnote w:id="10">
    <w:p w:rsidR="000464D5" w:rsidRPr="0033434E" w:rsidRDefault="000464D5" w:rsidP="00B2535F">
      <w:pPr>
        <w:pStyle w:val="EndnoteText"/>
      </w:pPr>
      <w:r w:rsidRPr="0033434E">
        <w:rPr>
          <w:rStyle w:val="EndnoteReference"/>
        </w:rPr>
        <w:endnoteRef/>
      </w:r>
      <w:r w:rsidRPr="0033434E">
        <w:t xml:space="preserve"> </w:t>
      </w:r>
      <w:proofErr w:type="gramStart"/>
      <w:r w:rsidRPr="0033434E">
        <w:t>Pacific Northwest National Laboratory.</w:t>
      </w:r>
      <w:proofErr w:type="gramEnd"/>
      <w:r w:rsidRPr="0033434E">
        <w:t xml:space="preserve"> “Caliper Summary Report: Round 2” Prepared for US Department of </w:t>
      </w:r>
    </w:p>
    <w:p w:rsidR="000464D5" w:rsidRPr="0033434E" w:rsidRDefault="000464D5" w:rsidP="00B2535F">
      <w:pPr>
        <w:pStyle w:val="EndnoteText"/>
        <w:ind w:firstLine="720"/>
      </w:pPr>
      <w:proofErr w:type="gramStart"/>
      <w:r w:rsidRPr="0033434E">
        <w:t>Energy.</w:t>
      </w:r>
      <w:proofErr w:type="gramEnd"/>
      <w:r w:rsidRPr="0033434E">
        <w:t xml:space="preserve"> </w:t>
      </w:r>
      <w:proofErr w:type="gramStart"/>
      <w:r w:rsidRPr="0033434E">
        <w:t>August 2007, p.3.</w:t>
      </w:r>
      <w:proofErr w:type="gramEnd"/>
    </w:p>
  </w:endnote>
  <w:endnote w:id="11">
    <w:p w:rsidR="000464D5" w:rsidRPr="0033434E" w:rsidRDefault="000464D5" w:rsidP="00B2535F">
      <w:pPr>
        <w:pStyle w:val="EndnoteText"/>
      </w:pPr>
      <w:r w:rsidRPr="0033434E">
        <w:rPr>
          <w:rStyle w:val="EndnoteReference"/>
        </w:rPr>
        <w:endnoteRef/>
      </w:r>
      <w:r w:rsidRPr="0033434E">
        <w:t xml:space="preserve"> </w:t>
      </w:r>
      <w:proofErr w:type="gramStart"/>
      <w:r w:rsidRPr="0033434E">
        <w:t>Ibid.,</w:t>
      </w:r>
      <w:proofErr w:type="gramEnd"/>
      <w:r w:rsidRPr="0033434E">
        <w:t xml:space="preserve"> p.10.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D5" w:rsidRPr="000C0419" w:rsidRDefault="000464D5" w:rsidP="00121ADD">
    <w:pPr>
      <w:pStyle w:val="Footer"/>
      <w:pBdr>
        <w:top w:val="single" w:sz="4" w:space="1" w:color="auto"/>
      </w:pBdr>
      <w:tabs>
        <w:tab w:val="clear" w:pos="8640"/>
        <w:tab w:val="right" w:pos="9270"/>
        <w:tab w:val="right" w:pos="13590"/>
      </w:tabs>
      <w:rPr>
        <w:color w:val="000000" w:themeColor="text1"/>
        <w:sz w:val="20"/>
        <w:szCs w:val="20"/>
      </w:rPr>
    </w:pPr>
    <w:r w:rsidRPr="000C0419">
      <w:rPr>
        <w:rFonts w:ascii="Arial" w:hAnsi="Arial" w:cs="Arial"/>
        <w:sz w:val="20"/>
        <w:szCs w:val="20"/>
      </w:rPr>
      <w:t xml:space="preserve">PGE3PLTG171 Walk-In LED, Revision </w:t>
    </w:r>
    <w:r>
      <w:rPr>
        <w:rFonts w:ascii="Arial" w:hAnsi="Arial" w:cs="Arial"/>
        <w:sz w:val="20"/>
        <w:szCs w:val="20"/>
      </w:rPr>
      <w:t>2</w:t>
    </w:r>
    <w:r w:rsidRPr="000C0419">
      <w:rPr>
        <w:rFonts w:ascii="Arial" w:hAnsi="Arial" w:cs="Arial"/>
        <w:sz w:val="20"/>
        <w:szCs w:val="20"/>
      </w:rPr>
      <w:tab/>
    </w:r>
    <w:r w:rsidRPr="000C0419">
      <w:rPr>
        <w:rFonts w:ascii="Arial" w:hAnsi="Arial" w:cs="Arial"/>
        <w:sz w:val="20"/>
        <w:szCs w:val="20"/>
      </w:rPr>
      <w:tab/>
    </w:r>
    <w:r>
      <w:rPr>
        <w:rFonts w:ascii="Arial" w:hAnsi="Arial" w:cs="Arial"/>
        <w:sz w:val="20"/>
        <w:szCs w:val="20"/>
      </w:rPr>
      <w:t>1/1/2016</w:t>
    </w:r>
  </w:p>
  <w:p w:rsidR="000464D5" w:rsidRPr="000C0419" w:rsidRDefault="000464D5" w:rsidP="000C0419">
    <w:pPr>
      <w:pStyle w:val="Footer"/>
      <w:tabs>
        <w:tab w:val="clear" w:pos="4320"/>
        <w:tab w:val="center" w:pos="4680"/>
      </w:tabs>
      <w:rPr>
        <w:rFonts w:ascii="Arial" w:hAnsi="Arial" w:cs="Arial"/>
        <w:sz w:val="20"/>
        <w:szCs w:val="20"/>
      </w:rPr>
    </w:pPr>
    <w:r w:rsidRPr="000C0419">
      <w:rPr>
        <w:rFonts w:ascii="Arial" w:hAnsi="Arial" w:cs="Arial"/>
        <w:sz w:val="20"/>
        <w:szCs w:val="20"/>
      </w:rPr>
      <w:t>Pacific Gas &amp; Electric Company</w:t>
    </w:r>
    <w:r w:rsidRPr="000C0419">
      <w:rPr>
        <w:rFonts w:ascii="Arial" w:hAnsi="Arial" w:cs="Arial"/>
        <w:sz w:val="20"/>
        <w:szCs w:val="20"/>
      </w:rPr>
      <w:tab/>
    </w:r>
    <w:r w:rsidRPr="000C0419">
      <w:rPr>
        <w:rFonts w:ascii="Arial" w:hAnsi="Arial" w:cs="Arial"/>
        <w:color w:val="0000FF"/>
        <w:sz w:val="20"/>
        <w:szCs w:val="20"/>
      </w:rPr>
      <w:fldChar w:fldCharType="begin"/>
    </w:r>
    <w:r w:rsidRPr="000C0419">
      <w:rPr>
        <w:rFonts w:ascii="Arial" w:hAnsi="Arial" w:cs="Arial"/>
        <w:color w:val="0000FF"/>
        <w:sz w:val="20"/>
        <w:szCs w:val="20"/>
      </w:rPr>
      <w:instrText xml:space="preserve"> PAGE  \* roman  \* MERGEFORMAT </w:instrText>
    </w:r>
    <w:r w:rsidRPr="000C0419">
      <w:rPr>
        <w:rFonts w:ascii="Arial" w:hAnsi="Arial" w:cs="Arial"/>
        <w:color w:val="0000FF"/>
        <w:sz w:val="20"/>
        <w:szCs w:val="20"/>
      </w:rPr>
      <w:fldChar w:fldCharType="separate"/>
    </w:r>
    <w:r w:rsidR="006E3616" w:rsidRPr="006E3616">
      <w:rPr>
        <w:rFonts w:ascii="Arial" w:hAnsi="Arial" w:cs="Arial"/>
        <w:noProof/>
        <w:sz w:val="20"/>
        <w:szCs w:val="20"/>
      </w:rPr>
      <w:t>v</w:t>
    </w:r>
    <w:r w:rsidRPr="000C0419">
      <w:rPr>
        <w:rFonts w:ascii="Arial" w:hAnsi="Arial" w:cs="Arial"/>
        <w:color w:val="0000FF"/>
        <w:sz w:val="20"/>
        <w:szCs w:val="20"/>
      </w:rPr>
      <w:fldChar w:fldCharType="end"/>
    </w:r>
  </w:p>
  <w:p w:rsidR="000464D5" w:rsidRPr="000C0419" w:rsidRDefault="000464D5" w:rsidP="000C0419">
    <w:pPr>
      <w:pStyle w:val="Footer"/>
      <w:tabs>
        <w:tab w:val="clear" w:pos="4320"/>
        <w:tab w:val="clear" w:pos="8640"/>
        <w:tab w:val="right" w:pos="9360"/>
      </w:tabs>
      <w:rPr>
        <w:rFonts w:ascii="Arial" w:hAnsi="Arial" w:cs="Arial"/>
        <w:color w:val="0000FF"/>
        <w:sz w:val="20"/>
        <w:szCs w:val="20"/>
      </w:rPr>
    </w:pPr>
    <w:r w:rsidRPr="000C0419">
      <w:rPr>
        <w:rFonts w:ascii="Arial" w:hAnsi="Arial" w:cs="Arial"/>
        <w:sz w:val="20"/>
        <w:szCs w:val="20"/>
      </w:rPr>
      <w:fldChar w:fldCharType="begin"/>
    </w:r>
    <w:r w:rsidRPr="000C0419">
      <w:rPr>
        <w:rFonts w:ascii="Arial" w:hAnsi="Arial" w:cs="Arial"/>
        <w:sz w:val="20"/>
        <w:szCs w:val="20"/>
      </w:rPr>
      <w:instrText xml:space="preserve"> FILENAME </w:instrText>
    </w:r>
    <w:r w:rsidRPr="000C0419">
      <w:rPr>
        <w:rFonts w:ascii="Arial" w:hAnsi="Arial" w:cs="Arial"/>
        <w:sz w:val="20"/>
        <w:szCs w:val="20"/>
      </w:rPr>
      <w:fldChar w:fldCharType="separate"/>
    </w:r>
    <w:r>
      <w:rPr>
        <w:rFonts w:ascii="Arial" w:hAnsi="Arial" w:cs="Arial"/>
        <w:noProof/>
        <w:sz w:val="20"/>
        <w:szCs w:val="20"/>
      </w:rPr>
      <w:t>PGE3PLTG171_Walk in LED_R</w:t>
    </w:r>
    <w:r w:rsidRPr="000C0419">
      <w:rPr>
        <w:rFonts w:ascii="Arial" w:hAnsi="Arial" w:cs="Arial"/>
        <w:sz w:val="20"/>
        <w:szCs w:val="20"/>
      </w:rPr>
      <w:fldChar w:fldCharType="end"/>
    </w:r>
    <w:r>
      <w:rPr>
        <w:rFonts w:ascii="Arial" w:hAnsi="Arial" w:cs="Arial"/>
        <w:sz w:val="20"/>
        <w:szCs w:val="20"/>
      </w:rPr>
      <w:t>2</w:t>
    </w:r>
    <w:r w:rsidRPr="000C0419">
      <w:rPr>
        <w:rFonts w:ascii="Arial" w:hAnsi="Arial" w:cs="Arial"/>
        <w:sz w:val="20"/>
        <w:szCs w:val="20"/>
      </w:rPr>
      <w:t xml:space="preserve"> </w:t>
    </w:r>
    <w:r w:rsidRPr="000C0419">
      <w:rPr>
        <w:rFonts w:ascii="Arial" w:hAnsi="Arial" w:cs="Arial"/>
        <w:color w:val="0000FF"/>
        <w:sz w:val="20"/>
        <w:szCs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D5" w:rsidRDefault="000464D5" w:rsidP="000C0419">
    <w:pPr>
      <w:pStyle w:val="Footer"/>
      <w:jc w:val="right"/>
    </w:pPr>
    <w:r>
      <w:t>1/1/2016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4D5" w:rsidRPr="000C0419" w:rsidRDefault="000464D5" w:rsidP="00121ADD">
    <w:pPr>
      <w:pStyle w:val="Footer"/>
      <w:pBdr>
        <w:top w:val="single" w:sz="4" w:space="1" w:color="auto"/>
      </w:pBdr>
      <w:tabs>
        <w:tab w:val="clear" w:pos="8640"/>
        <w:tab w:val="right" w:pos="9270"/>
        <w:tab w:val="right" w:pos="13590"/>
      </w:tabs>
      <w:rPr>
        <w:sz w:val="20"/>
        <w:szCs w:val="20"/>
      </w:rPr>
    </w:pPr>
    <w:r w:rsidRPr="000C0419">
      <w:rPr>
        <w:rFonts w:ascii="Arial" w:hAnsi="Arial" w:cs="Arial"/>
        <w:sz w:val="20"/>
        <w:szCs w:val="20"/>
      </w:rPr>
      <w:t>PGE3PLTG171 Walk-In LED, Revision 1</w:t>
    </w:r>
    <w:r w:rsidRPr="000C0419">
      <w:rPr>
        <w:rFonts w:ascii="Arial" w:hAnsi="Arial" w:cs="Arial"/>
        <w:sz w:val="20"/>
        <w:szCs w:val="20"/>
      </w:rPr>
      <w:tab/>
    </w:r>
    <w:r w:rsidRPr="000C0419">
      <w:rPr>
        <w:rFonts w:ascii="Arial" w:hAnsi="Arial" w:cs="Arial"/>
        <w:sz w:val="20"/>
        <w:szCs w:val="20"/>
      </w:rPr>
      <w:tab/>
    </w:r>
    <w:r>
      <w:rPr>
        <w:rFonts w:ascii="Arial" w:hAnsi="Arial" w:cs="Arial"/>
        <w:sz w:val="20"/>
        <w:szCs w:val="20"/>
      </w:rPr>
      <w:t>1/1/2016</w:t>
    </w:r>
  </w:p>
  <w:p w:rsidR="000464D5" w:rsidRPr="000C0419" w:rsidRDefault="000464D5" w:rsidP="000C0419">
    <w:pPr>
      <w:pStyle w:val="Footer"/>
      <w:tabs>
        <w:tab w:val="clear" w:pos="4320"/>
        <w:tab w:val="center" w:pos="4680"/>
      </w:tabs>
      <w:rPr>
        <w:rFonts w:ascii="Arial" w:hAnsi="Arial" w:cs="Arial"/>
        <w:sz w:val="20"/>
        <w:szCs w:val="20"/>
      </w:rPr>
    </w:pPr>
    <w:r w:rsidRPr="000C0419">
      <w:rPr>
        <w:rFonts w:ascii="Arial" w:hAnsi="Arial" w:cs="Arial"/>
        <w:sz w:val="20"/>
        <w:szCs w:val="20"/>
      </w:rPr>
      <w:t>Pacific Gas &amp; Electric Company</w:t>
    </w:r>
    <w:r w:rsidRPr="000C0419">
      <w:rPr>
        <w:rFonts w:ascii="Arial" w:hAnsi="Arial" w:cs="Arial"/>
        <w:sz w:val="20"/>
        <w:szCs w:val="20"/>
      </w:rPr>
      <w:tab/>
    </w:r>
    <w:r w:rsidRPr="000C0419">
      <w:rPr>
        <w:rFonts w:ascii="Arial" w:hAnsi="Arial" w:cs="Arial"/>
        <w:sz w:val="20"/>
        <w:szCs w:val="20"/>
      </w:rPr>
      <w:fldChar w:fldCharType="begin"/>
    </w:r>
    <w:r w:rsidRPr="000C0419">
      <w:rPr>
        <w:rFonts w:ascii="Arial" w:hAnsi="Arial" w:cs="Arial"/>
        <w:sz w:val="20"/>
        <w:szCs w:val="20"/>
      </w:rPr>
      <w:instrText xml:space="preserve"> PAGE  \* Arabic  \* MERGEFORMAT </w:instrText>
    </w:r>
    <w:r w:rsidRPr="000C0419">
      <w:rPr>
        <w:rFonts w:ascii="Arial" w:hAnsi="Arial" w:cs="Arial"/>
        <w:sz w:val="20"/>
        <w:szCs w:val="20"/>
      </w:rPr>
      <w:fldChar w:fldCharType="separate"/>
    </w:r>
    <w:r w:rsidR="006E3616">
      <w:rPr>
        <w:rFonts w:ascii="Arial" w:hAnsi="Arial" w:cs="Arial"/>
        <w:noProof/>
        <w:sz w:val="20"/>
        <w:szCs w:val="20"/>
      </w:rPr>
      <w:t>15</w:t>
    </w:r>
    <w:r w:rsidRPr="000C0419">
      <w:rPr>
        <w:rFonts w:ascii="Arial" w:hAnsi="Arial" w:cs="Arial"/>
        <w:sz w:val="20"/>
        <w:szCs w:val="20"/>
      </w:rPr>
      <w:fldChar w:fldCharType="end"/>
    </w:r>
  </w:p>
  <w:p w:rsidR="000464D5" w:rsidRPr="000C0419" w:rsidRDefault="000464D5" w:rsidP="000C0419">
    <w:pPr>
      <w:pStyle w:val="Footer"/>
      <w:tabs>
        <w:tab w:val="clear" w:pos="4320"/>
        <w:tab w:val="clear" w:pos="8640"/>
        <w:tab w:val="right" w:pos="9360"/>
      </w:tabs>
      <w:rPr>
        <w:rFonts w:ascii="Arial" w:hAnsi="Arial" w:cs="Arial"/>
        <w:color w:val="0000FF"/>
        <w:sz w:val="20"/>
        <w:szCs w:val="20"/>
      </w:rPr>
    </w:pPr>
    <w:r w:rsidRPr="000C0419">
      <w:rPr>
        <w:rFonts w:ascii="Arial" w:hAnsi="Arial" w:cs="Arial"/>
        <w:sz w:val="20"/>
        <w:szCs w:val="20"/>
      </w:rPr>
      <w:fldChar w:fldCharType="begin"/>
    </w:r>
    <w:r w:rsidRPr="000C0419">
      <w:rPr>
        <w:rFonts w:ascii="Arial" w:hAnsi="Arial" w:cs="Arial"/>
        <w:sz w:val="20"/>
        <w:szCs w:val="20"/>
      </w:rPr>
      <w:instrText xml:space="preserve"> FILENAME </w:instrText>
    </w:r>
    <w:r w:rsidRPr="000C0419">
      <w:rPr>
        <w:rFonts w:ascii="Arial" w:hAnsi="Arial" w:cs="Arial"/>
        <w:sz w:val="20"/>
        <w:szCs w:val="20"/>
      </w:rPr>
      <w:fldChar w:fldCharType="separate"/>
    </w:r>
    <w:r>
      <w:rPr>
        <w:rFonts w:ascii="Arial" w:hAnsi="Arial" w:cs="Arial"/>
        <w:noProof/>
        <w:sz w:val="20"/>
        <w:szCs w:val="20"/>
      </w:rPr>
      <w:t>PGE3PLTG171_Walk in LED_R</w:t>
    </w:r>
    <w:r w:rsidRPr="000C0419">
      <w:rPr>
        <w:rFonts w:ascii="Arial" w:hAnsi="Arial" w:cs="Arial"/>
        <w:sz w:val="20"/>
        <w:szCs w:val="20"/>
      </w:rPr>
      <w:fldChar w:fldCharType="end"/>
    </w:r>
    <w:r>
      <w:rPr>
        <w:rFonts w:ascii="Arial" w:hAnsi="Arial" w:cs="Arial"/>
        <w:sz w:val="20"/>
        <w:szCs w:val="20"/>
      </w:rPr>
      <w:t>2</w:t>
    </w:r>
    <w:r w:rsidRPr="000C0419">
      <w:rPr>
        <w:rFonts w:ascii="Arial" w:hAnsi="Arial" w:cs="Arial"/>
        <w:sz w:val="20"/>
        <w:szCs w:val="20"/>
      </w:rPr>
      <w:t xml:space="preserve"> </w:t>
    </w:r>
    <w:r w:rsidRPr="000C0419">
      <w:rPr>
        <w:rFonts w:ascii="Arial" w:hAnsi="Arial" w:cs="Arial"/>
        <w:color w:val="0000FF"/>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566" w:rsidRDefault="00D95566">
      <w:r>
        <w:separator/>
      </w:r>
    </w:p>
    <w:p w:rsidR="00D95566" w:rsidRDefault="00D95566"/>
  </w:footnote>
  <w:footnote w:type="continuationSeparator" w:id="0">
    <w:p w:rsidR="00D95566" w:rsidRDefault="00D95566">
      <w:r>
        <w:continuationSeparator/>
      </w:r>
    </w:p>
    <w:p w:rsidR="00D95566" w:rsidRDefault="00D95566"/>
  </w:footnote>
  <w:footnote w:id="1">
    <w:p w:rsidR="000464D5" w:rsidRDefault="000464D5" w:rsidP="00314731">
      <w:pPr>
        <w:pStyle w:val="FootnoteText"/>
      </w:pPr>
      <w:r>
        <w:rPr>
          <w:rStyle w:val="FootnoteReference"/>
        </w:rPr>
        <w:footnoteRef/>
      </w:r>
      <w:r>
        <w:t xml:space="preserve"> See terms and conditions described in Section</w:t>
      </w:r>
      <w:r>
        <w:fldChar w:fldCharType="begin"/>
      </w:r>
      <w:r>
        <w:instrText xml:space="preserve"> REF _Ref390071218 \h </w:instrText>
      </w:r>
      <w:r>
        <w:fldChar w:fldCharType="separate"/>
      </w:r>
      <w:r w:rsidRPr="00F8129B">
        <w:t>1.1 Product Measure Description &amp; Background</w:t>
      </w:r>
      <w:r>
        <w:fldChar w:fldCharType="end"/>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980368A"/>
    <w:multiLevelType w:val="hybridMultilevel"/>
    <w:tmpl w:val="2BE8D08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FF055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1">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1D6749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7">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BD7F96"/>
    <w:multiLevelType w:val="hybridMultilevel"/>
    <w:tmpl w:val="1E4497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722B3825"/>
    <w:multiLevelType w:val="multilevel"/>
    <w:tmpl w:val="668EC1CE"/>
    <w:lvl w:ilvl="0">
      <w:start w:val="1"/>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7820856"/>
    <w:multiLevelType w:val="singleLevel"/>
    <w:tmpl w:val="6C78A414"/>
    <w:lvl w:ilvl="0">
      <w:start w:val="1"/>
      <w:numFmt w:val="decimal"/>
      <w:lvlText w:val="%1."/>
      <w:legacy w:legacy="1" w:legacySpace="0" w:legacyIndent="0"/>
      <w:lvlJc w:val="left"/>
    </w:lvl>
  </w:abstractNum>
  <w:abstractNum w:abstractNumId="22">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1"/>
  </w:num>
  <w:num w:numId="3">
    <w:abstractNumId w:val="6"/>
  </w:num>
  <w:num w:numId="4">
    <w:abstractNumId w:val="8"/>
  </w:num>
  <w:num w:numId="5">
    <w:abstractNumId w:val="21"/>
  </w:num>
  <w:num w:numId="6">
    <w:abstractNumId w:val="10"/>
  </w:num>
  <w:num w:numId="7">
    <w:abstractNumId w:val="7"/>
  </w:num>
  <w:num w:numId="8">
    <w:abstractNumId w:val="13"/>
  </w:num>
  <w:num w:numId="9">
    <w:abstractNumId w:val="9"/>
  </w:num>
  <w:num w:numId="10">
    <w:abstractNumId w:val="2"/>
  </w:num>
  <w:num w:numId="11">
    <w:abstractNumId w:val="16"/>
  </w:num>
  <w:num w:numId="12">
    <w:abstractNumId w:val="17"/>
  </w:num>
  <w:num w:numId="13">
    <w:abstractNumId w:val="4"/>
  </w:num>
  <w:num w:numId="14">
    <w:abstractNumId w:val="22"/>
  </w:num>
  <w:num w:numId="15">
    <w:abstractNumId w:val="14"/>
  </w:num>
  <w:num w:numId="16">
    <w:abstractNumId w:val="15"/>
  </w:num>
  <w:num w:numId="17">
    <w:abstractNumId w:val="0"/>
  </w:num>
  <w:num w:numId="18">
    <w:abstractNumId w:val="12"/>
  </w:num>
  <w:num w:numId="19">
    <w:abstractNumId w:val="5"/>
  </w:num>
  <w:num w:numId="20">
    <w:abstractNumId w:val="1"/>
  </w:num>
  <w:num w:numId="21">
    <w:abstractNumId w:val="19"/>
  </w:num>
  <w:num w:numId="22">
    <w:abstractNumId w:val="2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51FF"/>
    <w:rsid w:val="00005E70"/>
    <w:rsid w:val="00012F86"/>
    <w:rsid w:val="00014740"/>
    <w:rsid w:val="00014EA8"/>
    <w:rsid w:val="000170B5"/>
    <w:rsid w:val="00017488"/>
    <w:rsid w:val="00023921"/>
    <w:rsid w:val="00024AA9"/>
    <w:rsid w:val="00026F78"/>
    <w:rsid w:val="000272C2"/>
    <w:rsid w:val="0003064A"/>
    <w:rsid w:val="00032B63"/>
    <w:rsid w:val="0003327D"/>
    <w:rsid w:val="000344D8"/>
    <w:rsid w:val="000351CB"/>
    <w:rsid w:val="000374A5"/>
    <w:rsid w:val="00044570"/>
    <w:rsid w:val="000464D5"/>
    <w:rsid w:val="000571F6"/>
    <w:rsid w:val="00057C09"/>
    <w:rsid w:val="00063FA7"/>
    <w:rsid w:val="0006490F"/>
    <w:rsid w:val="00066263"/>
    <w:rsid w:val="00066D5B"/>
    <w:rsid w:val="000678A2"/>
    <w:rsid w:val="00067EB5"/>
    <w:rsid w:val="000701EB"/>
    <w:rsid w:val="000719AA"/>
    <w:rsid w:val="000744E5"/>
    <w:rsid w:val="000749EA"/>
    <w:rsid w:val="00077161"/>
    <w:rsid w:val="000814B9"/>
    <w:rsid w:val="0008400E"/>
    <w:rsid w:val="000842B9"/>
    <w:rsid w:val="00085DF5"/>
    <w:rsid w:val="00086594"/>
    <w:rsid w:val="00087378"/>
    <w:rsid w:val="00095610"/>
    <w:rsid w:val="000966CC"/>
    <w:rsid w:val="000A2FB3"/>
    <w:rsid w:val="000A48F2"/>
    <w:rsid w:val="000B0B1E"/>
    <w:rsid w:val="000B2F21"/>
    <w:rsid w:val="000B6CB4"/>
    <w:rsid w:val="000C0419"/>
    <w:rsid w:val="000C0FD3"/>
    <w:rsid w:val="000C3E55"/>
    <w:rsid w:val="000D4976"/>
    <w:rsid w:val="000E132D"/>
    <w:rsid w:val="000E31B5"/>
    <w:rsid w:val="000F0069"/>
    <w:rsid w:val="000F11DD"/>
    <w:rsid w:val="00115EB1"/>
    <w:rsid w:val="00121ADD"/>
    <w:rsid w:val="001248A3"/>
    <w:rsid w:val="00124F32"/>
    <w:rsid w:val="00126483"/>
    <w:rsid w:val="00126A4E"/>
    <w:rsid w:val="00127CC8"/>
    <w:rsid w:val="0013046A"/>
    <w:rsid w:val="0013080C"/>
    <w:rsid w:val="0013087E"/>
    <w:rsid w:val="00133198"/>
    <w:rsid w:val="00133C60"/>
    <w:rsid w:val="00135D4A"/>
    <w:rsid w:val="00136D56"/>
    <w:rsid w:val="00142940"/>
    <w:rsid w:val="001458CB"/>
    <w:rsid w:val="0014716C"/>
    <w:rsid w:val="00150EC7"/>
    <w:rsid w:val="00155EF5"/>
    <w:rsid w:val="001603A4"/>
    <w:rsid w:val="00160CB2"/>
    <w:rsid w:val="00166CD1"/>
    <w:rsid w:val="00167F2B"/>
    <w:rsid w:val="0017179F"/>
    <w:rsid w:val="00172149"/>
    <w:rsid w:val="001721A0"/>
    <w:rsid w:val="001746E9"/>
    <w:rsid w:val="00175673"/>
    <w:rsid w:val="00176431"/>
    <w:rsid w:val="001767C2"/>
    <w:rsid w:val="00183C8E"/>
    <w:rsid w:val="00190625"/>
    <w:rsid w:val="00190760"/>
    <w:rsid w:val="001946B1"/>
    <w:rsid w:val="00194E14"/>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2942"/>
    <w:rsid w:val="001C3B90"/>
    <w:rsid w:val="001C44D0"/>
    <w:rsid w:val="001C6598"/>
    <w:rsid w:val="001C77E2"/>
    <w:rsid w:val="001D11CE"/>
    <w:rsid w:val="001D16C2"/>
    <w:rsid w:val="001D3F48"/>
    <w:rsid w:val="001D483C"/>
    <w:rsid w:val="001E4EC0"/>
    <w:rsid w:val="001E7CA0"/>
    <w:rsid w:val="001F4083"/>
    <w:rsid w:val="001F60D5"/>
    <w:rsid w:val="001F627F"/>
    <w:rsid w:val="001F7023"/>
    <w:rsid w:val="00200174"/>
    <w:rsid w:val="00211286"/>
    <w:rsid w:val="00211BAC"/>
    <w:rsid w:val="002154B2"/>
    <w:rsid w:val="002170D6"/>
    <w:rsid w:val="002203EA"/>
    <w:rsid w:val="0022055B"/>
    <w:rsid w:val="0022067C"/>
    <w:rsid w:val="002207C3"/>
    <w:rsid w:val="00221794"/>
    <w:rsid w:val="0022428B"/>
    <w:rsid w:val="00224D81"/>
    <w:rsid w:val="002257FA"/>
    <w:rsid w:val="00226127"/>
    <w:rsid w:val="00235694"/>
    <w:rsid w:val="0024233E"/>
    <w:rsid w:val="00243BAC"/>
    <w:rsid w:val="00244BD6"/>
    <w:rsid w:val="00245A56"/>
    <w:rsid w:val="002466F4"/>
    <w:rsid w:val="00250CB5"/>
    <w:rsid w:val="00252352"/>
    <w:rsid w:val="00255067"/>
    <w:rsid w:val="0025738E"/>
    <w:rsid w:val="002628B9"/>
    <w:rsid w:val="00264B03"/>
    <w:rsid w:val="0027474D"/>
    <w:rsid w:val="00274A7E"/>
    <w:rsid w:val="00276918"/>
    <w:rsid w:val="00276ED1"/>
    <w:rsid w:val="0027792C"/>
    <w:rsid w:val="00282F89"/>
    <w:rsid w:val="00285AF5"/>
    <w:rsid w:val="00286DE6"/>
    <w:rsid w:val="0028709C"/>
    <w:rsid w:val="00291D75"/>
    <w:rsid w:val="00295B67"/>
    <w:rsid w:val="002A297C"/>
    <w:rsid w:val="002A2C2E"/>
    <w:rsid w:val="002A4B6C"/>
    <w:rsid w:val="002A5CDC"/>
    <w:rsid w:val="002B0ECF"/>
    <w:rsid w:val="002B57DB"/>
    <w:rsid w:val="002C12FA"/>
    <w:rsid w:val="002C21F9"/>
    <w:rsid w:val="002C26EB"/>
    <w:rsid w:val="002C321E"/>
    <w:rsid w:val="002C42E0"/>
    <w:rsid w:val="002C4F1C"/>
    <w:rsid w:val="002C518C"/>
    <w:rsid w:val="002C5D6E"/>
    <w:rsid w:val="002C7280"/>
    <w:rsid w:val="002C7B46"/>
    <w:rsid w:val="002D0F51"/>
    <w:rsid w:val="002D27DC"/>
    <w:rsid w:val="002D31FD"/>
    <w:rsid w:val="002D4621"/>
    <w:rsid w:val="002D6B4D"/>
    <w:rsid w:val="002E0043"/>
    <w:rsid w:val="002E1193"/>
    <w:rsid w:val="002E40A2"/>
    <w:rsid w:val="002E47B4"/>
    <w:rsid w:val="002E5671"/>
    <w:rsid w:val="002E6244"/>
    <w:rsid w:val="002F105C"/>
    <w:rsid w:val="002F3610"/>
    <w:rsid w:val="002F3FE5"/>
    <w:rsid w:val="002F4E8C"/>
    <w:rsid w:val="0030114D"/>
    <w:rsid w:val="00302B74"/>
    <w:rsid w:val="003032B7"/>
    <w:rsid w:val="0030550A"/>
    <w:rsid w:val="003129E8"/>
    <w:rsid w:val="00312A1F"/>
    <w:rsid w:val="00314731"/>
    <w:rsid w:val="00315AB7"/>
    <w:rsid w:val="00322FF3"/>
    <w:rsid w:val="00324AFE"/>
    <w:rsid w:val="00324D0F"/>
    <w:rsid w:val="003259CD"/>
    <w:rsid w:val="0032657A"/>
    <w:rsid w:val="00333E01"/>
    <w:rsid w:val="0033434E"/>
    <w:rsid w:val="00335017"/>
    <w:rsid w:val="003406F3"/>
    <w:rsid w:val="00340DAD"/>
    <w:rsid w:val="00345971"/>
    <w:rsid w:val="00345DE6"/>
    <w:rsid w:val="0034647B"/>
    <w:rsid w:val="00346796"/>
    <w:rsid w:val="00350382"/>
    <w:rsid w:val="003534D8"/>
    <w:rsid w:val="00353DC2"/>
    <w:rsid w:val="00362067"/>
    <w:rsid w:val="00374640"/>
    <w:rsid w:val="00377407"/>
    <w:rsid w:val="0038391A"/>
    <w:rsid w:val="00385E09"/>
    <w:rsid w:val="00386372"/>
    <w:rsid w:val="00390130"/>
    <w:rsid w:val="003905F3"/>
    <w:rsid w:val="00392B5E"/>
    <w:rsid w:val="00392C05"/>
    <w:rsid w:val="00393618"/>
    <w:rsid w:val="00393D41"/>
    <w:rsid w:val="00395845"/>
    <w:rsid w:val="003972C2"/>
    <w:rsid w:val="00397C35"/>
    <w:rsid w:val="003A1B51"/>
    <w:rsid w:val="003A46EC"/>
    <w:rsid w:val="003A648E"/>
    <w:rsid w:val="003A66D0"/>
    <w:rsid w:val="003B0A0A"/>
    <w:rsid w:val="003B384E"/>
    <w:rsid w:val="003B51DE"/>
    <w:rsid w:val="003C27C4"/>
    <w:rsid w:val="003C2AC1"/>
    <w:rsid w:val="003C3A3C"/>
    <w:rsid w:val="003C428B"/>
    <w:rsid w:val="003C48C5"/>
    <w:rsid w:val="003C5980"/>
    <w:rsid w:val="003C683A"/>
    <w:rsid w:val="003C6DFA"/>
    <w:rsid w:val="003D04BC"/>
    <w:rsid w:val="003D13F3"/>
    <w:rsid w:val="003D36AD"/>
    <w:rsid w:val="003D3F36"/>
    <w:rsid w:val="003D5191"/>
    <w:rsid w:val="003D60B8"/>
    <w:rsid w:val="003E0B6C"/>
    <w:rsid w:val="003E24CE"/>
    <w:rsid w:val="003E3441"/>
    <w:rsid w:val="003E3941"/>
    <w:rsid w:val="003E540D"/>
    <w:rsid w:val="003E7422"/>
    <w:rsid w:val="003E7CF9"/>
    <w:rsid w:val="003E7D3D"/>
    <w:rsid w:val="003E7E0A"/>
    <w:rsid w:val="003F0CBE"/>
    <w:rsid w:val="003F1CCD"/>
    <w:rsid w:val="003F3DED"/>
    <w:rsid w:val="003F57BD"/>
    <w:rsid w:val="003F5B70"/>
    <w:rsid w:val="004018B3"/>
    <w:rsid w:val="00402D38"/>
    <w:rsid w:val="0040323C"/>
    <w:rsid w:val="00403FBE"/>
    <w:rsid w:val="004078BB"/>
    <w:rsid w:val="00407D73"/>
    <w:rsid w:val="0041339D"/>
    <w:rsid w:val="00415754"/>
    <w:rsid w:val="00415CE3"/>
    <w:rsid w:val="004162E3"/>
    <w:rsid w:val="00421210"/>
    <w:rsid w:val="00421ED8"/>
    <w:rsid w:val="0042297B"/>
    <w:rsid w:val="00422F19"/>
    <w:rsid w:val="00423B48"/>
    <w:rsid w:val="00425FE9"/>
    <w:rsid w:val="00427131"/>
    <w:rsid w:val="004323E9"/>
    <w:rsid w:val="00432C65"/>
    <w:rsid w:val="00433695"/>
    <w:rsid w:val="004339ED"/>
    <w:rsid w:val="00433B89"/>
    <w:rsid w:val="00436F7E"/>
    <w:rsid w:val="00437947"/>
    <w:rsid w:val="0044128D"/>
    <w:rsid w:val="004419D3"/>
    <w:rsid w:val="0044337C"/>
    <w:rsid w:val="00445790"/>
    <w:rsid w:val="004460D4"/>
    <w:rsid w:val="00450273"/>
    <w:rsid w:val="004509A5"/>
    <w:rsid w:val="00453364"/>
    <w:rsid w:val="004551F3"/>
    <w:rsid w:val="00455856"/>
    <w:rsid w:val="004563F1"/>
    <w:rsid w:val="004602EC"/>
    <w:rsid w:val="004617A6"/>
    <w:rsid w:val="00467FE9"/>
    <w:rsid w:val="00474025"/>
    <w:rsid w:val="0048008C"/>
    <w:rsid w:val="004809C9"/>
    <w:rsid w:val="00480BAD"/>
    <w:rsid w:val="00480C7E"/>
    <w:rsid w:val="00486CF9"/>
    <w:rsid w:val="00487D95"/>
    <w:rsid w:val="00492048"/>
    <w:rsid w:val="004967A2"/>
    <w:rsid w:val="00497CD3"/>
    <w:rsid w:val="00497EDC"/>
    <w:rsid w:val="004A2D46"/>
    <w:rsid w:val="004A3A35"/>
    <w:rsid w:val="004A6FCA"/>
    <w:rsid w:val="004A7131"/>
    <w:rsid w:val="004B0F48"/>
    <w:rsid w:val="004B2CFB"/>
    <w:rsid w:val="004B4489"/>
    <w:rsid w:val="004B6ACB"/>
    <w:rsid w:val="004C4E2A"/>
    <w:rsid w:val="004C56D1"/>
    <w:rsid w:val="004D2BCB"/>
    <w:rsid w:val="004D2C76"/>
    <w:rsid w:val="004D58D5"/>
    <w:rsid w:val="004D71AF"/>
    <w:rsid w:val="004D7301"/>
    <w:rsid w:val="004E66BB"/>
    <w:rsid w:val="004F0EB3"/>
    <w:rsid w:val="004F1DB8"/>
    <w:rsid w:val="004F3EDB"/>
    <w:rsid w:val="004F449D"/>
    <w:rsid w:val="004F53A7"/>
    <w:rsid w:val="004F55EC"/>
    <w:rsid w:val="004F61DD"/>
    <w:rsid w:val="005010B5"/>
    <w:rsid w:val="00502569"/>
    <w:rsid w:val="00506204"/>
    <w:rsid w:val="00511171"/>
    <w:rsid w:val="005136CC"/>
    <w:rsid w:val="00513858"/>
    <w:rsid w:val="00513DAC"/>
    <w:rsid w:val="00514B37"/>
    <w:rsid w:val="00514EEC"/>
    <w:rsid w:val="00521874"/>
    <w:rsid w:val="00521920"/>
    <w:rsid w:val="0052304A"/>
    <w:rsid w:val="0052431C"/>
    <w:rsid w:val="005246B1"/>
    <w:rsid w:val="00530B04"/>
    <w:rsid w:val="0053683E"/>
    <w:rsid w:val="00537B0D"/>
    <w:rsid w:val="005403E8"/>
    <w:rsid w:val="00542990"/>
    <w:rsid w:val="00542A98"/>
    <w:rsid w:val="005453C5"/>
    <w:rsid w:val="0054599C"/>
    <w:rsid w:val="00545A84"/>
    <w:rsid w:val="00545CB8"/>
    <w:rsid w:val="00551EF3"/>
    <w:rsid w:val="00554084"/>
    <w:rsid w:val="00557E24"/>
    <w:rsid w:val="0056016B"/>
    <w:rsid w:val="00560593"/>
    <w:rsid w:val="0056163A"/>
    <w:rsid w:val="00562217"/>
    <w:rsid w:val="00563BE5"/>
    <w:rsid w:val="00567397"/>
    <w:rsid w:val="00574FBD"/>
    <w:rsid w:val="005773BB"/>
    <w:rsid w:val="00585C83"/>
    <w:rsid w:val="00586604"/>
    <w:rsid w:val="005903B6"/>
    <w:rsid w:val="0059791C"/>
    <w:rsid w:val="005A1F9D"/>
    <w:rsid w:val="005A3798"/>
    <w:rsid w:val="005A67E5"/>
    <w:rsid w:val="005A7302"/>
    <w:rsid w:val="005C2844"/>
    <w:rsid w:val="005C7F3F"/>
    <w:rsid w:val="005D3312"/>
    <w:rsid w:val="005D6266"/>
    <w:rsid w:val="005E2187"/>
    <w:rsid w:val="005E2F51"/>
    <w:rsid w:val="005E4525"/>
    <w:rsid w:val="005E4FE9"/>
    <w:rsid w:val="005F181C"/>
    <w:rsid w:val="005F19E0"/>
    <w:rsid w:val="005F57B5"/>
    <w:rsid w:val="005F7AA1"/>
    <w:rsid w:val="00604FAE"/>
    <w:rsid w:val="00607605"/>
    <w:rsid w:val="0061001E"/>
    <w:rsid w:val="00610B3C"/>
    <w:rsid w:val="00622319"/>
    <w:rsid w:val="00623394"/>
    <w:rsid w:val="0062416A"/>
    <w:rsid w:val="0062535C"/>
    <w:rsid w:val="00625FB3"/>
    <w:rsid w:val="00626129"/>
    <w:rsid w:val="00632A52"/>
    <w:rsid w:val="00634045"/>
    <w:rsid w:val="00634414"/>
    <w:rsid w:val="006349C6"/>
    <w:rsid w:val="00636012"/>
    <w:rsid w:val="00636987"/>
    <w:rsid w:val="00640BB6"/>
    <w:rsid w:val="00642FCD"/>
    <w:rsid w:val="006433B2"/>
    <w:rsid w:val="00644730"/>
    <w:rsid w:val="00652DD9"/>
    <w:rsid w:val="006559C8"/>
    <w:rsid w:val="00657405"/>
    <w:rsid w:val="006605C2"/>
    <w:rsid w:val="00661864"/>
    <w:rsid w:val="00663A00"/>
    <w:rsid w:val="00664FA6"/>
    <w:rsid w:val="0066632E"/>
    <w:rsid w:val="006832A4"/>
    <w:rsid w:val="00683C25"/>
    <w:rsid w:val="006846E9"/>
    <w:rsid w:val="006872DB"/>
    <w:rsid w:val="006874E0"/>
    <w:rsid w:val="00693003"/>
    <w:rsid w:val="00693528"/>
    <w:rsid w:val="00693552"/>
    <w:rsid w:val="0069578F"/>
    <w:rsid w:val="00695ED2"/>
    <w:rsid w:val="00695FBF"/>
    <w:rsid w:val="006A1022"/>
    <w:rsid w:val="006A1A83"/>
    <w:rsid w:val="006A2C4B"/>
    <w:rsid w:val="006A541C"/>
    <w:rsid w:val="006A55D2"/>
    <w:rsid w:val="006A661F"/>
    <w:rsid w:val="006B11F6"/>
    <w:rsid w:val="006B20CA"/>
    <w:rsid w:val="006B42B8"/>
    <w:rsid w:val="006B6104"/>
    <w:rsid w:val="006B763D"/>
    <w:rsid w:val="006B7EDD"/>
    <w:rsid w:val="006D0365"/>
    <w:rsid w:val="006D2068"/>
    <w:rsid w:val="006D3725"/>
    <w:rsid w:val="006D4AE1"/>
    <w:rsid w:val="006D52D8"/>
    <w:rsid w:val="006D5AAB"/>
    <w:rsid w:val="006D64E7"/>
    <w:rsid w:val="006E0111"/>
    <w:rsid w:val="006E3616"/>
    <w:rsid w:val="006E3C13"/>
    <w:rsid w:val="006E773A"/>
    <w:rsid w:val="006F0139"/>
    <w:rsid w:val="006F214B"/>
    <w:rsid w:val="006F28C7"/>
    <w:rsid w:val="007001DD"/>
    <w:rsid w:val="0070211D"/>
    <w:rsid w:val="0070443C"/>
    <w:rsid w:val="00706E8C"/>
    <w:rsid w:val="00707674"/>
    <w:rsid w:val="00712407"/>
    <w:rsid w:val="00712477"/>
    <w:rsid w:val="00716BDC"/>
    <w:rsid w:val="00721A54"/>
    <w:rsid w:val="00721C75"/>
    <w:rsid w:val="007228DB"/>
    <w:rsid w:val="00723862"/>
    <w:rsid w:val="00731859"/>
    <w:rsid w:val="0073325A"/>
    <w:rsid w:val="00733275"/>
    <w:rsid w:val="00735A4C"/>
    <w:rsid w:val="00735CB1"/>
    <w:rsid w:val="00735E0E"/>
    <w:rsid w:val="007367E8"/>
    <w:rsid w:val="00741F74"/>
    <w:rsid w:val="00742E8A"/>
    <w:rsid w:val="007431B7"/>
    <w:rsid w:val="00745482"/>
    <w:rsid w:val="00746DDC"/>
    <w:rsid w:val="007475AA"/>
    <w:rsid w:val="0075061C"/>
    <w:rsid w:val="00751753"/>
    <w:rsid w:val="00754D25"/>
    <w:rsid w:val="00755961"/>
    <w:rsid w:val="00756A18"/>
    <w:rsid w:val="00757590"/>
    <w:rsid w:val="007605CF"/>
    <w:rsid w:val="007652CE"/>
    <w:rsid w:val="00765936"/>
    <w:rsid w:val="00767D95"/>
    <w:rsid w:val="0077416A"/>
    <w:rsid w:val="00774447"/>
    <w:rsid w:val="007821CF"/>
    <w:rsid w:val="00783DAC"/>
    <w:rsid w:val="00784500"/>
    <w:rsid w:val="00785112"/>
    <w:rsid w:val="00786700"/>
    <w:rsid w:val="007878B9"/>
    <w:rsid w:val="00792411"/>
    <w:rsid w:val="00792ED0"/>
    <w:rsid w:val="007931BC"/>
    <w:rsid w:val="00793646"/>
    <w:rsid w:val="0079521E"/>
    <w:rsid w:val="00796071"/>
    <w:rsid w:val="007A00F8"/>
    <w:rsid w:val="007A1510"/>
    <w:rsid w:val="007A4D97"/>
    <w:rsid w:val="007A500E"/>
    <w:rsid w:val="007A768C"/>
    <w:rsid w:val="007B2CAC"/>
    <w:rsid w:val="007B44FB"/>
    <w:rsid w:val="007B5DFE"/>
    <w:rsid w:val="007C0E38"/>
    <w:rsid w:val="007C18E3"/>
    <w:rsid w:val="007C4B11"/>
    <w:rsid w:val="007C4E08"/>
    <w:rsid w:val="007D2E16"/>
    <w:rsid w:val="007D2F4C"/>
    <w:rsid w:val="007D3DFF"/>
    <w:rsid w:val="007D3F38"/>
    <w:rsid w:val="007D4DB8"/>
    <w:rsid w:val="007E2197"/>
    <w:rsid w:val="007E3304"/>
    <w:rsid w:val="007F1E48"/>
    <w:rsid w:val="007F4605"/>
    <w:rsid w:val="007F6C7D"/>
    <w:rsid w:val="00802368"/>
    <w:rsid w:val="008026F6"/>
    <w:rsid w:val="00803F84"/>
    <w:rsid w:val="00806070"/>
    <w:rsid w:val="00806EE8"/>
    <w:rsid w:val="008075EF"/>
    <w:rsid w:val="00811D89"/>
    <w:rsid w:val="00814500"/>
    <w:rsid w:val="00822F77"/>
    <w:rsid w:val="00833AF7"/>
    <w:rsid w:val="00834023"/>
    <w:rsid w:val="00835579"/>
    <w:rsid w:val="00836F9B"/>
    <w:rsid w:val="00837E7D"/>
    <w:rsid w:val="00844106"/>
    <w:rsid w:val="00844B27"/>
    <w:rsid w:val="00844D29"/>
    <w:rsid w:val="00846195"/>
    <w:rsid w:val="00846FA0"/>
    <w:rsid w:val="008479B6"/>
    <w:rsid w:val="0086002F"/>
    <w:rsid w:val="00863758"/>
    <w:rsid w:val="00863F9D"/>
    <w:rsid w:val="008645F9"/>
    <w:rsid w:val="0086628A"/>
    <w:rsid w:val="00871279"/>
    <w:rsid w:val="00872913"/>
    <w:rsid w:val="00873F82"/>
    <w:rsid w:val="00880CA5"/>
    <w:rsid w:val="008817B1"/>
    <w:rsid w:val="008834BB"/>
    <w:rsid w:val="008840FA"/>
    <w:rsid w:val="008846D2"/>
    <w:rsid w:val="00890F95"/>
    <w:rsid w:val="0089311A"/>
    <w:rsid w:val="008946C3"/>
    <w:rsid w:val="008948E0"/>
    <w:rsid w:val="0089528C"/>
    <w:rsid w:val="008A1E39"/>
    <w:rsid w:val="008B034D"/>
    <w:rsid w:val="008B0BBC"/>
    <w:rsid w:val="008B2477"/>
    <w:rsid w:val="008B27BE"/>
    <w:rsid w:val="008B4153"/>
    <w:rsid w:val="008B5356"/>
    <w:rsid w:val="008B7183"/>
    <w:rsid w:val="008B7927"/>
    <w:rsid w:val="008C5E78"/>
    <w:rsid w:val="008C6AD1"/>
    <w:rsid w:val="008C71B5"/>
    <w:rsid w:val="008D6F1D"/>
    <w:rsid w:val="008E1174"/>
    <w:rsid w:val="008E3A9C"/>
    <w:rsid w:val="008E431F"/>
    <w:rsid w:val="008E5E12"/>
    <w:rsid w:val="008F0D2A"/>
    <w:rsid w:val="008F12D4"/>
    <w:rsid w:val="008F17A0"/>
    <w:rsid w:val="008F23EF"/>
    <w:rsid w:val="008F386F"/>
    <w:rsid w:val="008F48E1"/>
    <w:rsid w:val="008F5BD0"/>
    <w:rsid w:val="009003FE"/>
    <w:rsid w:val="00903C95"/>
    <w:rsid w:val="009046D4"/>
    <w:rsid w:val="0091058D"/>
    <w:rsid w:val="00913858"/>
    <w:rsid w:val="00913A0F"/>
    <w:rsid w:val="00914959"/>
    <w:rsid w:val="00915CE6"/>
    <w:rsid w:val="009168A1"/>
    <w:rsid w:val="009235EB"/>
    <w:rsid w:val="00924681"/>
    <w:rsid w:val="0092622E"/>
    <w:rsid w:val="00930877"/>
    <w:rsid w:val="00932953"/>
    <w:rsid w:val="00935AC2"/>
    <w:rsid w:val="00940E51"/>
    <w:rsid w:val="00945CB0"/>
    <w:rsid w:val="00950CFF"/>
    <w:rsid w:val="00951188"/>
    <w:rsid w:val="00953425"/>
    <w:rsid w:val="00955CBA"/>
    <w:rsid w:val="00960F2F"/>
    <w:rsid w:val="009634F6"/>
    <w:rsid w:val="00963B5E"/>
    <w:rsid w:val="00963FA0"/>
    <w:rsid w:val="0096491F"/>
    <w:rsid w:val="00974E95"/>
    <w:rsid w:val="00975F2D"/>
    <w:rsid w:val="0097679E"/>
    <w:rsid w:val="00977BF5"/>
    <w:rsid w:val="0098302D"/>
    <w:rsid w:val="00983452"/>
    <w:rsid w:val="009861DE"/>
    <w:rsid w:val="00986BAF"/>
    <w:rsid w:val="00987608"/>
    <w:rsid w:val="009943A0"/>
    <w:rsid w:val="009953BC"/>
    <w:rsid w:val="009963D2"/>
    <w:rsid w:val="009A0568"/>
    <w:rsid w:val="009A0AF9"/>
    <w:rsid w:val="009A16BE"/>
    <w:rsid w:val="009A2337"/>
    <w:rsid w:val="009A2E00"/>
    <w:rsid w:val="009A355A"/>
    <w:rsid w:val="009A5CE8"/>
    <w:rsid w:val="009A7B5A"/>
    <w:rsid w:val="009A7F79"/>
    <w:rsid w:val="009B04A3"/>
    <w:rsid w:val="009B2BDC"/>
    <w:rsid w:val="009B5F5D"/>
    <w:rsid w:val="009B6201"/>
    <w:rsid w:val="009B73BA"/>
    <w:rsid w:val="009C10D9"/>
    <w:rsid w:val="009C425A"/>
    <w:rsid w:val="009C5CA7"/>
    <w:rsid w:val="009D03A5"/>
    <w:rsid w:val="009D03F8"/>
    <w:rsid w:val="009D1DF4"/>
    <w:rsid w:val="009D7A24"/>
    <w:rsid w:val="009E00E4"/>
    <w:rsid w:val="009E0D20"/>
    <w:rsid w:val="009E0F6B"/>
    <w:rsid w:val="009E2964"/>
    <w:rsid w:val="009E43B3"/>
    <w:rsid w:val="009E5D18"/>
    <w:rsid w:val="009E5ECC"/>
    <w:rsid w:val="009E7DCD"/>
    <w:rsid w:val="009F47DB"/>
    <w:rsid w:val="009F55F9"/>
    <w:rsid w:val="009F5CC0"/>
    <w:rsid w:val="009F67C3"/>
    <w:rsid w:val="009F6F8B"/>
    <w:rsid w:val="009F7164"/>
    <w:rsid w:val="00A02F0A"/>
    <w:rsid w:val="00A1074D"/>
    <w:rsid w:val="00A10E72"/>
    <w:rsid w:val="00A125E7"/>
    <w:rsid w:val="00A127DD"/>
    <w:rsid w:val="00A1392B"/>
    <w:rsid w:val="00A144E2"/>
    <w:rsid w:val="00A14E6C"/>
    <w:rsid w:val="00A167EC"/>
    <w:rsid w:val="00A172E6"/>
    <w:rsid w:val="00A24C8D"/>
    <w:rsid w:val="00A26F15"/>
    <w:rsid w:val="00A27438"/>
    <w:rsid w:val="00A30E37"/>
    <w:rsid w:val="00A32560"/>
    <w:rsid w:val="00A35CF8"/>
    <w:rsid w:val="00A360E7"/>
    <w:rsid w:val="00A400FB"/>
    <w:rsid w:val="00A42B11"/>
    <w:rsid w:val="00A443D1"/>
    <w:rsid w:val="00A456B3"/>
    <w:rsid w:val="00A47BFE"/>
    <w:rsid w:val="00A51808"/>
    <w:rsid w:val="00A51917"/>
    <w:rsid w:val="00A51D78"/>
    <w:rsid w:val="00A51EA8"/>
    <w:rsid w:val="00A549C3"/>
    <w:rsid w:val="00A561A8"/>
    <w:rsid w:val="00A562A6"/>
    <w:rsid w:val="00A7007B"/>
    <w:rsid w:val="00A71623"/>
    <w:rsid w:val="00A81E0D"/>
    <w:rsid w:val="00A84B87"/>
    <w:rsid w:val="00A84D4B"/>
    <w:rsid w:val="00A8533B"/>
    <w:rsid w:val="00A8592D"/>
    <w:rsid w:val="00A90D08"/>
    <w:rsid w:val="00A93FFF"/>
    <w:rsid w:val="00A95746"/>
    <w:rsid w:val="00A96D45"/>
    <w:rsid w:val="00A973EE"/>
    <w:rsid w:val="00AA18DD"/>
    <w:rsid w:val="00AA1F91"/>
    <w:rsid w:val="00AA58C7"/>
    <w:rsid w:val="00AA5CE1"/>
    <w:rsid w:val="00AA77E5"/>
    <w:rsid w:val="00AB24B5"/>
    <w:rsid w:val="00AB2D9E"/>
    <w:rsid w:val="00AB3BE3"/>
    <w:rsid w:val="00AB4404"/>
    <w:rsid w:val="00AC0A10"/>
    <w:rsid w:val="00AC21EE"/>
    <w:rsid w:val="00AC3B22"/>
    <w:rsid w:val="00AC4101"/>
    <w:rsid w:val="00AC5597"/>
    <w:rsid w:val="00AD0116"/>
    <w:rsid w:val="00AD0879"/>
    <w:rsid w:val="00AD1B42"/>
    <w:rsid w:val="00AD34B2"/>
    <w:rsid w:val="00AD4B84"/>
    <w:rsid w:val="00AE08CB"/>
    <w:rsid w:val="00AE23BE"/>
    <w:rsid w:val="00AE5772"/>
    <w:rsid w:val="00AF0102"/>
    <w:rsid w:val="00AF0AC0"/>
    <w:rsid w:val="00AF1A61"/>
    <w:rsid w:val="00AF2B65"/>
    <w:rsid w:val="00AF4CA9"/>
    <w:rsid w:val="00AF5B52"/>
    <w:rsid w:val="00AF7775"/>
    <w:rsid w:val="00AF7F49"/>
    <w:rsid w:val="00B008BF"/>
    <w:rsid w:val="00B01E9B"/>
    <w:rsid w:val="00B0397A"/>
    <w:rsid w:val="00B07460"/>
    <w:rsid w:val="00B16978"/>
    <w:rsid w:val="00B16BE4"/>
    <w:rsid w:val="00B17EBB"/>
    <w:rsid w:val="00B24A6F"/>
    <w:rsid w:val="00B2535F"/>
    <w:rsid w:val="00B278DB"/>
    <w:rsid w:val="00B30D4F"/>
    <w:rsid w:val="00B32FD1"/>
    <w:rsid w:val="00B3434E"/>
    <w:rsid w:val="00B351FD"/>
    <w:rsid w:val="00B35BFD"/>
    <w:rsid w:val="00B421F2"/>
    <w:rsid w:val="00B42822"/>
    <w:rsid w:val="00B42C54"/>
    <w:rsid w:val="00B4395A"/>
    <w:rsid w:val="00B4553E"/>
    <w:rsid w:val="00B46773"/>
    <w:rsid w:val="00B47091"/>
    <w:rsid w:val="00B47E14"/>
    <w:rsid w:val="00B50165"/>
    <w:rsid w:val="00B520BF"/>
    <w:rsid w:val="00B54256"/>
    <w:rsid w:val="00B545F4"/>
    <w:rsid w:val="00B56303"/>
    <w:rsid w:val="00B64F62"/>
    <w:rsid w:val="00B66898"/>
    <w:rsid w:val="00B7164C"/>
    <w:rsid w:val="00B807AB"/>
    <w:rsid w:val="00B80958"/>
    <w:rsid w:val="00B80F53"/>
    <w:rsid w:val="00B82E26"/>
    <w:rsid w:val="00B82E8A"/>
    <w:rsid w:val="00B82FAA"/>
    <w:rsid w:val="00B86F15"/>
    <w:rsid w:val="00B929FF"/>
    <w:rsid w:val="00B95FBC"/>
    <w:rsid w:val="00B97C44"/>
    <w:rsid w:val="00BA05AE"/>
    <w:rsid w:val="00BA2FA3"/>
    <w:rsid w:val="00BA4587"/>
    <w:rsid w:val="00BA6418"/>
    <w:rsid w:val="00BA7D18"/>
    <w:rsid w:val="00BB3A8F"/>
    <w:rsid w:val="00BC2A83"/>
    <w:rsid w:val="00BD0D15"/>
    <w:rsid w:val="00BD5425"/>
    <w:rsid w:val="00BE1638"/>
    <w:rsid w:val="00BF0332"/>
    <w:rsid w:val="00BF17F6"/>
    <w:rsid w:val="00BF5FCC"/>
    <w:rsid w:val="00C05BB1"/>
    <w:rsid w:val="00C069A2"/>
    <w:rsid w:val="00C069EC"/>
    <w:rsid w:val="00C14A2B"/>
    <w:rsid w:val="00C15B84"/>
    <w:rsid w:val="00C17416"/>
    <w:rsid w:val="00C1748F"/>
    <w:rsid w:val="00C17C7D"/>
    <w:rsid w:val="00C221D5"/>
    <w:rsid w:val="00C2280A"/>
    <w:rsid w:val="00C2652B"/>
    <w:rsid w:val="00C30598"/>
    <w:rsid w:val="00C45C85"/>
    <w:rsid w:val="00C462FB"/>
    <w:rsid w:val="00C533E6"/>
    <w:rsid w:val="00C55E52"/>
    <w:rsid w:val="00C56730"/>
    <w:rsid w:val="00C6024F"/>
    <w:rsid w:val="00C60CE3"/>
    <w:rsid w:val="00C63D95"/>
    <w:rsid w:val="00C64B94"/>
    <w:rsid w:val="00C670DF"/>
    <w:rsid w:val="00C67AFD"/>
    <w:rsid w:val="00C70672"/>
    <w:rsid w:val="00C715AF"/>
    <w:rsid w:val="00C71EAB"/>
    <w:rsid w:val="00C71FFE"/>
    <w:rsid w:val="00C739BF"/>
    <w:rsid w:val="00C76C24"/>
    <w:rsid w:val="00C80E3F"/>
    <w:rsid w:val="00C84B42"/>
    <w:rsid w:val="00C90663"/>
    <w:rsid w:val="00C93DCA"/>
    <w:rsid w:val="00CA071B"/>
    <w:rsid w:val="00CA5466"/>
    <w:rsid w:val="00CA734B"/>
    <w:rsid w:val="00CB0475"/>
    <w:rsid w:val="00CB2C4F"/>
    <w:rsid w:val="00CB350E"/>
    <w:rsid w:val="00CB3583"/>
    <w:rsid w:val="00CB6A8C"/>
    <w:rsid w:val="00CC34FF"/>
    <w:rsid w:val="00CC44F0"/>
    <w:rsid w:val="00CD0026"/>
    <w:rsid w:val="00CD0E5B"/>
    <w:rsid w:val="00CD0FE9"/>
    <w:rsid w:val="00CD396E"/>
    <w:rsid w:val="00CD5104"/>
    <w:rsid w:val="00CD6046"/>
    <w:rsid w:val="00CD778D"/>
    <w:rsid w:val="00CE06A5"/>
    <w:rsid w:val="00CE202E"/>
    <w:rsid w:val="00CE2229"/>
    <w:rsid w:val="00CE374E"/>
    <w:rsid w:val="00CE3EA3"/>
    <w:rsid w:val="00CE698D"/>
    <w:rsid w:val="00CE7FA2"/>
    <w:rsid w:val="00CF0534"/>
    <w:rsid w:val="00CF164A"/>
    <w:rsid w:val="00CF2D06"/>
    <w:rsid w:val="00CF3FF0"/>
    <w:rsid w:val="00CF41AF"/>
    <w:rsid w:val="00CF4567"/>
    <w:rsid w:val="00CF53AB"/>
    <w:rsid w:val="00CF6815"/>
    <w:rsid w:val="00D010EA"/>
    <w:rsid w:val="00D04D3D"/>
    <w:rsid w:val="00D11B02"/>
    <w:rsid w:val="00D1202C"/>
    <w:rsid w:val="00D12617"/>
    <w:rsid w:val="00D13A54"/>
    <w:rsid w:val="00D16DDF"/>
    <w:rsid w:val="00D16E24"/>
    <w:rsid w:val="00D20486"/>
    <w:rsid w:val="00D210F0"/>
    <w:rsid w:val="00D228D8"/>
    <w:rsid w:val="00D31439"/>
    <w:rsid w:val="00D33677"/>
    <w:rsid w:val="00D373EC"/>
    <w:rsid w:val="00D4180D"/>
    <w:rsid w:val="00D42875"/>
    <w:rsid w:val="00D42B44"/>
    <w:rsid w:val="00D44A14"/>
    <w:rsid w:val="00D47738"/>
    <w:rsid w:val="00D51A9B"/>
    <w:rsid w:val="00D51D95"/>
    <w:rsid w:val="00D52498"/>
    <w:rsid w:val="00D53EC6"/>
    <w:rsid w:val="00D55A00"/>
    <w:rsid w:val="00D56F77"/>
    <w:rsid w:val="00D61E9F"/>
    <w:rsid w:val="00D62CC8"/>
    <w:rsid w:val="00D6402F"/>
    <w:rsid w:val="00D7047A"/>
    <w:rsid w:val="00D719E9"/>
    <w:rsid w:val="00D72225"/>
    <w:rsid w:val="00D723CB"/>
    <w:rsid w:val="00D728DF"/>
    <w:rsid w:val="00D73550"/>
    <w:rsid w:val="00D75B30"/>
    <w:rsid w:val="00D838F7"/>
    <w:rsid w:val="00D8479E"/>
    <w:rsid w:val="00D868F1"/>
    <w:rsid w:val="00D87EFF"/>
    <w:rsid w:val="00D9003F"/>
    <w:rsid w:val="00D90D19"/>
    <w:rsid w:val="00D91AE6"/>
    <w:rsid w:val="00D92384"/>
    <w:rsid w:val="00D941E0"/>
    <w:rsid w:val="00D95566"/>
    <w:rsid w:val="00D95840"/>
    <w:rsid w:val="00DA554C"/>
    <w:rsid w:val="00DA5F07"/>
    <w:rsid w:val="00DB2EE4"/>
    <w:rsid w:val="00DB42FB"/>
    <w:rsid w:val="00DB548E"/>
    <w:rsid w:val="00DB76B0"/>
    <w:rsid w:val="00DB7AEE"/>
    <w:rsid w:val="00DC3912"/>
    <w:rsid w:val="00DC39C4"/>
    <w:rsid w:val="00DC4568"/>
    <w:rsid w:val="00DD0941"/>
    <w:rsid w:val="00DD1C47"/>
    <w:rsid w:val="00DD6B5E"/>
    <w:rsid w:val="00DE4BF6"/>
    <w:rsid w:val="00DE69D0"/>
    <w:rsid w:val="00DE7070"/>
    <w:rsid w:val="00DE77A3"/>
    <w:rsid w:val="00DF02F6"/>
    <w:rsid w:val="00DF21B8"/>
    <w:rsid w:val="00DF31EE"/>
    <w:rsid w:val="00DF3395"/>
    <w:rsid w:val="00DF3B86"/>
    <w:rsid w:val="00DF7681"/>
    <w:rsid w:val="00E02D36"/>
    <w:rsid w:val="00E03431"/>
    <w:rsid w:val="00E04E43"/>
    <w:rsid w:val="00E0522F"/>
    <w:rsid w:val="00E05E74"/>
    <w:rsid w:val="00E10764"/>
    <w:rsid w:val="00E149CE"/>
    <w:rsid w:val="00E1695B"/>
    <w:rsid w:val="00E16AC4"/>
    <w:rsid w:val="00E17C58"/>
    <w:rsid w:val="00E2178D"/>
    <w:rsid w:val="00E23958"/>
    <w:rsid w:val="00E23AD4"/>
    <w:rsid w:val="00E23BEC"/>
    <w:rsid w:val="00E23EC3"/>
    <w:rsid w:val="00E24E4D"/>
    <w:rsid w:val="00E2618B"/>
    <w:rsid w:val="00E267F1"/>
    <w:rsid w:val="00E34E2E"/>
    <w:rsid w:val="00E42B2F"/>
    <w:rsid w:val="00E5030D"/>
    <w:rsid w:val="00E528AF"/>
    <w:rsid w:val="00E53131"/>
    <w:rsid w:val="00E5518E"/>
    <w:rsid w:val="00E56222"/>
    <w:rsid w:val="00E566D8"/>
    <w:rsid w:val="00E57743"/>
    <w:rsid w:val="00E577C9"/>
    <w:rsid w:val="00E62D24"/>
    <w:rsid w:val="00E62DD3"/>
    <w:rsid w:val="00E66D8F"/>
    <w:rsid w:val="00E6742D"/>
    <w:rsid w:val="00E70F07"/>
    <w:rsid w:val="00E71707"/>
    <w:rsid w:val="00E71EF1"/>
    <w:rsid w:val="00E731C6"/>
    <w:rsid w:val="00E740C4"/>
    <w:rsid w:val="00E74686"/>
    <w:rsid w:val="00E74750"/>
    <w:rsid w:val="00E76686"/>
    <w:rsid w:val="00E80520"/>
    <w:rsid w:val="00E81BD0"/>
    <w:rsid w:val="00E83C98"/>
    <w:rsid w:val="00E840FE"/>
    <w:rsid w:val="00E8414B"/>
    <w:rsid w:val="00E84DBD"/>
    <w:rsid w:val="00E9128A"/>
    <w:rsid w:val="00E91C15"/>
    <w:rsid w:val="00E930A5"/>
    <w:rsid w:val="00E943E8"/>
    <w:rsid w:val="00E945CE"/>
    <w:rsid w:val="00E94FAF"/>
    <w:rsid w:val="00E950C9"/>
    <w:rsid w:val="00EA0528"/>
    <w:rsid w:val="00EA347E"/>
    <w:rsid w:val="00EA3D0B"/>
    <w:rsid w:val="00EA4E02"/>
    <w:rsid w:val="00EA6276"/>
    <w:rsid w:val="00EB048C"/>
    <w:rsid w:val="00EB0F0B"/>
    <w:rsid w:val="00EB1A57"/>
    <w:rsid w:val="00EB2C67"/>
    <w:rsid w:val="00EB367C"/>
    <w:rsid w:val="00EB43BA"/>
    <w:rsid w:val="00EB46D0"/>
    <w:rsid w:val="00EB4700"/>
    <w:rsid w:val="00EB7F72"/>
    <w:rsid w:val="00EC4357"/>
    <w:rsid w:val="00EC49A4"/>
    <w:rsid w:val="00EC4EF3"/>
    <w:rsid w:val="00ED20C9"/>
    <w:rsid w:val="00ED21EE"/>
    <w:rsid w:val="00ED37E1"/>
    <w:rsid w:val="00ED3B31"/>
    <w:rsid w:val="00ED415A"/>
    <w:rsid w:val="00ED4EC4"/>
    <w:rsid w:val="00ED6C04"/>
    <w:rsid w:val="00EE2315"/>
    <w:rsid w:val="00EE4094"/>
    <w:rsid w:val="00EE436B"/>
    <w:rsid w:val="00EE4D57"/>
    <w:rsid w:val="00EE53FF"/>
    <w:rsid w:val="00EE5E83"/>
    <w:rsid w:val="00EE7092"/>
    <w:rsid w:val="00EF2F5C"/>
    <w:rsid w:val="00EF7590"/>
    <w:rsid w:val="00F01CAA"/>
    <w:rsid w:val="00F024CA"/>
    <w:rsid w:val="00F0354F"/>
    <w:rsid w:val="00F1013F"/>
    <w:rsid w:val="00F107A6"/>
    <w:rsid w:val="00F10A99"/>
    <w:rsid w:val="00F138A2"/>
    <w:rsid w:val="00F154EB"/>
    <w:rsid w:val="00F20632"/>
    <w:rsid w:val="00F232F1"/>
    <w:rsid w:val="00F23738"/>
    <w:rsid w:val="00F30846"/>
    <w:rsid w:val="00F30CAB"/>
    <w:rsid w:val="00F32479"/>
    <w:rsid w:val="00F327DF"/>
    <w:rsid w:val="00F33121"/>
    <w:rsid w:val="00F332CB"/>
    <w:rsid w:val="00F33769"/>
    <w:rsid w:val="00F36DEB"/>
    <w:rsid w:val="00F406FD"/>
    <w:rsid w:val="00F414D0"/>
    <w:rsid w:val="00F47D9D"/>
    <w:rsid w:val="00F50558"/>
    <w:rsid w:val="00F50A8E"/>
    <w:rsid w:val="00F55847"/>
    <w:rsid w:val="00F57142"/>
    <w:rsid w:val="00F5756D"/>
    <w:rsid w:val="00F630A2"/>
    <w:rsid w:val="00F652AB"/>
    <w:rsid w:val="00F65942"/>
    <w:rsid w:val="00F72AA0"/>
    <w:rsid w:val="00F76A40"/>
    <w:rsid w:val="00F80C07"/>
    <w:rsid w:val="00F8129B"/>
    <w:rsid w:val="00F83B50"/>
    <w:rsid w:val="00F8525A"/>
    <w:rsid w:val="00F87264"/>
    <w:rsid w:val="00F908E9"/>
    <w:rsid w:val="00FA56D6"/>
    <w:rsid w:val="00FA595F"/>
    <w:rsid w:val="00FA6C24"/>
    <w:rsid w:val="00FB651A"/>
    <w:rsid w:val="00FC0CB3"/>
    <w:rsid w:val="00FC2999"/>
    <w:rsid w:val="00FC765F"/>
    <w:rsid w:val="00FD1861"/>
    <w:rsid w:val="00FD3721"/>
    <w:rsid w:val="00FD5375"/>
    <w:rsid w:val="00FD61A3"/>
    <w:rsid w:val="00FD66C9"/>
    <w:rsid w:val="00FD79F6"/>
    <w:rsid w:val="00FE0371"/>
    <w:rsid w:val="00FE1258"/>
    <w:rsid w:val="00FE2600"/>
    <w:rsid w:val="00FE31D0"/>
    <w:rsid w:val="00FE3581"/>
    <w:rsid w:val="00FE59EC"/>
    <w:rsid w:val="00FE6771"/>
    <w:rsid w:val="00FE7A3F"/>
    <w:rsid w:val="00FF214D"/>
    <w:rsid w:val="00FF4E87"/>
    <w:rsid w:val="00FF5240"/>
    <w:rsid w:val="00FF5C5C"/>
    <w:rsid w:val="00FF66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346796"/>
    <w:pPr>
      <w:jc w:val="center"/>
    </w:pPr>
    <w:rPr>
      <w:rFonts w:ascii="Arial" w:hAnsi="Arial"/>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346796"/>
    <w:rPr>
      <w:rFonts w:ascii="Arial" w:hAnsi="Arial"/>
      <w:b/>
      <w:bCs/>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paragraph" w:customStyle="1" w:styleId="Default">
    <w:name w:val="Default"/>
    <w:rsid w:val="00433695"/>
    <w:pPr>
      <w:autoSpaceDE w:val="0"/>
      <w:autoSpaceDN w:val="0"/>
      <w:adjustRightInd w:val="0"/>
    </w:pPr>
    <w:rPr>
      <w:color w:val="000000"/>
      <w:sz w:val="24"/>
      <w:szCs w:val="24"/>
    </w:rPr>
  </w:style>
  <w:style w:type="character" w:customStyle="1" w:styleId="Heading2Char">
    <w:name w:val="Heading 2 Char"/>
    <w:link w:val="Heading2"/>
    <w:rsid w:val="00E62D24"/>
    <w:rPr>
      <w:rFonts w:ascii="Arial" w:hAnsi="Arial" w:cs="Arial"/>
      <w:b/>
      <w:bCs/>
      <w:i/>
      <w:iCs/>
      <w:sz w:val="28"/>
      <w:szCs w:val="28"/>
    </w:rPr>
  </w:style>
  <w:style w:type="character" w:customStyle="1" w:styleId="EndnoteTextChar">
    <w:name w:val="Endnote Text Char"/>
    <w:basedOn w:val="DefaultParagraphFont"/>
    <w:link w:val="EndnoteText"/>
    <w:locked/>
    <w:rsid w:val="002A297C"/>
  </w:style>
  <w:style w:type="paragraph" w:styleId="Revision">
    <w:name w:val="Revision"/>
    <w:hidden/>
    <w:uiPriority w:val="99"/>
    <w:semiHidden/>
    <w:rsid w:val="001C6598"/>
    <w:rPr>
      <w:sz w:val="24"/>
      <w:szCs w:val="24"/>
    </w:rPr>
  </w:style>
  <w:style w:type="paragraph" w:styleId="ListParagraph">
    <w:name w:val="List Paragraph"/>
    <w:basedOn w:val="Normal"/>
    <w:uiPriority w:val="34"/>
    <w:qFormat/>
    <w:rsid w:val="00F83B50"/>
    <w:pPr>
      <w:ind w:left="720"/>
      <w:contextualSpacing/>
    </w:pPr>
  </w:style>
  <w:style w:type="character" w:customStyle="1" w:styleId="breadcrumbs">
    <w:name w:val="breadcrumbs"/>
    <w:rsid w:val="00D90D19"/>
  </w:style>
  <w:style w:type="character" w:styleId="LineNumber">
    <w:name w:val="line number"/>
    <w:basedOn w:val="DefaultParagraphFont"/>
    <w:rsid w:val="00121ADD"/>
  </w:style>
  <w:style w:type="character" w:customStyle="1" w:styleId="FooterChar">
    <w:name w:val="Footer Char"/>
    <w:link w:val="Footer"/>
    <w:uiPriority w:val="99"/>
    <w:rsid w:val="00121ADD"/>
    <w:rPr>
      <w:sz w:val="24"/>
      <w:szCs w:val="24"/>
    </w:rPr>
  </w:style>
  <w:style w:type="character" w:styleId="Strong">
    <w:name w:val="Strong"/>
    <w:qFormat/>
    <w:rsid w:val="00513DAC"/>
    <w:rPr>
      <w:rFonts w:ascii="Arial" w:hAnsi="Arial"/>
      <w:b/>
      <w:bCs/>
      <w:sz w:val="22"/>
    </w:rPr>
  </w:style>
  <w:style w:type="table" w:customStyle="1" w:styleId="TableGrid1">
    <w:name w:val="Table Grid1"/>
    <w:basedOn w:val="TableNormal"/>
    <w:next w:val="TableGrid"/>
    <w:rsid w:val="009861DE"/>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346796"/>
    <w:pPr>
      <w:jc w:val="center"/>
    </w:pPr>
    <w:rPr>
      <w:rFonts w:ascii="Arial" w:hAnsi="Arial"/>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346796"/>
    <w:rPr>
      <w:rFonts w:ascii="Arial" w:hAnsi="Arial"/>
      <w:b/>
      <w:bCs/>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paragraph" w:customStyle="1" w:styleId="Default">
    <w:name w:val="Default"/>
    <w:rsid w:val="00433695"/>
    <w:pPr>
      <w:autoSpaceDE w:val="0"/>
      <w:autoSpaceDN w:val="0"/>
      <w:adjustRightInd w:val="0"/>
    </w:pPr>
    <w:rPr>
      <w:color w:val="000000"/>
      <w:sz w:val="24"/>
      <w:szCs w:val="24"/>
    </w:rPr>
  </w:style>
  <w:style w:type="character" w:customStyle="1" w:styleId="Heading2Char">
    <w:name w:val="Heading 2 Char"/>
    <w:link w:val="Heading2"/>
    <w:rsid w:val="00E62D24"/>
    <w:rPr>
      <w:rFonts w:ascii="Arial" w:hAnsi="Arial" w:cs="Arial"/>
      <w:b/>
      <w:bCs/>
      <w:i/>
      <w:iCs/>
      <w:sz w:val="28"/>
      <w:szCs w:val="28"/>
    </w:rPr>
  </w:style>
  <w:style w:type="character" w:customStyle="1" w:styleId="EndnoteTextChar">
    <w:name w:val="Endnote Text Char"/>
    <w:basedOn w:val="DefaultParagraphFont"/>
    <w:link w:val="EndnoteText"/>
    <w:locked/>
    <w:rsid w:val="002A297C"/>
  </w:style>
  <w:style w:type="paragraph" w:styleId="Revision">
    <w:name w:val="Revision"/>
    <w:hidden/>
    <w:uiPriority w:val="99"/>
    <w:semiHidden/>
    <w:rsid w:val="001C6598"/>
    <w:rPr>
      <w:sz w:val="24"/>
      <w:szCs w:val="24"/>
    </w:rPr>
  </w:style>
  <w:style w:type="paragraph" w:styleId="ListParagraph">
    <w:name w:val="List Paragraph"/>
    <w:basedOn w:val="Normal"/>
    <w:uiPriority w:val="34"/>
    <w:qFormat/>
    <w:rsid w:val="00F83B50"/>
    <w:pPr>
      <w:ind w:left="720"/>
      <w:contextualSpacing/>
    </w:pPr>
  </w:style>
  <w:style w:type="character" w:customStyle="1" w:styleId="breadcrumbs">
    <w:name w:val="breadcrumbs"/>
    <w:rsid w:val="00D90D19"/>
  </w:style>
  <w:style w:type="character" w:styleId="LineNumber">
    <w:name w:val="line number"/>
    <w:basedOn w:val="DefaultParagraphFont"/>
    <w:rsid w:val="00121ADD"/>
  </w:style>
  <w:style w:type="character" w:customStyle="1" w:styleId="FooterChar">
    <w:name w:val="Footer Char"/>
    <w:link w:val="Footer"/>
    <w:uiPriority w:val="99"/>
    <w:rsid w:val="00121ADD"/>
    <w:rPr>
      <w:sz w:val="24"/>
      <w:szCs w:val="24"/>
    </w:rPr>
  </w:style>
  <w:style w:type="character" w:styleId="Strong">
    <w:name w:val="Strong"/>
    <w:qFormat/>
    <w:rsid w:val="00513DAC"/>
    <w:rPr>
      <w:rFonts w:ascii="Arial" w:hAnsi="Arial"/>
      <w:b/>
      <w:bCs/>
      <w:sz w:val="22"/>
    </w:rPr>
  </w:style>
  <w:style w:type="table" w:customStyle="1" w:styleId="TableGrid1">
    <w:name w:val="Table Grid1"/>
    <w:basedOn w:val="TableNormal"/>
    <w:next w:val="TableGrid"/>
    <w:rsid w:val="009861DE"/>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84447">
      <w:bodyDiv w:val="1"/>
      <w:marLeft w:val="0"/>
      <w:marRight w:val="0"/>
      <w:marTop w:val="0"/>
      <w:marBottom w:val="0"/>
      <w:divBdr>
        <w:top w:val="none" w:sz="0" w:space="0" w:color="auto"/>
        <w:left w:val="none" w:sz="0" w:space="0" w:color="auto"/>
        <w:bottom w:val="none" w:sz="0" w:space="0" w:color="auto"/>
        <w:right w:val="none" w:sz="0" w:space="0" w:color="auto"/>
      </w:divBdr>
    </w:div>
    <w:div w:id="221914702">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07700313">
      <w:bodyDiv w:val="1"/>
      <w:marLeft w:val="0"/>
      <w:marRight w:val="0"/>
      <w:marTop w:val="0"/>
      <w:marBottom w:val="0"/>
      <w:divBdr>
        <w:top w:val="none" w:sz="0" w:space="0" w:color="auto"/>
        <w:left w:val="none" w:sz="0" w:space="0" w:color="auto"/>
        <w:bottom w:val="none" w:sz="0" w:space="0" w:color="auto"/>
        <w:right w:val="none" w:sz="0" w:space="0" w:color="auto"/>
      </w:divBdr>
    </w:div>
    <w:div w:id="431322682">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24433586">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28110269">
      <w:bodyDiv w:val="1"/>
      <w:marLeft w:val="0"/>
      <w:marRight w:val="0"/>
      <w:marTop w:val="0"/>
      <w:marBottom w:val="0"/>
      <w:divBdr>
        <w:top w:val="none" w:sz="0" w:space="0" w:color="auto"/>
        <w:left w:val="none" w:sz="0" w:space="0" w:color="auto"/>
        <w:bottom w:val="none" w:sz="0" w:space="0" w:color="auto"/>
        <w:right w:val="none" w:sz="0" w:space="0" w:color="auto"/>
      </w:divBdr>
    </w:div>
    <w:div w:id="746152949">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78721416">
      <w:bodyDiv w:val="1"/>
      <w:marLeft w:val="0"/>
      <w:marRight w:val="0"/>
      <w:marTop w:val="0"/>
      <w:marBottom w:val="0"/>
      <w:divBdr>
        <w:top w:val="none" w:sz="0" w:space="0" w:color="auto"/>
        <w:left w:val="none" w:sz="0" w:space="0" w:color="auto"/>
        <w:bottom w:val="none" w:sz="0" w:space="0" w:color="auto"/>
        <w:right w:val="none" w:sz="0" w:space="0" w:color="auto"/>
      </w:divBdr>
    </w:div>
    <w:div w:id="789058909">
      <w:bodyDiv w:val="1"/>
      <w:marLeft w:val="0"/>
      <w:marRight w:val="0"/>
      <w:marTop w:val="0"/>
      <w:marBottom w:val="0"/>
      <w:divBdr>
        <w:top w:val="none" w:sz="0" w:space="0" w:color="auto"/>
        <w:left w:val="none" w:sz="0" w:space="0" w:color="auto"/>
        <w:bottom w:val="none" w:sz="0" w:space="0" w:color="auto"/>
        <w:right w:val="none" w:sz="0" w:space="0" w:color="auto"/>
      </w:divBdr>
    </w:div>
    <w:div w:id="1107430153">
      <w:bodyDiv w:val="1"/>
      <w:marLeft w:val="0"/>
      <w:marRight w:val="0"/>
      <w:marTop w:val="0"/>
      <w:marBottom w:val="0"/>
      <w:divBdr>
        <w:top w:val="none" w:sz="0" w:space="0" w:color="auto"/>
        <w:left w:val="none" w:sz="0" w:space="0" w:color="auto"/>
        <w:bottom w:val="none" w:sz="0" w:space="0" w:color="auto"/>
        <w:right w:val="none" w:sz="0" w:space="0" w:color="auto"/>
      </w:divBdr>
    </w:div>
    <w:div w:id="1211646428">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494681768">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image" Target="media/image3.wmf"/><Relationship Id="rId26" Type="http://schemas.openxmlformats.org/officeDocument/2006/relationships/image" Target="media/image7.wmf"/><Relationship Id="rId39" Type="http://schemas.openxmlformats.org/officeDocument/2006/relationships/oleObject" Target="embeddings/oleObject12.bin"/><Relationship Id="rId3" Type="http://schemas.openxmlformats.org/officeDocument/2006/relationships/customXml" Target="../customXml/item3.xml"/><Relationship Id="rId21" Type="http://schemas.openxmlformats.org/officeDocument/2006/relationships/oleObject" Target="embeddings/oleObject3.bin"/><Relationship Id="rId34" Type="http://schemas.openxmlformats.org/officeDocument/2006/relationships/image" Target="media/image11.wmf"/><Relationship Id="rId42" Type="http://schemas.openxmlformats.org/officeDocument/2006/relationships/image" Target="media/image15.wmf"/><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oleObject" Target="embeddings/oleObject9.bin"/><Relationship Id="rId38" Type="http://schemas.openxmlformats.org/officeDocument/2006/relationships/image" Target="media/image13.wmf"/><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oleObject" Target="embeddings/oleObject7.bin"/><Relationship Id="rId41" Type="http://schemas.openxmlformats.org/officeDocument/2006/relationships/oleObject" Target="embeddings/oleObject1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6.wmf"/><Relationship Id="rId32" Type="http://schemas.openxmlformats.org/officeDocument/2006/relationships/image" Target="media/image10.wmf"/><Relationship Id="rId37" Type="http://schemas.openxmlformats.org/officeDocument/2006/relationships/oleObject" Target="embeddings/oleObject11.bin"/><Relationship Id="rId40" Type="http://schemas.openxmlformats.org/officeDocument/2006/relationships/image" Target="media/image14.wmf"/><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oleObject" Target="embeddings/oleObject4.bin"/><Relationship Id="rId28" Type="http://schemas.openxmlformats.org/officeDocument/2006/relationships/image" Target="media/image8.wmf"/><Relationship Id="rId36" Type="http://schemas.openxmlformats.org/officeDocument/2006/relationships/image" Target="media/image12.wmf"/><Relationship Id="rId10" Type="http://schemas.openxmlformats.org/officeDocument/2006/relationships/footnotes" Target="footnotes.xml"/><Relationship Id="rId19" Type="http://schemas.openxmlformats.org/officeDocument/2006/relationships/oleObject" Target="embeddings/oleObject2.bin"/><Relationship Id="rId31" Type="http://schemas.openxmlformats.org/officeDocument/2006/relationships/oleObject" Target="embeddings/oleObject8.bin"/><Relationship Id="rId44"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eeresources.com" TargetMode="External"/><Relationship Id="rId22" Type="http://schemas.openxmlformats.org/officeDocument/2006/relationships/image" Target="media/image5.wmf"/><Relationship Id="rId27" Type="http://schemas.openxmlformats.org/officeDocument/2006/relationships/oleObject" Target="embeddings/oleObject6.bin"/><Relationship Id="rId30" Type="http://schemas.openxmlformats.org/officeDocument/2006/relationships/image" Target="media/image9.wmf"/><Relationship Id="rId35" Type="http://schemas.openxmlformats.org/officeDocument/2006/relationships/oleObject" Target="embeddings/oleObject10.bin"/><Relationship Id="rId43" Type="http://schemas.openxmlformats.org/officeDocument/2006/relationships/oleObject" Target="embeddings/oleObject14.bin"/></Relationships>
</file>

<file path=word/_rels/endnotes.xml.rels><?xml version="1.0" encoding="UTF-8" standalone="yes"?>
<Relationships xmlns="http://schemas.openxmlformats.org/package/2006/relationships"><Relationship Id="rId3" Type="http://schemas.openxmlformats.org/officeDocument/2006/relationships/hyperlink" Target="http://www.etcc-ca.com/images/stories/ledfreezercasestudy1.pdf" TargetMode="External"/><Relationship Id="rId2" Type="http://schemas.openxmlformats.org/officeDocument/2006/relationships/hyperlink" Target="http://www.deeresources.com/index.php?option=com_content&amp;view=article&amp;id=65&amp;Itemid=57" TargetMode="External"/><Relationship Id="rId1" Type="http://schemas.openxmlformats.org/officeDocument/2006/relationships/hyperlink" Target="http://www.deeresources.com" TargetMode="External"/><Relationship Id="rId4" Type="http://schemas.openxmlformats.org/officeDocument/2006/relationships/hyperlink" Target="http://www.etcc-ca.com/images/stories/pdf/ETCC_Report_46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BF02E1E-F77F-4D29-AD62-560EEE629809}"/>
</file>

<file path=customXml/itemProps2.xml><?xml version="1.0" encoding="utf-8"?>
<ds:datastoreItem xmlns:ds="http://schemas.openxmlformats.org/officeDocument/2006/customXml" ds:itemID="{0D280A6B-5D68-411B-8FF7-88DFD64A4E4A}"/>
</file>

<file path=customXml/itemProps3.xml><?xml version="1.0" encoding="utf-8"?>
<ds:datastoreItem xmlns:ds="http://schemas.openxmlformats.org/officeDocument/2006/customXml" ds:itemID="{F98BBAF0-E325-4EC9-B8A2-631F4F9646CA}"/>
</file>

<file path=customXml/itemProps4.xml><?xml version="1.0" encoding="utf-8"?>
<ds:datastoreItem xmlns:ds="http://schemas.openxmlformats.org/officeDocument/2006/customXml" ds:itemID="{61E83088-74DC-442A-B6C9-A039F308845B}"/>
</file>

<file path=docProps/app.xml><?xml version="1.0" encoding="utf-8"?>
<Properties xmlns="http://schemas.openxmlformats.org/officeDocument/2006/extended-properties" xmlns:vt="http://schemas.openxmlformats.org/officeDocument/2006/docPropsVTypes">
  <Template>SCE Work Paper Template - Final</Template>
  <TotalTime>2</TotalTime>
  <Pages>20</Pages>
  <Words>4714</Words>
  <Characters>26873</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31524</CharactersWithSpaces>
  <SharedDoc>false</SharedDoc>
  <HLinks>
    <vt:vector size="222" baseType="variant">
      <vt:variant>
        <vt:i4>1245232</vt:i4>
      </vt:variant>
      <vt:variant>
        <vt:i4>212</vt:i4>
      </vt:variant>
      <vt:variant>
        <vt:i4>0</vt:i4>
      </vt:variant>
      <vt:variant>
        <vt:i4>5</vt:i4>
      </vt:variant>
      <vt:variant>
        <vt:lpwstr/>
      </vt:variant>
      <vt:variant>
        <vt:lpwstr>_Toc326065331</vt:lpwstr>
      </vt:variant>
      <vt:variant>
        <vt:i4>1245232</vt:i4>
      </vt:variant>
      <vt:variant>
        <vt:i4>206</vt:i4>
      </vt:variant>
      <vt:variant>
        <vt:i4>0</vt:i4>
      </vt:variant>
      <vt:variant>
        <vt:i4>5</vt:i4>
      </vt:variant>
      <vt:variant>
        <vt:lpwstr/>
      </vt:variant>
      <vt:variant>
        <vt:lpwstr>_Toc326065330</vt:lpwstr>
      </vt:variant>
      <vt:variant>
        <vt:i4>1179696</vt:i4>
      </vt:variant>
      <vt:variant>
        <vt:i4>200</vt:i4>
      </vt:variant>
      <vt:variant>
        <vt:i4>0</vt:i4>
      </vt:variant>
      <vt:variant>
        <vt:i4>5</vt:i4>
      </vt:variant>
      <vt:variant>
        <vt:lpwstr/>
      </vt:variant>
      <vt:variant>
        <vt:lpwstr>_Toc326065329</vt:lpwstr>
      </vt:variant>
      <vt:variant>
        <vt:i4>1179696</vt:i4>
      </vt:variant>
      <vt:variant>
        <vt:i4>194</vt:i4>
      </vt:variant>
      <vt:variant>
        <vt:i4>0</vt:i4>
      </vt:variant>
      <vt:variant>
        <vt:i4>5</vt:i4>
      </vt:variant>
      <vt:variant>
        <vt:lpwstr/>
      </vt:variant>
      <vt:variant>
        <vt:lpwstr>_Toc326065328</vt:lpwstr>
      </vt:variant>
      <vt:variant>
        <vt:i4>1179696</vt:i4>
      </vt:variant>
      <vt:variant>
        <vt:i4>188</vt:i4>
      </vt:variant>
      <vt:variant>
        <vt:i4>0</vt:i4>
      </vt:variant>
      <vt:variant>
        <vt:i4>5</vt:i4>
      </vt:variant>
      <vt:variant>
        <vt:lpwstr/>
      </vt:variant>
      <vt:variant>
        <vt:lpwstr>_Toc326065327</vt:lpwstr>
      </vt:variant>
      <vt:variant>
        <vt:i4>1179696</vt:i4>
      </vt:variant>
      <vt:variant>
        <vt:i4>182</vt:i4>
      </vt:variant>
      <vt:variant>
        <vt:i4>0</vt:i4>
      </vt:variant>
      <vt:variant>
        <vt:i4>5</vt:i4>
      </vt:variant>
      <vt:variant>
        <vt:lpwstr/>
      </vt:variant>
      <vt:variant>
        <vt:lpwstr>_Toc326065326</vt:lpwstr>
      </vt:variant>
      <vt:variant>
        <vt:i4>1179696</vt:i4>
      </vt:variant>
      <vt:variant>
        <vt:i4>176</vt:i4>
      </vt:variant>
      <vt:variant>
        <vt:i4>0</vt:i4>
      </vt:variant>
      <vt:variant>
        <vt:i4>5</vt:i4>
      </vt:variant>
      <vt:variant>
        <vt:lpwstr/>
      </vt:variant>
      <vt:variant>
        <vt:lpwstr>_Toc326065325</vt:lpwstr>
      </vt:variant>
      <vt:variant>
        <vt:i4>1179696</vt:i4>
      </vt:variant>
      <vt:variant>
        <vt:i4>170</vt:i4>
      </vt:variant>
      <vt:variant>
        <vt:i4>0</vt:i4>
      </vt:variant>
      <vt:variant>
        <vt:i4>5</vt:i4>
      </vt:variant>
      <vt:variant>
        <vt:lpwstr/>
      </vt:variant>
      <vt:variant>
        <vt:lpwstr>_Toc326065324</vt:lpwstr>
      </vt:variant>
      <vt:variant>
        <vt:i4>1179696</vt:i4>
      </vt:variant>
      <vt:variant>
        <vt:i4>164</vt:i4>
      </vt:variant>
      <vt:variant>
        <vt:i4>0</vt:i4>
      </vt:variant>
      <vt:variant>
        <vt:i4>5</vt:i4>
      </vt:variant>
      <vt:variant>
        <vt:lpwstr/>
      </vt:variant>
      <vt:variant>
        <vt:lpwstr>_Toc326065323</vt:lpwstr>
      </vt:variant>
      <vt:variant>
        <vt:i4>1179696</vt:i4>
      </vt:variant>
      <vt:variant>
        <vt:i4>158</vt:i4>
      </vt:variant>
      <vt:variant>
        <vt:i4>0</vt:i4>
      </vt:variant>
      <vt:variant>
        <vt:i4>5</vt:i4>
      </vt:variant>
      <vt:variant>
        <vt:lpwstr/>
      </vt:variant>
      <vt:variant>
        <vt:lpwstr>_Toc326065322</vt:lpwstr>
      </vt:variant>
      <vt:variant>
        <vt:i4>1179696</vt:i4>
      </vt:variant>
      <vt:variant>
        <vt:i4>152</vt:i4>
      </vt:variant>
      <vt:variant>
        <vt:i4>0</vt:i4>
      </vt:variant>
      <vt:variant>
        <vt:i4>5</vt:i4>
      </vt:variant>
      <vt:variant>
        <vt:lpwstr/>
      </vt:variant>
      <vt:variant>
        <vt:lpwstr>_Toc326065321</vt:lpwstr>
      </vt:variant>
      <vt:variant>
        <vt:i4>1179696</vt:i4>
      </vt:variant>
      <vt:variant>
        <vt:i4>146</vt:i4>
      </vt:variant>
      <vt:variant>
        <vt:i4>0</vt:i4>
      </vt:variant>
      <vt:variant>
        <vt:i4>5</vt:i4>
      </vt:variant>
      <vt:variant>
        <vt:lpwstr/>
      </vt:variant>
      <vt:variant>
        <vt:lpwstr>_Toc326065320</vt:lpwstr>
      </vt:variant>
      <vt:variant>
        <vt:i4>1114160</vt:i4>
      </vt:variant>
      <vt:variant>
        <vt:i4>140</vt:i4>
      </vt:variant>
      <vt:variant>
        <vt:i4>0</vt:i4>
      </vt:variant>
      <vt:variant>
        <vt:i4>5</vt:i4>
      </vt:variant>
      <vt:variant>
        <vt:lpwstr/>
      </vt:variant>
      <vt:variant>
        <vt:lpwstr>_Toc326065319</vt:lpwstr>
      </vt:variant>
      <vt:variant>
        <vt:i4>1114160</vt:i4>
      </vt:variant>
      <vt:variant>
        <vt:i4>134</vt:i4>
      </vt:variant>
      <vt:variant>
        <vt:i4>0</vt:i4>
      </vt:variant>
      <vt:variant>
        <vt:i4>5</vt:i4>
      </vt:variant>
      <vt:variant>
        <vt:lpwstr/>
      </vt:variant>
      <vt:variant>
        <vt:lpwstr>_Toc326065318</vt:lpwstr>
      </vt:variant>
      <vt:variant>
        <vt:i4>1114160</vt:i4>
      </vt:variant>
      <vt:variant>
        <vt:i4>128</vt:i4>
      </vt:variant>
      <vt:variant>
        <vt:i4>0</vt:i4>
      </vt:variant>
      <vt:variant>
        <vt:i4>5</vt:i4>
      </vt:variant>
      <vt:variant>
        <vt:lpwstr/>
      </vt:variant>
      <vt:variant>
        <vt:lpwstr>_Toc326065317</vt:lpwstr>
      </vt:variant>
      <vt:variant>
        <vt:i4>1114160</vt:i4>
      </vt:variant>
      <vt:variant>
        <vt:i4>122</vt:i4>
      </vt:variant>
      <vt:variant>
        <vt:i4>0</vt:i4>
      </vt:variant>
      <vt:variant>
        <vt:i4>5</vt:i4>
      </vt:variant>
      <vt:variant>
        <vt:lpwstr/>
      </vt:variant>
      <vt:variant>
        <vt:lpwstr>_Toc326065316</vt:lpwstr>
      </vt:variant>
      <vt:variant>
        <vt:i4>1114160</vt:i4>
      </vt:variant>
      <vt:variant>
        <vt:i4>116</vt:i4>
      </vt:variant>
      <vt:variant>
        <vt:i4>0</vt:i4>
      </vt:variant>
      <vt:variant>
        <vt:i4>5</vt:i4>
      </vt:variant>
      <vt:variant>
        <vt:lpwstr/>
      </vt:variant>
      <vt:variant>
        <vt:lpwstr>_Toc326065315</vt:lpwstr>
      </vt:variant>
      <vt:variant>
        <vt:i4>1114160</vt:i4>
      </vt:variant>
      <vt:variant>
        <vt:i4>110</vt:i4>
      </vt:variant>
      <vt:variant>
        <vt:i4>0</vt:i4>
      </vt:variant>
      <vt:variant>
        <vt:i4>5</vt:i4>
      </vt:variant>
      <vt:variant>
        <vt:lpwstr/>
      </vt:variant>
      <vt:variant>
        <vt:lpwstr>_Toc326065314</vt:lpwstr>
      </vt:variant>
      <vt:variant>
        <vt:i4>1114160</vt:i4>
      </vt:variant>
      <vt:variant>
        <vt:i4>104</vt:i4>
      </vt:variant>
      <vt:variant>
        <vt:i4>0</vt:i4>
      </vt:variant>
      <vt:variant>
        <vt:i4>5</vt:i4>
      </vt:variant>
      <vt:variant>
        <vt:lpwstr/>
      </vt:variant>
      <vt:variant>
        <vt:lpwstr>_Toc326065313</vt:lpwstr>
      </vt:variant>
      <vt:variant>
        <vt:i4>1114160</vt:i4>
      </vt:variant>
      <vt:variant>
        <vt:i4>98</vt:i4>
      </vt:variant>
      <vt:variant>
        <vt:i4>0</vt:i4>
      </vt:variant>
      <vt:variant>
        <vt:i4>5</vt:i4>
      </vt:variant>
      <vt:variant>
        <vt:lpwstr/>
      </vt:variant>
      <vt:variant>
        <vt:lpwstr>_Toc326065312</vt:lpwstr>
      </vt:variant>
      <vt:variant>
        <vt:i4>1114160</vt:i4>
      </vt:variant>
      <vt:variant>
        <vt:i4>92</vt:i4>
      </vt:variant>
      <vt:variant>
        <vt:i4>0</vt:i4>
      </vt:variant>
      <vt:variant>
        <vt:i4>5</vt:i4>
      </vt:variant>
      <vt:variant>
        <vt:lpwstr/>
      </vt:variant>
      <vt:variant>
        <vt:lpwstr>_Toc326065311</vt:lpwstr>
      </vt:variant>
      <vt:variant>
        <vt:i4>1114160</vt:i4>
      </vt:variant>
      <vt:variant>
        <vt:i4>86</vt:i4>
      </vt:variant>
      <vt:variant>
        <vt:i4>0</vt:i4>
      </vt:variant>
      <vt:variant>
        <vt:i4>5</vt:i4>
      </vt:variant>
      <vt:variant>
        <vt:lpwstr/>
      </vt:variant>
      <vt:variant>
        <vt:lpwstr>_Toc326065310</vt:lpwstr>
      </vt:variant>
      <vt:variant>
        <vt:i4>1048624</vt:i4>
      </vt:variant>
      <vt:variant>
        <vt:i4>80</vt:i4>
      </vt:variant>
      <vt:variant>
        <vt:i4>0</vt:i4>
      </vt:variant>
      <vt:variant>
        <vt:i4>5</vt:i4>
      </vt:variant>
      <vt:variant>
        <vt:lpwstr/>
      </vt:variant>
      <vt:variant>
        <vt:lpwstr>_Toc326065309</vt:lpwstr>
      </vt:variant>
      <vt:variant>
        <vt:i4>1048624</vt:i4>
      </vt:variant>
      <vt:variant>
        <vt:i4>74</vt:i4>
      </vt:variant>
      <vt:variant>
        <vt:i4>0</vt:i4>
      </vt:variant>
      <vt:variant>
        <vt:i4>5</vt:i4>
      </vt:variant>
      <vt:variant>
        <vt:lpwstr/>
      </vt:variant>
      <vt:variant>
        <vt:lpwstr>_Toc326065308</vt:lpwstr>
      </vt:variant>
      <vt:variant>
        <vt:i4>1048624</vt:i4>
      </vt:variant>
      <vt:variant>
        <vt:i4>68</vt:i4>
      </vt:variant>
      <vt:variant>
        <vt:i4>0</vt:i4>
      </vt:variant>
      <vt:variant>
        <vt:i4>5</vt:i4>
      </vt:variant>
      <vt:variant>
        <vt:lpwstr/>
      </vt:variant>
      <vt:variant>
        <vt:lpwstr>_Toc326065307</vt:lpwstr>
      </vt:variant>
      <vt:variant>
        <vt:i4>1048624</vt:i4>
      </vt:variant>
      <vt:variant>
        <vt:i4>62</vt:i4>
      </vt:variant>
      <vt:variant>
        <vt:i4>0</vt:i4>
      </vt:variant>
      <vt:variant>
        <vt:i4>5</vt:i4>
      </vt:variant>
      <vt:variant>
        <vt:lpwstr/>
      </vt:variant>
      <vt:variant>
        <vt:lpwstr>_Toc326065306</vt:lpwstr>
      </vt:variant>
      <vt:variant>
        <vt:i4>1048624</vt:i4>
      </vt:variant>
      <vt:variant>
        <vt:i4>56</vt:i4>
      </vt:variant>
      <vt:variant>
        <vt:i4>0</vt:i4>
      </vt:variant>
      <vt:variant>
        <vt:i4>5</vt:i4>
      </vt:variant>
      <vt:variant>
        <vt:lpwstr/>
      </vt:variant>
      <vt:variant>
        <vt:lpwstr>_Toc326065305</vt:lpwstr>
      </vt:variant>
      <vt:variant>
        <vt:i4>1048624</vt:i4>
      </vt:variant>
      <vt:variant>
        <vt:i4>50</vt:i4>
      </vt:variant>
      <vt:variant>
        <vt:i4>0</vt:i4>
      </vt:variant>
      <vt:variant>
        <vt:i4>5</vt:i4>
      </vt:variant>
      <vt:variant>
        <vt:lpwstr/>
      </vt:variant>
      <vt:variant>
        <vt:lpwstr>_Toc326065304</vt:lpwstr>
      </vt:variant>
      <vt:variant>
        <vt:i4>1048624</vt:i4>
      </vt:variant>
      <vt:variant>
        <vt:i4>44</vt:i4>
      </vt:variant>
      <vt:variant>
        <vt:i4>0</vt:i4>
      </vt:variant>
      <vt:variant>
        <vt:i4>5</vt:i4>
      </vt:variant>
      <vt:variant>
        <vt:lpwstr/>
      </vt:variant>
      <vt:variant>
        <vt:lpwstr>_Toc326065303</vt:lpwstr>
      </vt:variant>
      <vt:variant>
        <vt:i4>1048624</vt:i4>
      </vt:variant>
      <vt:variant>
        <vt:i4>38</vt:i4>
      </vt:variant>
      <vt:variant>
        <vt:i4>0</vt:i4>
      </vt:variant>
      <vt:variant>
        <vt:i4>5</vt:i4>
      </vt:variant>
      <vt:variant>
        <vt:lpwstr/>
      </vt:variant>
      <vt:variant>
        <vt:lpwstr>_Toc326065302</vt:lpwstr>
      </vt:variant>
      <vt:variant>
        <vt:i4>1048624</vt:i4>
      </vt:variant>
      <vt:variant>
        <vt:i4>32</vt:i4>
      </vt:variant>
      <vt:variant>
        <vt:i4>0</vt:i4>
      </vt:variant>
      <vt:variant>
        <vt:i4>5</vt:i4>
      </vt:variant>
      <vt:variant>
        <vt:lpwstr/>
      </vt:variant>
      <vt:variant>
        <vt:lpwstr>_Toc326065301</vt:lpwstr>
      </vt:variant>
      <vt:variant>
        <vt:i4>1048624</vt:i4>
      </vt:variant>
      <vt:variant>
        <vt:i4>26</vt:i4>
      </vt:variant>
      <vt:variant>
        <vt:i4>0</vt:i4>
      </vt:variant>
      <vt:variant>
        <vt:i4>5</vt:i4>
      </vt:variant>
      <vt:variant>
        <vt:lpwstr/>
      </vt:variant>
      <vt:variant>
        <vt:lpwstr>_Toc326065300</vt:lpwstr>
      </vt:variant>
      <vt:variant>
        <vt:i4>1638449</vt:i4>
      </vt:variant>
      <vt:variant>
        <vt:i4>20</vt:i4>
      </vt:variant>
      <vt:variant>
        <vt:i4>0</vt:i4>
      </vt:variant>
      <vt:variant>
        <vt:i4>5</vt:i4>
      </vt:variant>
      <vt:variant>
        <vt:lpwstr/>
      </vt:variant>
      <vt:variant>
        <vt:lpwstr>_Toc326065299</vt:lpwstr>
      </vt:variant>
      <vt:variant>
        <vt:i4>1638449</vt:i4>
      </vt:variant>
      <vt:variant>
        <vt:i4>14</vt:i4>
      </vt:variant>
      <vt:variant>
        <vt:i4>0</vt:i4>
      </vt:variant>
      <vt:variant>
        <vt:i4>5</vt:i4>
      </vt:variant>
      <vt:variant>
        <vt:lpwstr/>
      </vt:variant>
      <vt:variant>
        <vt:lpwstr>_Toc326065298</vt:lpwstr>
      </vt:variant>
      <vt:variant>
        <vt:i4>1638449</vt:i4>
      </vt:variant>
      <vt:variant>
        <vt:i4>8</vt:i4>
      </vt:variant>
      <vt:variant>
        <vt:i4>0</vt:i4>
      </vt:variant>
      <vt:variant>
        <vt:i4>5</vt:i4>
      </vt:variant>
      <vt:variant>
        <vt:lpwstr/>
      </vt:variant>
      <vt:variant>
        <vt:lpwstr>_Toc326065297</vt:lpwstr>
      </vt:variant>
      <vt:variant>
        <vt:i4>1638449</vt:i4>
      </vt:variant>
      <vt:variant>
        <vt:i4>2</vt:i4>
      </vt:variant>
      <vt:variant>
        <vt:i4>0</vt:i4>
      </vt:variant>
      <vt:variant>
        <vt:i4>5</vt:i4>
      </vt:variant>
      <vt:variant>
        <vt:lpwstr/>
      </vt:variant>
      <vt:variant>
        <vt:lpwstr>_Toc326065296</vt:lpwstr>
      </vt:variant>
      <vt:variant>
        <vt:i4>852020</vt:i4>
      </vt:variant>
      <vt:variant>
        <vt:i4>0</vt:i4>
      </vt:variant>
      <vt:variant>
        <vt:i4>0</vt:i4>
      </vt:variant>
      <vt:variant>
        <vt:i4>5</vt:i4>
      </vt:variant>
      <vt:variant>
        <vt:lpwstr>http://www.deeresources.com/index.php?option=com_content&amp;view=article&amp;id=65&amp;Itemid=57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Liu, Henry</cp:lastModifiedBy>
  <cp:revision>3</cp:revision>
  <cp:lastPrinted>2015-12-15T22:11:00Z</cp:lastPrinted>
  <dcterms:created xsi:type="dcterms:W3CDTF">2015-12-17T00:40:00Z</dcterms:created>
  <dcterms:modified xsi:type="dcterms:W3CDTF">2015-12-17T00:42:00Z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