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5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5"/>
        <w:gridCol w:w="2697"/>
        <w:gridCol w:w="2223"/>
        <w:gridCol w:w="2010"/>
      </w:tblGrid>
      <w:tr w:rsidR="00F75CF5" w14:paraId="63B268BD" w14:textId="77777777">
        <w:tc>
          <w:tcPr>
            <w:tcW w:w="84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6190AE" w14:textId="77777777" w:rsidR="00F75CF5" w:rsidRDefault="00F75CF5">
            <w:pPr>
              <w:widowControl w:val="0"/>
              <w:spacing w:line="144" w:lineRule="exact"/>
              <w:rPr>
                <w:rFonts w:ascii="Helvetica" w:hAnsi="Helvetica"/>
                <w:b/>
                <w:sz w:val="14"/>
              </w:rPr>
            </w:pPr>
          </w:p>
          <w:p w14:paraId="19F83FC0" w14:textId="77777777" w:rsidR="00F75CF5" w:rsidRDefault="00F75CF5">
            <w:pPr>
              <w:widowControl w:val="0"/>
              <w:spacing w:line="144" w:lineRule="exact"/>
              <w:rPr>
                <w:rFonts w:ascii="Courier" w:hAnsi="Courier"/>
                <w:sz w:val="24"/>
              </w:rPr>
            </w:pPr>
            <w:r>
              <w:rPr>
                <w:rFonts w:ascii="Helvetica" w:hAnsi="Helvetica"/>
                <w:b/>
                <w:sz w:val="14"/>
              </w:rPr>
              <w:t>State of California</w:t>
            </w:r>
          </w:p>
        </w:tc>
      </w:tr>
      <w:tr w:rsidR="00564D58" w14:paraId="2F396EAC" w14:textId="77777777">
        <w:trPr>
          <w:trHeight w:val="525"/>
        </w:trPr>
        <w:tc>
          <w:tcPr>
            <w:tcW w:w="4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8F925" w14:textId="77777777" w:rsidR="00564D58" w:rsidRDefault="00564D58">
            <w:pPr>
              <w:widowControl w:val="0"/>
              <w:spacing w:line="144" w:lineRule="exact"/>
              <w:rPr>
                <w:rFonts w:ascii="Courier" w:hAnsi="Courier"/>
                <w:sz w:val="24"/>
              </w:rPr>
            </w:pPr>
          </w:p>
          <w:p w14:paraId="2C2ADC28" w14:textId="57D8D83E" w:rsidR="00564D58" w:rsidRPr="00C900D6" w:rsidRDefault="00002B47">
            <w:pPr>
              <w:widowControl w:val="0"/>
              <w:rPr>
                <w:rFonts w:ascii="Helvetica" w:hAnsi="Helvetica"/>
                <w:b/>
                <w:sz w:val="36"/>
                <w:szCs w:val="36"/>
              </w:rPr>
            </w:pPr>
            <w:r>
              <w:rPr>
                <w:rFonts w:ascii="Helvetica" w:hAnsi="Helvetica"/>
                <w:b/>
                <w:sz w:val="36"/>
                <w:szCs w:val="36"/>
              </w:rPr>
              <w:t>MEMORANDUM</w:t>
            </w:r>
          </w:p>
        </w:tc>
        <w:tc>
          <w:tcPr>
            <w:tcW w:w="423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34CAA99" w14:textId="77777777" w:rsidR="00564D58" w:rsidRDefault="00573BBB" w:rsidP="00564D58">
            <w:pPr>
              <w:widowControl w:val="0"/>
              <w:jc w:val="right"/>
              <w:rPr>
                <w:rFonts w:ascii="Courier" w:hAnsi="Courier"/>
                <w:sz w:val="24"/>
              </w:rPr>
            </w:pPr>
            <w:r w:rsidRPr="00CC2950">
              <w:rPr>
                <w:rFonts w:ascii="Courier" w:hAnsi="Courier"/>
                <w:noProof/>
              </w:rPr>
              <w:drawing>
                <wp:inline distT="0" distB="0" distL="0" distR="0" wp14:anchorId="21401BF6" wp14:editId="337D731A">
                  <wp:extent cx="1044575" cy="101409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575" cy="10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4D58" w:rsidRPr="007D1277" w14:paraId="73B3EA9E" w14:textId="77777777">
        <w:trPr>
          <w:trHeight w:val="525"/>
        </w:trPr>
        <w:tc>
          <w:tcPr>
            <w:tcW w:w="4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79414" w14:textId="77777777" w:rsidR="00564D58" w:rsidRPr="007D1277" w:rsidRDefault="00564D58">
            <w:pPr>
              <w:widowControl w:val="0"/>
              <w:spacing w:line="144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33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FD89AB5" w14:textId="77777777" w:rsidR="00564D58" w:rsidRPr="007D1277" w:rsidRDefault="00564D58">
            <w:pPr>
              <w:widowControl w:val="0"/>
              <w:spacing w:line="144" w:lineRule="exact"/>
              <w:rPr>
                <w:rFonts w:ascii="Century" w:hAnsi="Century"/>
                <w:sz w:val="24"/>
                <w:szCs w:val="24"/>
              </w:rPr>
            </w:pPr>
          </w:p>
        </w:tc>
      </w:tr>
      <w:tr w:rsidR="00F75CF5" w:rsidRPr="007D1277" w14:paraId="4C2A62CE" w14:textId="77777777" w:rsidTr="0082093D">
        <w:trPr>
          <w:trHeight w:val="432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83C9992" w14:textId="77777777" w:rsidR="00F75CF5" w:rsidRPr="007D1277" w:rsidRDefault="00F75CF5" w:rsidP="0082093D">
            <w:pPr>
              <w:widowControl w:val="0"/>
              <w:rPr>
                <w:rFonts w:ascii="Century" w:hAnsi="Century"/>
                <w:sz w:val="24"/>
                <w:szCs w:val="24"/>
              </w:rPr>
            </w:pPr>
            <w:r w:rsidRPr="007D1277">
              <w:rPr>
                <w:rFonts w:ascii="Century" w:hAnsi="Century"/>
                <w:b/>
                <w:sz w:val="24"/>
                <w:szCs w:val="24"/>
              </w:rPr>
              <w:t>Date:</w:t>
            </w:r>
          </w:p>
        </w:tc>
        <w:tc>
          <w:tcPr>
            <w:tcW w:w="6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C5EB7" w14:textId="73CB9BD1" w:rsidR="00F75CF5" w:rsidRPr="007D1277" w:rsidRDefault="00B350FA" w:rsidP="0082093D">
            <w:pPr>
              <w:widowControl w:val="0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September </w:t>
            </w:r>
            <w:r w:rsidR="00F32DD4">
              <w:rPr>
                <w:rFonts w:ascii="Century" w:hAnsi="Century"/>
                <w:sz w:val="24"/>
                <w:szCs w:val="24"/>
              </w:rPr>
              <w:t>30</w:t>
            </w:r>
            <w:r w:rsidR="00493AB4" w:rsidRPr="007D1277">
              <w:rPr>
                <w:rFonts w:ascii="Century" w:hAnsi="Century"/>
                <w:sz w:val="24"/>
                <w:szCs w:val="24"/>
              </w:rPr>
              <w:t>, 202</w:t>
            </w:r>
            <w:r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F75CF5" w:rsidRPr="007D1277" w14:paraId="2348E8B7" w14:textId="77777777" w:rsidTr="00004C33">
        <w:trPr>
          <w:trHeight w:val="163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A00E3C7" w14:textId="77777777" w:rsidR="00F75CF5" w:rsidRPr="007D1277" w:rsidRDefault="00F75CF5" w:rsidP="0082093D">
            <w:pPr>
              <w:widowControl w:val="0"/>
              <w:rPr>
                <w:rFonts w:ascii="Century" w:hAnsi="Century"/>
                <w:sz w:val="24"/>
                <w:szCs w:val="24"/>
              </w:rPr>
            </w:pPr>
            <w:r w:rsidRPr="007D1277">
              <w:rPr>
                <w:rFonts w:ascii="Century" w:hAnsi="Century"/>
                <w:b/>
                <w:sz w:val="24"/>
                <w:szCs w:val="24"/>
              </w:rPr>
              <w:t>To:</w:t>
            </w:r>
          </w:p>
        </w:tc>
        <w:sdt>
          <w:sdtPr>
            <w:rPr>
              <w:rFonts w:ascii="Century" w:hAnsi="Century"/>
              <w:sz w:val="24"/>
              <w:szCs w:val="24"/>
            </w:rPr>
            <w:id w:val="696434706"/>
            <w:placeholder>
              <w:docPart w:val="8CAD532C91E54BEAAED1BEE7A1E6EEC9"/>
            </w:placeholder>
            <w:text/>
          </w:sdtPr>
          <w:sdtEndPr/>
          <w:sdtContent>
            <w:tc>
              <w:tcPr>
                <w:tcW w:w="693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2F43CE" w14:textId="04198524" w:rsidR="00F75CF5" w:rsidRPr="007D1277" w:rsidRDefault="00BF6580" w:rsidP="00BF6580">
                <w:pPr>
                  <w:widowControl w:val="0"/>
                  <w:rPr>
                    <w:rFonts w:ascii="Century" w:hAnsi="Century"/>
                    <w:sz w:val="24"/>
                    <w:szCs w:val="24"/>
                  </w:rPr>
                </w:pPr>
                <w:r w:rsidRPr="002E55DC">
                  <w:rPr>
                    <w:rFonts w:ascii="Century" w:hAnsi="Century"/>
                    <w:sz w:val="24"/>
                    <w:szCs w:val="24"/>
                  </w:rPr>
                  <w:t>Jay Bhakta, Southern California Edison (SCE); Andres Fergadiotti (SCE); Ed Reynoso, San Diego Gas &amp; Electric (SDG&amp;E); Brian Johnston</w:t>
                </w:r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>, Southern California Gas Company (SCG);</w:t>
                </w:r>
                <w:r w:rsidRPr="002E55DC">
                  <w:rPr>
                    <w:rFonts w:ascii="Century" w:hAnsi="Century"/>
                    <w:sz w:val="24"/>
                    <w:szCs w:val="24"/>
                  </w:rPr>
                  <w:t xml:space="preserve"> Dragon, Danielle</w:t>
                </w:r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>, Pacific Gas &amp; Electric (PG&amp;E);</w:t>
                </w:r>
                <w:r w:rsidRPr="002E55DC">
                  <w:rPr>
                    <w:rFonts w:ascii="Century" w:hAnsi="Century"/>
                    <w:sz w:val="24"/>
                    <w:szCs w:val="24"/>
                  </w:rPr>
                  <w:t xml:space="preserve"> Liu, Henry</w:t>
                </w:r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 xml:space="preserve"> (PG&amp;E)</w:t>
                </w:r>
                <w:r w:rsidRPr="002E55DC">
                  <w:rPr>
                    <w:rFonts w:ascii="Century" w:hAnsi="Century"/>
                    <w:sz w:val="24"/>
                    <w:szCs w:val="24"/>
                  </w:rPr>
                  <w:t xml:space="preserve">; </w:t>
                </w:r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 xml:space="preserve">Anders </w:t>
                </w:r>
                <w:r w:rsidRPr="002E55DC">
                  <w:rPr>
                    <w:rFonts w:ascii="Century" w:hAnsi="Century"/>
                    <w:sz w:val="24"/>
                    <w:szCs w:val="24"/>
                  </w:rPr>
                  <w:t xml:space="preserve">Danryd, </w:t>
                </w:r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>(SCG</w:t>
                </w:r>
                <w:proofErr w:type="gramStart"/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>)</w:t>
                </w:r>
                <w:r w:rsidRPr="002E55DC">
                  <w:rPr>
                    <w:rFonts w:ascii="Century" w:hAnsi="Century"/>
                    <w:sz w:val="24"/>
                    <w:szCs w:val="24"/>
                  </w:rPr>
                  <w:t>;Alok</w:t>
                </w:r>
                <w:proofErr w:type="gramEnd"/>
                <w:r w:rsidRPr="002E55DC">
                  <w:rPr>
                    <w:rFonts w:ascii="Century" w:hAnsi="Century"/>
                    <w:sz w:val="24"/>
                    <w:szCs w:val="24"/>
                  </w:rPr>
                  <w:t xml:space="preserve"> Singh</w:t>
                </w:r>
                <w:r w:rsidR="000E454E" w:rsidRPr="002E55DC">
                  <w:rPr>
                    <w:rFonts w:ascii="Century" w:hAnsi="Century"/>
                    <w:sz w:val="24"/>
                    <w:szCs w:val="24"/>
                  </w:rPr>
                  <w:t xml:space="preserve"> </w:t>
                </w:r>
                <w:r w:rsidRPr="002E55DC">
                  <w:rPr>
                    <w:rFonts w:ascii="Century" w:hAnsi="Century"/>
                    <w:sz w:val="24"/>
                    <w:szCs w:val="24"/>
                  </w:rPr>
                  <w:t>(SCE); John Zwick (SDG&amp;E); Nancy Goddard, PacifiCorp</w:t>
                </w:r>
              </w:p>
            </w:tc>
          </w:sdtContent>
        </w:sdt>
      </w:tr>
      <w:tr w:rsidR="00004C33" w:rsidRPr="007D1277" w14:paraId="4FC9A737" w14:textId="77777777" w:rsidTr="00004C33">
        <w:trPr>
          <w:trHeight w:val="725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376F199" w14:textId="1D3F7658" w:rsidR="00004C33" w:rsidRDefault="00004C33" w:rsidP="0082093D">
            <w:pPr>
              <w:widowControl w:val="0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CC:</w:t>
            </w:r>
          </w:p>
          <w:p w14:paraId="1A1337D5" w14:textId="0620CD77" w:rsidR="00004C33" w:rsidRPr="007D1277" w:rsidRDefault="00004C33" w:rsidP="0082093D">
            <w:pPr>
              <w:widowControl w:val="0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6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1B640" w14:textId="5CD82D13" w:rsidR="00004C33" w:rsidRDefault="00004C33" w:rsidP="0082093D">
            <w:pPr>
              <w:widowControl w:val="0"/>
              <w:rPr>
                <w:rFonts w:ascii="Century" w:hAnsi="Century" w:cstheme="minorHAnsi"/>
                <w:sz w:val="24"/>
                <w:szCs w:val="24"/>
              </w:rPr>
            </w:pPr>
            <w:r>
              <w:rPr>
                <w:rFonts w:ascii="Century" w:hAnsi="Century" w:cstheme="minorHAnsi"/>
                <w:sz w:val="24"/>
                <w:szCs w:val="24"/>
              </w:rPr>
              <w:t>Paula Gruendling, CPUC; Jennifer Kalafut, CPUC; Pete Scala, CPUC</w:t>
            </w:r>
          </w:p>
        </w:tc>
      </w:tr>
      <w:tr w:rsidR="00F75CF5" w:rsidRPr="007D1277" w14:paraId="1AB32E2E" w14:textId="77777777" w:rsidTr="00B111F6">
        <w:trPr>
          <w:trHeight w:val="455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6D75142C" w14:textId="2EA4AE67" w:rsidR="00F75CF5" w:rsidRPr="007D1277" w:rsidRDefault="00F75CF5" w:rsidP="0082093D">
            <w:pPr>
              <w:widowControl w:val="0"/>
              <w:rPr>
                <w:rFonts w:ascii="Century" w:hAnsi="Century"/>
                <w:b/>
                <w:sz w:val="24"/>
                <w:szCs w:val="24"/>
              </w:rPr>
            </w:pPr>
            <w:r w:rsidRPr="007D1277">
              <w:rPr>
                <w:rFonts w:ascii="Century" w:hAnsi="Century"/>
                <w:b/>
                <w:sz w:val="24"/>
                <w:szCs w:val="24"/>
              </w:rPr>
              <w:t>From:</w:t>
            </w:r>
          </w:p>
        </w:tc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52876" w14:textId="2066012B" w:rsidR="00F75CF5" w:rsidRPr="00004C33" w:rsidRDefault="00607521" w:rsidP="0082093D">
            <w:pPr>
              <w:widowControl w:val="0"/>
              <w:ind w:right="-120"/>
              <w:rPr>
                <w:rFonts w:ascii="Century" w:hAnsi="Century"/>
                <w:bCs/>
                <w:sz w:val="24"/>
                <w:szCs w:val="24"/>
              </w:rPr>
            </w:pPr>
            <w:r w:rsidRPr="00004C33">
              <w:rPr>
                <w:rFonts w:ascii="Century" w:hAnsi="Century"/>
                <w:sz w:val="24"/>
                <w:szCs w:val="24"/>
              </w:rPr>
              <w:t>Peter Biermayer</w:t>
            </w:r>
            <w:sdt>
              <w:sdtPr>
                <w:rPr>
                  <w:rFonts w:ascii="Century" w:hAnsi="Century"/>
                  <w:sz w:val="24"/>
                  <w:szCs w:val="24"/>
                </w:rPr>
                <w:id w:val="1099213553"/>
                <w:placeholder>
                  <w:docPart w:val="7F4C5D1958C54166B59581AFEA20476F"/>
                </w:placeholder>
                <w:text/>
              </w:sdtPr>
              <w:sdtEndPr/>
              <w:sdtContent>
                <w:r w:rsidRPr="00004C33">
                  <w:rPr>
                    <w:rFonts w:ascii="Century" w:hAnsi="Century"/>
                    <w:sz w:val="24"/>
                    <w:szCs w:val="24"/>
                  </w:rPr>
                  <w:t xml:space="preserve"> </w:t>
                </w:r>
                <w:r w:rsidR="00161716" w:rsidRPr="00004C33">
                  <w:rPr>
                    <w:rFonts w:ascii="Century" w:hAnsi="Century"/>
                    <w:sz w:val="24"/>
                    <w:szCs w:val="24"/>
                  </w:rPr>
                  <w:t>P.E.,</w:t>
                </w:r>
                <w:r w:rsidR="00B111F6">
                  <w:rPr>
                    <w:rFonts w:ascii="Century" w:hAnsi="Century"/>
                    <w:sz w:val="24"/>
                    <w:szCs w:val="24"/>
                  </w:rPr>
                  <w:t xml:space="preserve"> </w:t>
                </w:r>
                <w:r w:rsidRPr="00004C33">
                  <w:rPr>
                    <w:rFonts w:ascii="Century" w:hAnsi="Century"/>
                    <w:sz w:val="24"/>
                    <w:szCs w:val="24"/>
                  </w:rPr>
                  <w:t>Utilities Engineer, EE Planning &amp; Forecasting Section, Energy Division, CPUC</w:t>
                </w:r>
              </w:sdtContent>
            </w:sdt>
          </w:p>
          <w:p w14:paraId="3F93D166" w14:textId="0C0868CE" w:rsidR="00493AB4" w:rsidRPr="007D1277" w:rsidRDefault="00493AB4" w:rsidP="0082093D">
            <w:pPr>
              <w:widowControl w:val="0"/>
              <w:ind w:right="-120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14:paraId="24D501CF" w14:textId="77777777" w:rsidR="00F75CF5" w:rsidRPr="007D1277" w:rsidRDefault="00F75CF5" w:rsidP="0082093D">
            <w:pPr>
              <w:widowControl w:val="0"/>
              <w:rPr>
                <w:rFonts w:ascii="Century" w:hAnsi="Century"/>
                <w:sz w:val="24"/>
                <w:szCs w:val="24"/>
              </w:rPr>
            </w:pPr>
          </w:p>
        </w:tc>
      </w:tr>
      <w:tr w:rsidR="00F709D1" w:rsidRPr="007D1277" w14:paraId="74AD4248" w14:textId="77777777" w:rsidTr="0082093D">
        <w:trPr>
          <w:trHeight w:val="432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B67D9A5" w14:textId="46F9E062" w:rsidR="00493AB4" w:rsidRPr="007D1277" w:rsidRDefault="00493AB4" w:rsidP="00493AB4">
            <w:pPr>
              <w:widowControl w:val="0"/>
              <w:rPr>
                <w:rFonts w:ascii="Century" w:hAnsi="Century"/>
                <w:b/>
                <w:sz w:val="24"/>
                <w:szCs w:val="24"/>
              </w:rPr>
            </w:pPr>
            <w:r w:rsidRPr="007D1277">
              <w:rPr>
                <w:rFonts w:ascii="Century" w:hAnsi="Century"/>
                <w:b/>
                <w:sz w:val="24"/>
                <w:szCs w:val="24"/>
              </w:rPr>
              <w:t xml:space="preserve">Subject:  </w:t>
            </w:r>
          </w:p>
          <w:p w14:paraId="66FF553A" w14:textId="5A158973" w:rsidR="00F709D1" w:rsidRPr="007D1277" w:rsidRDefault="00F709D1" w:rsidP="0082093D">
            <w:pPr>
              <w:widowControl w:val="0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6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58CF3" w14:textId="57FDFE2F" w:rsidR="00F709D1" w:rsidRPr="007D1277" w:rsidRDefault="00EE30A2" w:rsidP="0082093D">
            <w:pPr>
              <w:widowControl w:val="0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CPUC Guidance on </w:t>
            </w:r>
            <w:r w:rsidR="000E454E">
              <w:rPr>
                <w:rFonts w:ascii="Century" w:hAnsi="Century"/>
                <w:sz w:val="24"/>
                <w:szCs w:val="24"/>
              </w:rPr>
              <w:t>the use of Negative Incremental Measure Cost (IMC) in the Cost Effectiveness Tool (CET) for Non-fuel Substitution Measures.</w:t>
            </w:r>
          </w:p>
        </w:tc>
      </w:tr>
    </w:tbl>
    <w:p w14:paraId="18FCD2D2" w14:textId="77777777" w:rsidR="00BF6580" w:rsidRDefault="00BF6580" w:rsidP="00BF6580">
      <w:pPr>
        <w:pStyle w:val="ListParagraph"/>
        <w:ind w:left="0"/>
        <w:rPr>
          <w:rFonts w:ascii="Century Gothic" w:hAnsi="Century Gothic"/>
          <w:sz w:val="24"/>
          <w:szCs w:val="24"/>
        </w:rPr>
      </w:pPr>
    </w:p>
    <w:p w14:paraId="190A6E9C" w14:textId="77777777" w:rsidR="00474D36" w:rsidRPr="00BE6BA3" w:rsidRDefault="00474D36" w:rsidP="00474D36">
      <w:pPr>
        <w:overflowPunct/>
        <w:autoSpaceDE/>
        <w:autoSpaceDN/>
        <w:adjustRightInd/>
        <w:spacing w:after="160" w:line="259" w:lineRule="auto"/>
        <w:textAlignment w:val="auto"/>
        <w:rPr>
          <w:rFonts w:ascii="Century" w:eastAsiaTheme="minorHAnsi" w:hAnsi="Century" w:cstheme="minorBidi"/>
          <w:b/>
          <w:bCs/>
          <w:sz w:val="24"/>
          <w:szCs w:val="24"/>
        </w:rPr>
      </w:pPr>
      <w:r w:rsidRPr="00BE6BA3">
        <w:rPr>
          <w:rFonts w:ascii="Century" w:eastAsiaTheme="minorHAnsi" w:hAnsi="Century" w:cstheme="minorBidi"/>
          <w:b/>
          <w:bCs/>
          <w:sz w:val="24"/>
          <w:szCs w:val="24"/>
        </w:rPr>
        <w:t>Summary</w:t>
      </w:r>
    </w:p>
    <w:p w14:paraId="3DAA5115" w14:textId="6379ABAE" w:rsidR="002E55DC" w:rsidRDefault="002E55DC" w:rsidP="00474D36">
      <w:pPr>
        <w:overflowPunct/>
        <w:autoSpaceDE/>
        <w:autoSpaceDN/>
        <w:adjustRightInd/>
        <w:spacing w:after="160" w:line="259" w:lineRule="auto"/>
        <w:textAlignment w:val="auto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Prior to this guidance</w:t>
      </w:r>
      <w:r w:rsidR="006119FA">
        <w:rPr>
          <w:rFonts w:ascii="Garamond" w:eastAsiaTheme="minorHAnsi" w:hAnsi="Garamond" w:cstheme="minorBidi"/>
          <w:sz w:val="24"/>
          <w:szCs w:val="24"/>
        </w:rPr>
        <w:t xml:space="preserve"> memo</w:t>
      </w:r>
      <w:r>
        <w:rPr>
          <w:rFonts w:ascii="Garamond" w:eastAsiaTheme="minorHAnsi" w:hAnsi="Garamond" w:cstheme="minorBidi"/>
          <w:sz w:val="24"/>
          <w:szCs w:val="24"/>
        </w:rPr>
        <w:t xml:space="preserve"> negative values inputted into the CPUC Cost Effectiveness Tool (CET) where rejected.  The CET has been modified to allow for negative incremental measure costs (IMCs).</w:t>
      </w:r>
    </w:p>
    <w:p w14:paraId="24D251C5" w14:textId="44730B73" w:rsidR="006119FA" w:rsidRPr="006119FA" w:rsidRDefault="006119FA" w:rsidP="006119FA">
      <w:pPr>
        <w:pStyle w:val="ListParagraph"/>
        <w:ind w:left="0"/>
        <w:rPr>
          <w:rFonts w:ascii="Garamond" w:hAnsi="Garamond"/>
          <w:sz w:val="24"/>
          <w:szCs w:val="24"/>
        </w:rPr>
      </w:pPr>
      <w:r w:rsidRPr="006119FA">
        <w:rPr>
          <w:rFonts w:ascii="Garamond" w:hAnsi="Garamond"/>
          <w:sz w:val="24"/>
          <w:szCs w:val="24"/>
        </w:rPr>
        <w:t xml:space="preserve">CPUC staff will require that </w:t>
      </w:r>
      <w:r w:rsidR="00990649">
        <w:rPr>
          <w:rFonts w:ascii="Garamond" w:hAnsi="Garamond"/>
          <w:sz w:val="24"/>
          <w:szCs w:val="24"/>
        </w:rPr>
        <w:t>these</w:t>
      </w:r>
      <w:r>
        <w:rPr>
          <w:rFonts w:ascii="Garamond" w:hAnsi="Garamond"/>
          <w:sz w:val="24"/>
          <w:szCs w:val="24"/>
        </w:rPr>
        <w:t xml:space="preserve"> values and future</w:t>
      </w:r>
      <w:r w:rsidRPr="006119FA">
        <w:rPr>
          <w:rFonts w:ascii="Garamond" w:hAnsi="Garamond"/>
          <w:sz w:val="24"/>
          <w:szCs w:val="24"/>
        </w:rPr>
        <w:t xml:space="preserve"> </w:t>
      </w:r>
      <w:r w:rsidR="00990649">
        <w:rPr>
          <w:rFonts w:ascii="Garamond" w:hAnsi="Garamond"/>
          <w:sz w:val="24"/>
          <w:szCs w:val="24"/>
        </w:rPr>
        <w:t xml:space="preserve">IMC </w:t>
      </w:r>
      <w:r w:rsidRPr="006119FA">
        <w:rPr>
          <w:rFonts w:ascii="Garamond" w:hAnsi="Garamond"/>
          <w:sz w:val="24"/>
          <w:szCs w:val="24"/>
        </w:rPr>
        <w:t xml:space="preserve">values </w:t>
      </w:r>
      <w:proofErr w:type="gramStart"/>
      <w:r w:rsidRPr="006119FA">
        <w:rPr>
          <w:rFonts w:ascii="Garamond" w:hAnsi="Garamond"/>
          <w:sz w:val="24"/>
          <w:szCs w:val="24"/>
        </w:rPr>
        <w:t>entered into</w:t>
      </w:r>
      <w:proofErr w:type="gramEnd"/>
      <w:r w:rsidRPr="006119FA">
        <w:rPr>
          <w:rFonts w:ascii="Garamond" w:hAnsi="Garamond"/>
          <w:sz w:val="24"/>
          <w:szCs w:val="24"/>
        </w:rPr>
        <w:t xml:space="preserve"> the CET are the actual values, even if negative and that they should not be set to zero.</w:t>
      </w:r>
    </w:p>
    <w:p w14:paraId="64B9E702" w14:textId="77777777" w:rsidR="002E55DC" w:rsidRDefault="002E55DC" w:rsidP="00474D36">
      <w:pPr>
        <w:overflowPunct/>
        <w:autoSpaceDE/>
        <w:autoSpaceDN/>
        <w:adjustRightInd/>
        <w:spacing w:after="160" w:line="259" w:lineRule="auto"/>
        <w:textAlignment w:val="auto"/>
        <w:rPr>
          <w:rFonts w:ascii="Garamond" w:eastAsiaTheme="minorHAnsi" w:hAnsi="Garamond" w:cstheme="minorBidi"/>
          <w:sz w:val="24"/>
          <w:szCs w:val="24"/>
        </w:rPr>
      </w:pPr>
    </w:p>
    <w:p w14:paraId="781153B5" w14:textId="7483340C" w:rsidR="00474D36" w:rsidRDefault="00474D36" w:rsidP="00474D36">
      <w:pPr>
        <w:overflowPunct/>
        <w:autoSpaceDE/>
        <w:autoSpaceDN/>
        <w:adjustRightInd/>
        <w:spacing w:after="160" w:line="259" w:lineRule="auto"/>
        <w:textAlignment w:val="auto"/>
        <w:rPr>
          <w:rFonts w:ascii="Century" w:eastAsiaTheme="minorHAnsi" w:hAnsi="Century" w:cstheme="minorBidi"/>
          <w:b/>
          <w:bCs/>
          <w:sz w:val="24"/>
          <w:szCs w:val="24"/>
        </w:rPr>
      </w:pPr>
      <w:r w:rsidRPr="00BE6BA3">
        <w:rPr>
          <w:rFonts w:ascii="Century" w:eastAsiaTheme="minorHAnsi" w:hAnsi="Century" w:cstheme="minorBidi"/>
          <w:b/>
          <w:bCs/>
          <w:sz w:val="24"/>
          <w:szCs w:val="24"/>
        </w:rPr>
        <w:t>Issue</w:t>
      </w:r>
    </w:p>
    <w:p w14:paraId="398DE95A" w14:textId="0B3C6C7D" w:rsidR="006119FA" w:rsidRDefault="006119FA" w:rsidP="00867A75">
      <w:pPr>
        <w:pStyle w:val="ListParagraph"/>
        <w:ind w:left="0"/>
        <w:rPr>
          <w:rFonts w:ascii="Garamond" w:eastAsiaTheme="minorHAnsi" w:hAnsi="Garamond" w:cstheme="minorBidi"/>
          <w:sz w:val="24"/>
          <w:szCs w:val="24"/>
        </w:rPr>
      </w:pPr>
      <w:r w:rsidRPr="006119FA">
        <w:rPr>
          <w:rFonts w:ascii="Garamond" w:hAnsi="Garamond"/>
          <w:sz w:val="24"/>
          <w:szCs w:val="24"/>
        </w:rPr>
        <w:t xml:space="preserve">SCE has suggested setting the negative IMC values </w:t>
      </w:r>
      <w:r w:rsidR="00500226">
        <w:rPr>
          <w:rFonts w:ascii="Garamond" w:hAnsi="Garamond"/>
          <w:sz w:val="24"/>
          <w:szCs w:val="24"/>
        </w:rPr>
        <w:t>for two</w:t>
      </w:r>
      <w:r w:rsidRPr="006119FA">
        <w:rPr>
          <w:rFonts w:ascii="Garamond" w:hAnsi="Garamond"/>
          <w:sz w:val="24"/>
          <w:szCs w:val="24"/>
        </w:rPr>
        <w:t xml:space="preserve"> measure packages to zero before entering them into the CET.   There </w:t>
      </w:r>
      <w:r w:rsidR="00867A75">
        <w:rPr>
          <w:rFonts w:ascii="Garamond" w:hAnsi="Garamond"/>
          <w:sz w:val="24"/>
          <w:szCs w:val="24"/>
        </w:rPr>
        <w:t>are currently</w:t>
      </w:r>
      <w:r w:rsidRPr="006119FA">
        <w:rPr>
          <w:rFonts w:ascii="Garamond" w:hAnsi="Garamond"/>
          <w:sz w:val="24"/>
          <w:szCs w:val="24"/>
        </w:rPr>
        <w:t xml:space="preserve"> two non-fuel substitution </w:t>
      </w:r>
      <w:r w:rsidR="00867A75">
        <w:rPr>
          <w:rFonts w:ascii="Garamond" w:hAnsi="Garamond"/>
          <w:sz w:val="24"/>
          <w:szCs w:val="24"/>
        </w:rPr>
        <w:t>measures</w:t>
      </w:r>
      <w:r w:rsidRPr="006119FA">
        <w:rPr>
          <w:rFonts w:ascii="Garamond" w:hAnsi="Garamond"/>
          <w:sz w:val="24"/>
          <w:szCs w:val="24"/>
        </w:rPr>
        <w:t xml:space="preserve"> that have negative IMC values due to the measure case not having a higher cost than the base case for those measures.</w:t>
      </w:r>
      <w:r w:rsidR="00867A75">
        <w:rPr>
          <w:rFonts w:ascii="Garamond" w:hAnsi="Garamond"/>
          <w:sz w:val="24"/>
          <w:szCs w:val="24"/>
        </w:rPr>
        <w:t xml:space="preserve">  </w:t>
      </w:r>
      <w:r>
        <w:rPr>
          <w:rFonts w:ascii="Garamond" w:eastAsiaTheme="minorHAnsi" w:hAnsi="Garamond" w:cstheme="minorBidi"/>
          <w:sz w:val="24"/>
          <w:szCs w:val="24"/>
        </w:rPr>
        <w:t>Until September 28, 2021</w:t>
      </w:r>
      <w:r w:rsidR="00040D40">
        <w:rPr>
          <w:rFonts w:ascii="Garamond" w:eastAsiaTheme="minorHAnsi" w:hAnsi="Garamond" w:cstheme="minorBidi"/>
          <w:sz w:val="24"/>
          <w:szCs w:val="24"/>
        </w:rPr>
        <w:t>,</w:t>
      </w:r>
      <w:r>
        <w:rPr>
          <w:rFonts w:ascii="Garamond" w:eastAsiaTheme="minorHAnsi" w:hAnsi="Garamond" w:cstheme="minorBidi"/>
          <w:sz w:val="24"/>
          <w:szCs w:val="24"/>
        </w:rPr>
        <w:t xml:space="preserve"> the CET rejected negative values.  The CET has now been modified to allow entering negative IMC values into the CET.  </w:t>
      </w:r>
    </w:p>
    <w:p w14:paraId="66E69D9B" w14:textId="38392072" w:rsidR="006119FA" w:rsidRDefault="006119FA" w:rsidP="002E55DC">
      <w:pPr>
        <w:overflowPunct/>
        <w:autoSpaceDE/>
        <w:autoSpaceDN/>
        <w:adjustRightInd/>
        <w:spacing w:after="160" w:line="259" w:lineRule="auto"/>
        <w:rPr>
          <w:rFonts w:ascii="Garamond" w:eastAsiaTheme="minorHAnsi" w:hAnsi="Garamond" w:cstheme="minorBidi"/>
          <w:sz w:val="24"/>
          <w:szCs w:val="24"/>
        </w:rPr>
      </w:pPr>
    </w:p>
    <w:p w14:paraId="37BFA4E0" w14:textId="62A9DE15" w:rsidR="006119FA" w:rsidRDefault="006119FA" w:rsidP="002E55DC">
      <w:pPr>
        <w:overflowPunct/>
        <w:autoSpaceDE/>
        <w:autoSpaceDN/>
        <w:adjustRightInd/>
        <w:spacing w:after="160" w:line="259" w:lineRule="auto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 xml:space="preserve">Fuel substitution measures that have a negative IMC have an additional requirement to submit an addendum to the measure package if the IMC is negative.  </w:t>
      </w:r>
      <w:r w:rsidR="00867A75">
        <w:rPr>
          <w:rFonts w:ascii="Garamond" w:eastAsiaTheme="minorHAnsi" w:hAnsi="Garamond" w:cstheme="minorBidi"/>
          <w:sz w:val="24"/>
          <w:szCs w:val="24"/>
        </w:rPr>
        <w:t>For fuel substitution measures, u</w:t>
      </w:r>
      <w:r>
        <w:rPr>
          <w:rFonts w:ascii="Garamond" w:eastAsiaTheme="minorHAnsi" w:hAnsi="Garamond" w:cstheme="minorBidi"/>
          <w:sz w:val="24"/>
          <w:szCs w:val="24"/>
        </w:rPr>
        <w:t xml:space="preserve">se the standard addendum template designed for this purpose.  </w:t>
      </w:r>
    </w:p>
    <w:sectPr w:rsidR="006119FA" w:rsidSect="00564D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634" w:right="1080" w:bottom="1440" w:left="1440" w:header="504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1596" w14:textId="77777777" w:rsidR="006259FE" w:rsidRDefault="006259FE" w:rsidP="001176B9">
      <w:r>
        <w:separator/>
      </w:r>
    </w:p>
  </w:endnote>
  <w:endnote w:type="continuationSeparator" w:id="0">
    <w:p w14:paraId="40E38A91" w14:textId="77777777" w:rsidR="006259FE" w:rsidRDefault="006259FE" w:rsidP="0011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A7D6" w14:textId="77777777" w:rsidR="00BF24B3" w:rsidRDefault="00BF24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2020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D9B37A" w14:textId="54E7F992" w:rsidR="007D1277" w:rsidRDefault="007D12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6260CC" w14:textId="77777777" w:rsidR="007D1277" w:rsidRDefault="007D12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2986" w14:textId="77777777" w:rsidR="00BF24B3" w:rsidRDefault="00BF2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00CF7" w14:textId="77777777" w:rsidR="006259FE" w:rsidRDefault="006259FE" w:rsidP="001176B9">
      <w:r>
        <w:separator/>
      </w:r>
    </w:p>
  </w:footnote>
  <w:footnote w:type="continuationSeparator" w:id="0">
    <w:p w14:paraId="1433213F" w14:textId="77777777" w:rsidR="006259FE" w:rsidRDefault="006259FE" w:rsidP="0011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75EA" w14:textId="77777777" w:rsidR="00BF24B3" w:rsidRDefault="00BF2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006F2" w14:textId="77777777" w:rsidR="00BF24B3" w:rsidRDefault="00BF24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3F37" w14:textId="77777777" w:rsidR="00BF24B3" w:rsidRDefault="00BF24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840A79B"/>
    <w:multiLevelType w:val="hybridMultilevel"/>
    <w:tmpl w:val="5650B4A8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40627"/>
    <w:multiLevelType w:val="hybridMultilevel"/>
    <w:tmpl w:val="5C70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B58FD"/>
    <w:multiLevelType w:val="hybridMultilevel"/>
    <w:tmpl w:val="716CA1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C060A"/>
    <w:multiLevelType w:val="hybridMultilevel"/>
    <w:tmpl w:val="9AA64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2492E"/>
    <w:multiLevelType w:val="hybridMultilevel"/>
    <w:tmpl w:val="654A5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96178"/>
    <w:multiLevelType w:val="hybridMultilevel"/>
    <w:tmpl w:val="2A1CD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D15AB"/>
    <w:multiLevelType w:val="hybridMultilevel"/>
    <w:tmpl w:val="DBDC4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A41C4"/>
    <w:multiLevelType w:val="hybridMultilevel"/>
    <w:tmpl w:val="7CCE7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3D"/>
    <w:rsid w:val="00002B47"/>
    <w:rsid w:val="00004C33"/>
    <w:rsid w:val="00040D40"/>
    <w:rsid w:val="000722D0"/>
    <w:rsid w:val="000A6D66"/>
    <w:rsid w:val="000E454E"/>
    <w:rsid w:val="001176B9"/>
    <w:rsid w:val="00161716"/>
    <w:rsid w:val="001A4E33"/>
    <w:rsid w:val="001B5D8A"/>
    <w:rsid w:val="001C5FA4"/>
    <w:rsid w:val="001D6EBA"/>
    <w:rsid w:val="002C46C7"/>
    <w:rsid w:val="002E55DC"/>
    <w:rsid w:val="002F613A"/>
    <w:rsid w:val="003464F8"/>
    <w:rsid w:val="00346562"/>
    <w:rsid w:val="00357E07"/>
    <w:rsid w:val="003D3807"/>
    <w:rsid w:val="003E0404"/>
    <w:rsid w:val="003F3E5D"/>
    <w:rsid w:val="0040529A"/>
    <w:rsid w:val="0046000C"/>
    <w:rsid w:val="00474D36"/>
    <w:rsid w:val="00493AB4"/>
    <w:rsid w:val="004A4D1E"/>
    <w:rsid w:val="004B4685"/>
    <w:rsid w:val="004C6CE8"/>
    <w:rsid w:val="00500226"/>
    <w:rsid w:val="00564D58"/>
    <w:rsid w:val="00573BBB"/>
    <w:rsid w:val="0058200C"/>
    <w:rsid w:val="0059334E"/>
    <w:rsid w:val="00593FC2"/>
    <w:rsid w:val="005F0066"/>
    <w:rsid w:val="00604A25"/>
    <w:rsid w:val="00607521"/>
    <w:rsid w:val="006119FA"/>
    <w:rsid w:val="006259FE"/>
    <w:rsid w:val="00630982"/>
    <w:rsid w:val="00630EB0"/>
    <w:rsid w:val="00656232"/>
    <w:rsid w:val="0069383D"/>
    <w:rsid w:val="007935FE"/>
    <w:rsid w:val="007A52E8"/>
    <w:rsid w:val="007C4F8F"/>
    <w:rsid w:val="007D1277"/>
    <w:rsid w:val="00806712"/>
    <w:rsid w:val="0082093D"/>
    <w:rsid w:val="00856507"/>
    <w:rsid w:val="00867A75"/>
    <w:rsid w:val="00883CDB"/>
    <w:rsid w:val="008B40B5"/>
    <w:rsid w:val="008C785F"/>
    <w:rsid w:val="008D16BD"/>
    <w:rsid w:val="008E2DF0"/>
    <w:rsid w:val="008E5D19"/>
    <w:rsid w:val="008F79F6"/>
    <w:rsid w:val="00926BEA"/>
    <w:rsid w:val="009347C5"/>
    <w:rsid w:val="00982D44"/>
    <w:rsid w:val="00990649"/>
    <w:rsid w:val="009A0DAD"/>
    <w:rsid w:val="009F0567"/>
    <w:rsid w:val="00A43108"/>
    <w:rsid w:val="00AD7706"/>
    <w:rsid w:val="00AF78DD"/>
    <w:rsid w:val="00B111F6"/>
    <w:rsid w:val="00B350FA"/>
    <w:rsid w:val="00B87793"/>
    <w:rsid w:val="00BB324A"/>
    <w:rsid w:val="00BB443C"/>
    <w:rsid w:val="00BD736E"/>
    <w:rsid w:val="00BE6BA3"/>
    <w:rsid w:val="00BE7D48"/>
    <w:rsid w:val="00BF24B3"/>
    <w:rsid w:val="00BF63E3"/>
    <w:rsid w:val="00BF6580"/>
    <w:rsid w:val="00C16655"/>
    <w:rsid w:val="00C20A68"/>
    <w:rsid w:val="00C23C64"/>
    <w:rsid w:val="00C4616F"/>
    <w:rsid w:val="00C900D6"/>
    <w:rsid w:val="00CC2950"/>
    <w:rsid w:val="00D01DC8"/>
    <w:rsid w:val="00D13247"/>
    <w:rsid w:val="00DA68C1"/>
    <w:rsid w:val="00DD378B"/>
    <w:rsid w:val="00E15E57"/>
    <w:rsid w:val="00E91DA0"/>
    <w:rsid w:val="00EC70E0"/>
    <w:rsid w:val="00EE30A2"/>
    <w:rsid w:val="00F32DD4"/>
    <w:rsid w:val="00F37B0E"/>
    <w:rsid w:val="00F709D1"/>
    <w:rsid w:val="00F75CF5"/>
    <w:rsid w:val="00FA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9678873"/>
  <w15:chartTrackingRefBased/>
  <w15:docId w15:val="{F5B3A0BC-7C76-554B-964C-DAB56418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character" w:styleId="FollowedHyperlink">
    <w:name w:val="FollowedHyperlink"/>
    <w:rsid w:val="00A43108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176B9"/>
  </w:style>
  <w:style w:type="character" w:customStyle="1" w:styleId="FootnoteTextChar">
    <w:name w:val="Footnote Text Char"/>
    <w:basedOn w:val="DefaultParagraphFont"/>
    <w:link w:val="FootnoteText"/>
    <w:rsid w:val="001176B9"/>
  </w:style>
  <w:style w:type="paragraph" w:styleId="Header">
    <w:name w:val="header"/>
    <w:basedOn w:val="Normal"/>
    <w:link w:val="HeaderChar"/>
    <w:rsid w:val="007D12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D1277"/>
  </w:style>
  <w:style w:type="paragraph" w:styleId="Footer">
    <w:name w:val="footer"/>
    <w:basedOn w:val="Normal"/>
    <w:link w:val="FooterChar"/>
    <w:uiPriority w:val="99"/>
    <w:rsid w:val="007D12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277"/>
  </w:style>
  <w:style w:type="character" w:styleId="CommentReference">
    <w:name w:val="annotation reference"/>
    <w:basedOn w:val="DefaultParagraphFont"/>
    <w:rsid w:val="00593FC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FC2"/>
  </w:style>
  <w:style w:type="character" w:customStyle="1" w:styleId="CommentTextChar">
    <w:name w:val="Comment Text Char"/>
    <w:basedOn w:val="DefaultParagraphFont"/>
    <w:link w:val="CommentText"/>
    <w:rsid w:val="00593FC2"/>
  </w:style>
  <w:style w:type="paragraph" w:styleId="CommentSubject">
    <w:name w:val="annotation subject"/>
    <w:basedOn w:val="CommentText"/>
    <w:next w:val="CommentText"/>
    <w:link w:val="CommentSubjectChar"/>
    <w:rsid w:val="00593F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FC2"/>
    <w:rPr>
      <w:b/>
      <w:bCs/>
    </w:rPr>
  </w:style>
  <w:style w:type="paragraph" w:styleId="BalloonText">
    <w:name w:val="Balloon Text"/>
    <w:basedOn w:val="Normal"/>
    <w:link w:val="BalloonTextChar"/>
    <w:rsid w:val="00593F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93F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722D0"/>
    <w:pPr>
      <w:ind w:left="720"/>
      <w:contextualSpacing/>
    </w:pPr>
  </w:style>
  <w:style w:type="paragraph" w:styleId="Revision">
    <w:name w:val="Revision"/>
    <w:hidden/>
    <w:uiPriority w:val="99"/>
    <w:semiHidden/>
    <w:rsid w:val="00AD7706"/>
  </w:style>
  <w:style w:type="character" w:styleId="Hyperlink">
    <w:name w:val="Hyperlink"/>
    <w:basedOn w:val="DefaultParagraphFont"/>
    <w:uiPriority w:val="99"/>
    <w:unhideWhenUsed/>
    <w:rsid w:val="00474D3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AD532C91E54BEAAED1BEE7A1E6E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2E4EE-A548-4101-877F-73621E99BD4A}"/>
      </w:docPartPr>
      <w:docPartBody>
        <w:p w:rsidR="00B75EA0" w:rsidRDefault="00B27367" w:rsidP="00B27367">
          <w:pPr>
            <w:pStyle w:val="8CAD532C91E54BEAAED1BEE7A1E6EEC9"/>
          </w:pPr>
          <w:r>
            <w:rPr>
              <w:color w:val="767171" w:themeColor="background2" w:themeShade="80"/>
            </w:rPr>
            <w:t xml:space="preserve">Enter Addressee </w:t>
          </w:r>
        </w:p>
      </w:docPartBody>
    </w:docPart>
    <w:docPart>
      <w:docPartPr>
        <w:name w:val="7F4C5D1958C54166B59581AFEA204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700E0-DC90-4F7A-9C4D-8B074A4D36C7}"/>
      </w:docPartPr>
      <w:docPartBody>
        <w:p w:rsidR="00867027" w:rsidRDefault="002E32B4" w:rsidP="002E32B4">
          <w:pPr>
            <w:pStyle w:val="7F4C5D1958C54166B59581AFEA20476F"/>
          </w:pPr>
          <w:r w:rsidRPr="0024315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67"/>
    <w:rsid w:val="00142F22"/>
    <w:rsid w:val="002E32B4"/>
    <w:rsid w:val="00867027"/>
    <w:rsid w:val="00B27367"/>
    <w:rsid w:val="00B7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AD532C91E54BEAAED1BEE7A1E6EEC9">
    <w:name w:val="8CAD532C91E54BEAAED1BEE7A1E6EEC9"/>
    <w:rsid w:val="00B27367"/>
  </w:style>
  <w:style w:type="character" w:styleId="PlaceholderText">
    <w:name w:val="Placeholder Text"/>
    <w:basedOn w:val="DefaultParagraphFont"/>
    <w:uiPriority w:val="99"/>
    <w:semiHidden/>
    <w:rsid w:val="002E32B4"/>
    <w:rPr>
      <w:color w:val="808080"/>
    </w:rPr>
  </w:style>
  <w:style w:type="paragraph" w:customStyle="1" w:styleId="7F4C5D1958C54166B59581AFEA20476F">
    <w:name w:val="7F4C5D1958C54166B59581AFEA20476F"/>
    <w:rsid w:val="002E32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1A8AB-063F-4451-B738-693350F0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1527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MemowithSeal</vt:lpstr>
    </vt:vector>
  </TitlesOfParts>
  <Company>Microsoft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MemowithSeal</dc:title>
  <dc:subject>&amp;lt;p&amp;gt;  State of California    M e m o r a n d u m      Date:      To:       From: Public Utilities Commission—San Francisco -     File No:      Subject:               &amp;lt;/p&amp;gt;</dc:subject>
  <dc:creator>Microsoft Office User</dc:creator>
  <cp:keywords/>
  <dc:description>&amp;lt;p&amp;gt;  State of California    M e m o r a n d u m      Date:      To:       From: Public Utilities Commission—San Francisco -     File No:      Subject:               &amp;lt;/p&amp;gt;</dc:description>
  <cp:lastModifiedBy>Biermayer, Peter</cp:lastModifiedBy>
  <cp:revision>2</cp:revision>
  <cp:lastPrinted>2016-01-08T00:56:00Z</cp:lastPrinted>
  <dcterms:created xsi:type="dcterms:W3CDTF">2021-09-30T23:44:00Z</dcterms:created>
  <dcterms:modified xsi:type="dcterms:W3CDTF">2021-09-30T23:44:00Z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ktContentLanguage">
    <vt:i4>1033</vt:i4>
  </property>
  <property fmtid="{D5CDD505-2E9C-101B-9397-08002B2CF9AE}" pid="3" name="EktQuickLink">
    <vt:lpwstr>DownloadAsset.aspx?id=3711</vt:lpwstr>
  </property>
  <property fmtid="{D5CDD505-2E9C-101B-9397-08002B2CF9AE}" pid="4" name="EktContentType">
    <vt:i4>101</vt:i4>
  </property>
  <property fmtid="{D5CDD505-2E9C-101B-9397-08002B2CF9AE}" pid="5" name="EktContentSubType">
    <vt:i4>0</vt:i4>
  </property>
  <property fmtid="{D5CDD505-2E9C-101B-9397-08002B2CF9AE}" pid="6" name="EktFolderName">
    <vt:lpwstr/>
  </property>
  <property fmtid="{D5CDD505-2E9C-101B-9397-08002B2CF9AE}" pid="7" name="EktCmsPath">
    <vt:lpwstr>&amp;lt;p&amp;gt;  State of California    M e m o r a n d u m      Date:      To:       From: Public Utilities Commission—San Francisco -     File No:      Subject:               &amp;lt;/p&amp;gt;</vt:lpwstr>
  </property>
  <property fmtid="{D5CDD505-2E9C-101B-9397-08002B2CF9AE}" pid="8" name="EktExpiryType">
    <vt:i4>1</vt:i4>
  </property>
  <property fmtid="{D5CDD505-2E9C-101B-9397-08002B2CF9AE}" pid="9" name="EktDateCreated">
    <vt:filetime>2012-06-14T15:41:37Z</vt:filetime>
  </property>
  <property fmtid="{D5CDD505-2E9C-101B-9397-08002B2CF9AE}" pid="10" name="EktDateModified">
    <vt:filetime>2012-06-14T15:41:37Z</vt:filetime>
  </property>
  <property fmtid="{D5CDD505-2E9C-101B-9397-08002B2CF9AE}" pid="11" name="EktTaxCategory">
    <vt:lpwstr/>
  </property>
  <property fmtid="{D5CDD505-2E9C-101B-9397-08002B2CF9AE}" pid="12" name="EktDisabledTaxCategory">
    <vt:lpwstr/>
  </property>
  <property fmtid="{D5CDD505-2E9C-101B-9397-08002B2CF9AE}" pid="13" name="EktCmsSize">
    <vt:i4>53248</vt:i4>
  </property>
  <property fmtid="{D5CDD505-2E9C-101B-9397-08002B2CF9AE}" pid="14" name="EktSearchable">
    <vt:i4>1</vt:i4>
  </property>
  <property fmtid="{D5CDD505-2E9C-101B-9397-08002B2CF9AE}" pid="15" name="EktEDescription">
    <vt:lpwstr>Summary &amp;lt;p&amp;gt;  State of California    M e m o r a n d u m      Date:      To:       From: Public Utilities Commission—San Francisco -     File No:      Subject:               &amp;lt;/p&amp;gt;</vt:lpwstr>
  </property>
</Properties>
</file>