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19" w:rsidRDefault="00794019" w:rsidP="00794019">
      <w:pPr>
        <w:spacing w:after="0" w:line="240" w:lineRule="auto"/>
        <w:rPr>
          <w:b/>
          <w:sz w:val="24"/>
          <w:szCs w:val="24"/>
        </w:rPr>
      </w:pPr>
      <w:bookmarkStart w:id="0" w:name="_GoBack"/>
      <w:bookmarkEnd w:id="0"/>
      <w:r>
        <w:rPr>
          <w:b/>
          <w:sz w:val="24"/>
          <w:szCs w:val="24"/>
        </w:rPr>
        <w:t>WORKPAPER DISPOSITION FOR</w:t>
      </w:r>
    </w:p>
    <w:p w:rsidR="00794019" w:rsidRDefault="000A5C27" w:rsidP="00794019">
      <w:pPr>
        <w:spacing w:after="0" w:line="240" w:lineRule="auto"/>
        <w:rPr>
          <w:b/>
          <w:sz w:val="24"/>
          <w:szCs w:val="24"/>
        </w:rPr>
      </w:pPr>
      <w:r>
        <w:rPr>
          <w:b/>
          <w:sz w:val="24"/>
          <w:szCs w:val="24"/>
        </w:rPr>
        <w:t>On-Demand Pump Control for Central Domestic Hot Water Systems</w:t>
      </w:r>
    </w:p>
    <w:p w:rsidR="00794019" w:rsidRDefault="00794019" w:rsidP="00794019">
      <w:pPr>
        <w:spacing w:after="0" w:line="240" w:lineRule="auto"/>
        <w:rPr>
          <w:b/>
          <w:sz w:val="24"/>
          <w:szCs w:val="24"/>
        </w:rPr>
      </w:pPr>
      <w:r>
        <w:rPr>
          <w:b/>
          <w:sz w:val="24"/>
          <w:szCs w:val="24"/>
        </w:rPr>
        <w:t>California Public Utilities Commission, Energy Division</w:t>
      </w:r>
    </w:p>
    <w:p w:rsidR="00D21CC3" w:rsidRDefault="00B96B21" w:rsidP="00794019">
      <w:pPr>
        <w:spacing w:after="0" w:line="240" w:lineRule="auto"/>
        <w:rPr>
          <w:b/>
          <w:sz w:val="24"/>
          <w:szCs w:val="24"/>
        </w:rPr>
      </w:pPr>
      <w:r>
        <w:rPr>
          <w:b/>
          <w:sz w:val="24"/>
          <w:szCs w:val="24"/>
        </w:rPr>
        <w:t>June 20</w:t>
      </w:r>
      <w:r w:rsidR="000D38A7">
        <w:rPr>
          <w:b/>
          <w:sz w:val="24"/>
          <w:szCs w:val="24"/>
        </w:rPr>
        <w:t>, 2013 (Revised)</w:t>
      </w:r>
    </w:p>
    <w:p w:rsidR="00D21CC3" w:rsidRDefault="00D21CC3" w:rsidP="00794019">
      <w:pPr>
        <w:spacing w:after="0" w:line="240" w:lineRule="auto"/>
        <w:rPr>
          <w:b/>
          <w:sz w:val="24"/>
          <w:szCs w:val="24"/>
        </w:rPr>
      </w:pPr>
    </w:p>
    <w:p w:rsidR="009736BE" w:rsidRDefault="009736BE" w:rsidP="0019679B">
      <w:pPr>
        <w:pBdr>
          <w:top w:val="single" w:sz="4" w:space="1" w:color="auto"/>
          <w:left w:val="single" w:sz="4" w:space="0" w:color="auto"/>
          <w:bottom w:val="single" w:sz="4" w:space="1" w:color="auto"/>
          <w:right w:val="single" w:sz="4" w:space="4" w:color="auto"/>
        </w:pBdr>
        <w:spacing w:after="0"/>
        <w:ind w:left="1080" w:right="1080"/>
        <w:rPr>
          <w:rFonts w:ascii="Times New Roman" w:hAnsi="Times New Roman"/>
          <w:sz w:val="20"/>
          <w:szCs w:val="20"/>
        </w:rPr>
      </w:pPr>
      <w:r w:rsidRPr="00A873BF">
        <w:rPr>
          <w:rFonts w:ascii="Times New Roman" w:hAnsi="Times New Roman"/>
          <w:b/>
          <w:sz w:val="20"/>
          <w:szCs w:val="20"/>
        </w:rPr>
        <w:t xml:space="preserve">Revision Notes, </w:t>
      </w:r>
      <w:r w:rsidR="00B96B21">
        <w:rPr>
          <w:rFonts w:ascii="Times New Roman" w:hAnsi="Times New Roman"/>
          <w:b/>
          <w:sz w:val="20"/>
          <w:szCs w:val="20"/>
        </w:rPr>
        <w:t>June 20</w:t>
      </w:r>
      <w:r w:rsidRPr="00A873BF">
        <w:rPr>
          <w:rFonts w:ascii="Times New Roman" w:hAnsi="Times New Roman"/>
          <w:b/>
          <w:sz w:val="20"/>
          <w:szCs w:val="20"/>
        </w:rPr>
        <w:t xml:space="preserve">, 2013: </w:t>
      </w:r>
      <w:r>
        <w:rPr>
          <w:rFonts w:ascii="Times New Roman" w:hAnsi="Times New Roman"/>
          <w:sz w:val="20"/>
          <w:szCs w:val="20"/>
        </w:rPr>
        <w:t>SCE’s submitted workpaper included savings values for three water heating sources: natural gas, electric-resistance and heat</w:t>
      </w:r>
      <w:r w:rsidR="00B96B21">
        <w:rPr>
          <w:rFonts w:ascii="Times New Roman" w:hAnsi="Times New Roman"/>
          <w:sz w:val="20"/>
          <w:szCs w:val="20"/>
        </w:rPr>
        <w:t>. The staff disposition included recommended savings values for all climate zones and IOUs. However, the original staff disposition had the following errors:</w:t>
      </w:r>
    </w:p>
    <w:p w:rsidR="00B96B21" w:rsidRDefault="00B96B21" w:rsidP="0019679B">
      <w:pPr>
        <w:pStyle w:val="ListParagraph"/>
        <w:numPr>
          <w:ilvl w:val="0"/>
          <w:numId w:val="9"/>
        </w:numPr>
        <w:pBdr>
          <w:top w:val="single" w:sz="4" w:space="1" w:color="auto"/>
          <w:left w:val="single" w:sz="4" w:space="0" w:color="auto"/>
          <w:bottom w:val="single" w:sz="4" w:space="1" w:color="auto"/>
          <w:right w:val="single" w:sz="4" w:space="4" w:color="auto"/>
        </w:pBdr>
        <w:spacing w:after="0"/>
        <w:ind w:left="1440" w:right="1080"/>
        <w:rPr>
          <w:rFonts w:ascii="Times New Roman" w:hAnsi="Times New Roman"/>
          <w:sz w:val="20"/>
          <w:szCs w:val="20"/>
        </w:rPr>
      </w:pPr>
      <w:r>
        <w:rPr>
          <w:rFonts w:ascii="Times New Roman" w:hAnsi="Times New Roman"/>
          <w:sz w:val="20"/>
          <w:szCs w:val="20"/>
        </w:rPr>
        <w:t>Savings values for systems with heat pump water heaters were not included.</w:t>
      </w:r>
    </w:p>
    <w:p w:rsidR="00B96B21" w:rsidRDefault="00B96B21" w:rsidP="0019679B">
      <w:pPr>
        <w:pStyle w:val="ListParagraph"/>
        <w:numPr>
          <w:ilvl w:val="0"/>
          <w:numId w:val="9"/>
        </w:numPr>
        <w:pBdr>
          <w:top w:val="single" w:sz="4" w:space="1" w:color="auto"/>
          <w:left w:val="single" w:sz="4" w:space="0" w:color="auto"/>
          <w:bottom w:val="single" w:sz="4" w:space="1" w:color="auto"/>
          <w:right w:val="single" w:sz="4" w:space="4" w:color="auto"/>
        </w:pBdr>
        <w:spacing w:after="0"/>
        <w:ind w:left="1440" w:right="1080"/>
        <w:rPr>
          <w:rFonts w:ascii="Times New Roman" w:hAnsi="Times New Roman"/>
          <w:sz w:val="20"/>
          <w:szCs w:val="20"/>
        </w:rPr>
      </w:pPr>
      <w:r>
        <w:rPr>
          <w:rFonts w:ascii="Times New Roman" w:hAnsi="Times New Roman"/>
          <w:sz w:val="20"/>
          <w:szCs w:val="20"/>
        </w:rPr>
        <w:t>Savings values for systems with electric resistance water heaters included only the pumping energy savings, and did not include the savings from reduced water heater operation.</w:t>
      </w:r>
    </w:p>
    <w:p w:rsidR="00B96B21" w:rsidRDefault="00B96B21" w:rsidP="0019679B">
      <w:pPr>
        <w:pBdr>
          <w:top w:val="single" w:sz="4" w:space="1" w:color="auto"/>
          <w:left w:val="single" w:sz="4" w:space="0" w:color="auto"/>
          <w:bottom w:val="single" w:sz="4" w:space="1" w:color="auto"/>
          <w:right w:val="single" w:sz="4" w:space="4" w:color="auto"/>
        </w:pBdr>
        <w:spacing w:after="0"/>
        <w:ind w:left="1080" w:right="1080"/>
        <w:rPr>
          <w:rFonts w:ascii="Times New Roman" w:hAnsi="Times New Roman"/>
          <w:sz w:val="20"/>
          <w:szCs w:val="20"/>
        </w:rPr>
      </w:pPr>
    </w:p>
    <w:p w:rsidR="00B96B21" w:rsidRPr="0019679B" w:rsidRDefault="00B96B21" w:rsidP="0019679B">
      <w:pPr>
        <w:pBdr>
          <w:top w:val="single" w:sz="4" w:space="1" w:color="auto"/>
          <w:left w:val="single" w:sz="4" w:space="0" w:color="auto"/>
          <w:bottom w:val="single" w:sz="4" w:space="1" w:color="auto"/>
          <w:right w:val="single" w:sz="4" w:space="4" w:color="auto"/>
        </w:pBdr>
        <w:spacing w:after="0"/>
        <w:ind w:left="1080" w:right="1080"/>
        <w:rPr>
          <w:rFonts w:ascii="Times New Roman" w:hAnsi="Times New Roman"/>
          <w:sz w:val="20"/>
          <w:szCs w:val="20"/>
        </w:rPr>
      </w:pPr>
      <w:r>
        <w:rPr>
          <w:rFonts w:ascii="Times New Roman" w:hAnsi="Times New Roman"/>
          <w:sz w:val="20"/>
          <w:szCs w:val="20"/>
        </w:rPr>
        <w:t>After SCE pointed out the errors noted above, Commission staff reviewed the calculations for heat pump water heaters. Commission staff requested that SCE revise the heat pump water heating savings to be based on an average COP rather than the recovery efficiency of 0.98</w:t>
      </w:r>
      <w:r w:rsidR="0019679B">
        <w:rPr>
          <w:rFonts w:ascii="Times New Roman" w:hAnsi="Times New Roman"/>
          <w:sz w:val="20"/>
          <w:szCs w:val="20"/>
        </w:rPr>
        <w:t>. A recovery efficiency of 0.98</w:t>
      </w:r>
      <w:r>
        <w:rPr>
          <w:rFonts w:ascii="Times New Roman" w:hAnsi="Times New Roman"/>
          <w:sz w:val="20"/>
          <w:szCs w:val="20"/>
        </w:rPr>
        <w:t xml:space="preserve"> is an acceptable value used for electric resistance water heating, but not heat pumps. Commission and IOU staff held a conference call on June 19, 2013. During this call, a consensus was reached to revise the savings calculations for heat pump water heaters to use an average COP of 2.5.</w:t>
      </w:r>
      <w:r w:rsidR="007D7F60">
        <w:rPr>
          <w:rFonts w:ascii="Times New Roman" w:hAnsi="Times New Roman"/>
          <w:sz w:val="20"/>
          <w:szCs w:val="20"/>
        </w:rPr>
        <w:t xml:space="preserve"> Staff revised the calculation workbook to include corrected savings values for systems with electric resistance and heat pump waters heaters.</w:t>
      </w:r>
    </w:p>
    <w:p w:rsidR="009736BE" w:rsidRDefault="009736BE" w:rsidP="00794019"/>
    <w:p w:rsidR="00794019" w:rsidRPr="00E534A2" w:rsidRDefault="00794019" w:rsidP="00794019">
      <w:r>
        <w:t xml:space="preserve">Refer to </w:t>
      </w:r>
      <w:r>
        <w:fldChar w:fldCharType="begin"/>
      </w:r>
      <w:r>
        <w:instrText xml:space="preserve"> REF _Ref324175084 \h </w:instrText>
      </w:r>
      <w:r>
        <w:fldChar w:fldCharType="separate"/>
      </w:r>
      <w:r w:rsidRPr="00E534A2">
        <w:t xml:space="preserve">Table </w:t>
      </w:r>
      <w:r>
        <w:rPr>
          <w:noProof/>
        </w:rPr>
        <w:t>1</w:t>
      </w:r>
      <w:r>
        <w:fldChar w:fldCharType="end"/>
      </w:r>
      <w:r>
        <w:t xml:space="preserve"> for a list of currently submitted IOU workpapers t</w:t>
      </w:r>
      <w:r w:rsidR="000A5C27">
        <w:t>hat cover On-Demand Pump.</w:t>
      </w:r>
    </w:p>
    <w:p w:rsidR="00794019" w:rsidRPr="00E534A2" w:rsidRDefault="00794019" w:rsidP="00794019">
      <w:pPr>
        <w:pStyle w:val="Caption"/>
        <w:keepNext/>
        <w:rPr>
          <w:sz w:val="22"/>
          <w:szCs w:val="22"/>
        </w:rPr>
      </w:pPr>
      <w:bookmarkStart w:id="1" w:name="_Ref324175084"/>
      <w:r w:rsidRPr="00E534A2">
        <w:rPr>
          <w:sz w:val="22"/>
          <w:szCs w:val="22"/>
        </w:rPr>
        <w:t xml:space="preserve">Table </w:t>
      </w:r>
      <w:r w:rsidR="00D357DD">
        <w:rPr>
          <w:sz w:val="22"/>
          <w:szCs w:val="22"/>
        </w:rPr>
        <w:fldChar w:fldCharType="begin"/>
      </w:r>
      <w:r w:rsidR="00D357DD">
        <w:rPr>
          <w:sz w:val="22"/>
          <w:szCs w:val="22"/>
        </w:rPr>
        <w:instrText xml:space="preserve"> SEQ Table \* ARABIC </w:instrText>
      </w:r>
      <w:r w:rsidR="00D357DD">
        <w:rPr>
          <w:sz w:val="22"/>
          <w:szCs w:val="22"/>
        </w:rPr>
        <w:fldChar w:fldCharType="separate"/>
      </w:r>
      <w:r w:rsidR="00674FD0">
        <w:rPr>
          <w:noProof/>
          <w:sz w:val="22"/>
          <w:szCs w:val="22"/>
        </w:rPr>
        <w:t>1</w:t>
      </w:r>
      <w:r w:rsidR="00D357DD">
        <w:rPr>
          <w:sz w:val="22"/>
          <w:szCs w:val="22"/>
        </w:rPr>
        <w:fldChar w:fldCharType="end"/>
      </w:r>
      <w:bookmarkEnd w:id="1"/>
      <w:r w:rsidRPr="00E534A2">
        <w:rPr>
          <w:sz w:val="22"/>
          <w:szCs w:val="22"/>
        </w:rPr>
        <w:t xml:space="preserve"> </w:t>
      </w:r>
      <w:r w:rsidR="000A5C27">
        <w:rPr>
          <w:sz w:val="22"/>
          <w:szCs w:val="22"/>
        </w:rPr>
        <w:t>–</w:t>
      </w:r>
      <w:r w:rsidRPr="00E534A2">
        <w:rPr>
          <w:sz w:val="22"/>
          <w:szCs w:val="22"/>
        </w:rPr>
        <w:t xml:space="preserve"> </w:t>
      </w:r>
      <w:r w:rsidR="000A5C27">
        <w:rPr>
          <w:sz w:val="22"/>
          <w:szCs w:val="22"/>
        </w:rPr>
        <w:t>On-Demand Pump Control for Central Domestic Hot Water Systems</w:t>
      </w:r>
    </w:p>
    <w:tbl>
      <w:tblPr>
        <w:tblW w:w="92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6"/>
        <w:gridCol w:w="5265"/>
        <w:gridCol w:w="1764"/>
      </w:tblGrid>
      <w:tr w:rsidR="00794019" w:rsidRPr="008E6B1C" w:rsidTr="0025457E">
        <w:trPr>
          <w:trHeight w:val="287"/>
        </w:trPr>
        <w:tc>
          <w:tcPr>
            <w:tcW w:w="2256" w:type="dxa"/>
          </w:tcPr>
          <w:p w:rsidR="00794019" w:rsidRPr="008E6B1C" w:rsidRDefault="00794019" w:rsidP="001E7828">
            <w:pPr>
              <w:keepNext/>
              <w:spacing w:after="0" w:line="240" w:lineRule="auto"/>
              <w:rPr>
                <w:b/>
              </w:rPr>
            </w:pPr>
            <w:r w:rsidRPr="008E6B1C">
              <w:rPr>
                <w:b/>
              </w:rPr>
              <w:t>Workpaper ID</w:t>
            </w:r>
          </w:p>
        </w:tc>
        <w:tc>
          <w:tcPr>
            <w:tcW w:w="5265" w:type="dxa"/>
          </w:tcPr>
          <w:p w:rsidR="00794019" w:rsidRPr="008E6B1C" w:rsidRDefault="00794019" w:rsidP="001E7828">
            <w:pPr>
              <w:keepNext/>
              <w:spacing w:after="0" w:line="240" w:lineRule="auto"/>
              <w:rPr>
                <w:b/>
              </w:rPr>
            </w:pPr>
            <w:r w:rsidRPr="008E6B1C">
              <w:rPr>
                <w:b/>
              </w:rPr>
              <w:t>Workpaper Title</w:t>
            </w:r>
          </w:p>
        </w:tc>
        <w:tc>
          <w:tcPr>
            <w:tcW w:w="1764" w:type="dxa"/>
          </w:tcPr>
          <w:p w:rsidR="00794019" w:rsidRPr="008E6B1C" w:rsidRDefault="00794019" w:rsidP="001E7828">
            <w:pPr>
              <w:keepNext/>
              <w:spacing w:after="0" w:line="240" w:lineRule="auto"/>
              <w:rPr>
                <w:b/>
              </w:rPr>
            </w:pPr>
            <w:r w:rsidRPr="008E6B1C">
              <w:rPr>
                <w:b/>
              </w:rPr>
              <w:t>Date Submitted</w:t>
            </w:r>
          </w:p>
        </w:tc>
      </w:tr>
      <w:tr w:rsidR="0025457E" w:rsidRPr="008E6B1C" w:rsidTr="0019679B">
        <w:trPr>
          <w:trHeight w:val="287"/>
        </w:trPr>
        <w:tc>
          <w:tcPr>
            <w:tcW w:w="2256" w:type="dxa"/>
            <w:tcBorders>
              <w:right w:val="nil"/>
            </w:tcBorders>
            <w:shd w:val="pct25" w:color="auto" w:fill="auto"/>
          </w:tcPr>
          <w:p w:rsidR="0025457E" w:rsidRPr="008E6B1C" w:rsidRDefault="0025457E" w:rsidP="001E7828">
            <w:pPr>
              <w:keepNext/>
              <w:spacing w:after="0" w:line="240" w:lineRule="auto"/>
              <w:rPr>
                <w:b/>
              </w:rPr>
            </w:pPr>
            <w:r>
              <w:rPr>
                <w:b/>
              </w:rPr>
              <w:t>SCG</w:t>
            </w:r>
          </w:p>
        </w:tc>
        <w:tc>
          <w:tcPr>
            <w:tcW w:w="5265" w:type="dxa"/>
            <w:tcBorders>
              <w:left w:val="nil"/>
              <w:right w:val="nil"/>
            </w:tcBorders>
            <w:shd w:val="pct25" w:color="auto" w:fill="auto"/>
          </w:tcPr>
          <w:p w:rsidR="0025457E" w:rsidRPr="008E6B1C" w:rsidRDefault="0025457E" w:rsidP="001E7828">
            <w:pPr>
              <w:keepNext/>
              <w:spacing w:after="0" w:line="240" w:lineRule="auto"/>
            </w:pPr>
          </w:p>
        </w:tc>
        <w:tc>
          <w:tcPr>
            <w:tcW w:w="1764" w:type="dxa"/>
            <w:tcBorders>
              <w:left w:val="nil"/>
            </w:tcBorders>
            <w:shd w:val="pct25" w:color="auto" w:fill="auto"/>
          </w:tcPr>
          <w:p w:rsidR="0025457E" w:rsidRPr="008E6B1C" w:rsidRDefault="0025457E" w:rsidP="001E7828">
            <w:pPr>
              <w:keepNext/>
              <w:spacing w:after="0" w:line="240" w:lineRule="auto"/>
              <w:jc w:val="right"/>
            </w:pPr>
          </w:p>
        </w:tc>
      </w:tr>
      <w:tr w:rsidR="0025457E" w:rsidRPr="008E6B1C" w:rsidTr="0019679B">
        <w:trPr>
          <w:trHeight w:val="287"/>
        </w:trPr>
        <w:tc>
          <w:tcPr>
            <w:tcW w:w="2256" w:type="dxa"/>
          </w:tcPr>
          <w:p w:rsidR="0025457E" w:rsidRPr="0025457E" w:rsidRDefault="000A5C27" w:rsidP="0025457E">
            <w:pPr>
              <w:spacing w:after="0" w:line="240" w:lineRule="auto"/>
            </w:pPr>
            <w:r w:rsidRPr="000A5C27">
              <w:t>WPSCGODE091116</w:t>
            </w:r>
          </w:p>
        </w:tc>
        <w:tc>
          <w:tcPr>
            <w:tcW w:w="5265" w:type="dxa"/>
          </w:tcPr>
          <w:p w:rsidR="0025457E" w:rsidRPr="008E6B1C" w:rsidRDefault="000A5C27" w:rsidP="0025457E">
            <w:pPr>
              <w:spacing w:after="0" w:line="240" w:lineRule="auto"/>
            </w:pPr>
            <w:r w:rsidRPr="000A5C27">
              <w:t>On-Demand Pump Control for Central Domestic Hot Water Systems</w:t>
            </w:r>
          </w:p>
        </w:tc>
        <w:tc>
          <w:tcPr>
            <w:tcW w:w="1764" w:type="dxa"/>
          </w:tcPr>
          <w:p w:rsidR="0025457E" w:rsidRPr="008E6B1C" w:rsidRDefault="000A5C27" w:rsidP="000A5C27">
            <w:pPr>
              <w:spacing w:after="0" w:line="240" w:lineRule="auto"/>
              <w:jc w:val="right"/>
            </w:pPr>
            <w:r>
              <w:t>01/2</w:t>
            </w:r>
            <w:r w:rsidR="0025457E">
              <w:t>1/201</w:t>
            </w:r>
            <w:r>
              <w:t>0</w:t>
            </w:r>
          </w:p>
        </w:tc>
      </w:tr>
      <w:tr w:rsidR="00794019" w:rsidRPr="008E6B1C" w:rsidTr="0025457E">
        <w:trPr>
          <w:trHeight w:val="276"/>
        </w:trPr>
        <w:tc>
          <w:tcPr>
            <w:tcW w:w="2256" w:type="dxa"/>
            <w:tcBorders>
              <w:right w:val="nil"/>
            </w:tcBorders>
            <w:shd w:val="pct25" w:color="auto" w:fill="auto"/>
          </w:tcPr>
          <w:p w:rsidR="00794019" w:rsidRPr="008E6B1C" w:rsidRDefault="00794019" w:rsidP="001E7828">
            <w:pPr>
              <w:keepNext/>
              <w:spacing w:after="0" w:line="240" w:lineRule="auto"/>
              <w:rPr>
                <w:b/>
              </w:rPr>
            </w:pPr>
            <w:r w:rsidRPr="008E6B1C">
              <w:rPr>
                <w:b/>
              </w:rPr>
              <w:t>SDG&amp;E</w:t>
            </w:r>
          </w:p>
        </w:tc>
        <w:tc>
          <w:tcPr>
            <w:tcW w:w="5265" w:type="dxa"/>
            <w:tcBorders>
              <w:left w:val="nil"/>
              <w:right w:val="nil"/>
            </w:tcBorders>
            <w:shd w:val="pct25" w:color="auto" w:fill="auto"/>
          </w:tcPr>
          <w:p w:rsidR="00794019" w:rsidRPr="008E6B1C" w:rsidRDefault="00794019" w:rsidP="001E7828">
            <w:pPr>
              <w:keepNext/>
              <w:spacing w:after="0" w:line="240" w:lineRule="auto"/>
            </w:pPr>
          </w:p>
        </w:tc>
        <w:tc>
          <w:tcPr>
            <w:tcW w:w="1764" w:type="dxa"/>
            <w:tcBorders>
              <w:left w:val="nil"/>
            </w:tcBorders>
            <w:shd w:val="pct25" w:color="auto" w:fill="auto"/>
          </w:tcPr>
          <w:p w:rsidR="00794019" w:rsidRPr="008E6B1C" w:rsidRDefault="00794019" w:rsidP="001E7828">
            <w:pPr>
              <w:keepNext/>
              <w:spacing w:after="0" w:line="240" w:lineRule="auto"/>
              <w:jc w:val="right"/>
            </w:pPr>
          </w:p>
        </w:tc>
      </w:tr>
      <w:tr w:rsidR="00794019" w:rsidRPr="008E6B1C" w:rsidTr="0025457E">
        <w:trPr>
          <w:trHeight w:val="551"/>
        </w:trPr>
        <w:tc>
          <w:tcPr>
            <w:tcW w:w="2256" w:type="dxa"/>
          </w:tcPr>
          <w:p w:rsidR="00794019" w:rsidRPr="008E6B1C" w:rsidRDefault="000A5C27" w:rsidP="001E7828">
            <w:pPr>
              <w:spacing w:after="0" w:line="240" w:lineRule="auto"/>
            </w:pPr>
            <w:r w:rsidRPr="000A5C27">
              <w:t>WPSDGENRWH1201</w:t>
            </w:r>
          </w:p>
        </w:tc>
        <w:tc>
          <w:tcPr>
            <w:tcW w:w="5265" w:type="dxa"/>
          </w:tcPr>
          <w:p w:rsidR="00794019" w:rsidRPr="008E6B1C" w:rsidRDefault="000A5C27" w:rsidP="001E7828">
            <w:pPr>
              <w:spacing w:after="0" w:line="240" w:lineRule="auto"/>
            </w:pPr>
            <w:r w:rsidRPr="000A5C27">
              <w:t>On-Demand Pump Control for Central Domestic Hot Water Systems</w:t>
            </w:r>
          </w:p>
        </w:tc>
        <w:tc>
          <w:tcPr>
            <w:tcW w:w="1764" w:type="dxa"/>
          </w:tcPr>
          <w:p w:rsidR="00794019" w:rsidRPr="008E6B1C" w:rsidRDefault="00D21CC3" w:rsidP="001E7828">
            <w:pPr>
              <w:spacing w:after="0" w:line="240" w:lineRule="auto"/>
              <w:jc w:val="right"/>
            </w:pPr>
            <w:r>
              <w:t>06/15/2012</w:t>
            </w:r>
          </w:p>
        </w:tc>
      </w:tr>
      <w:tr w:rsidR="00794019" w:rsidRPr="008E6B1C" w:rsidTr="0025457E">
        <w:trPr>
          <w:trHeight w:val="276"/>
        </w:trPr>
        <w:tc>
          <w:tcPr>
            <w:tcW w:w="2256" w:type="dxa"/>
            <w:tcBorders>
              <w:right w:val="nil"/>
            </w:tcBorders>
            <w:shd w:val="clear" w:color="auto" w:fill="BFBFBF"/>
          </w:tcPr>
          <w:p w:rsidR="00794019" w:rsidRPr="008E6B1C" w:rsidRDefault="00794019" w:rsidP="001E7828">
            <w:pPr>
              <w:keepNext/>
              <w:spacing w:after="0" w:line="240" w:lineRule="auto"/>
              <w:rPr>
                <w:b/>
              </w:rPr>
            </w:pPr>
            <w:r w:rsidRPr="008E6B1C">
              <w:rPr>
                <w:b/>
              </w:rPr>
              <w:t>SCE</w:t>
            </w:r>
          </w:p>
        </w:tc>
        <w:tc>
          <w:tcPr>
            <w:tcW w:w="5265" w:type="dxa"/>
            <w:tcBorders>
              <w:left w:val="nil"/>
              <w:right w:val="nil"/>
            </w:tcBorders>
            <w:shd w:val="clear" w:color="auto" w:fill="BFBFBF"/>
          </w:tcPr>
          <w:p w:rsidR="00794019" w:rsidRPr="008E6B1C" w:rsidRDefault="00794019" w:rsidP="001E7828">
            <w:pPr>
              <w:keepNext/>
              <w:spacing w:after="0" w:line="240" w:lineRule="auto"/>
            </w:pPr>
          </w:p>
        </w:tc>
        <w:tc>
          <w:tcPr>
            <w:tcW w:w="1764" w:type="dxa"/>
            <w:tcBorders>
              <w:left w:val="nil"/>
            </w:tcBorders>
            <w:shd w:val="clear" w:color="auto" w:fill="BFBFBF"/>
          </w:tcPr>
          <w:p w:rsidR="00794019" w:rsidRPr="008E6B1C" w:rsidRDefault="00794019" w:rsidP="001E7828">
            <w:pPr>
              <w:keepNext/>
              <w:spacing w:after="0" w:line="240" w:lineRule="auto"/>
            </w:pPr>
          </w:p>
        </w:tc>
      </w:tr>
      <w:tr w:rsidR="00794019" w:rsidRPr="008E6B1C" w:rsidTr="0025457E">
        <w:trPr>
          <w:trHeight w:val="276"/>
        </w:trPr>
        <w:tc>
          <w:tcPr>
            <w:tcW w:w="2256" w:type="dxa"/>
          </w:tcPr>
          <w:p w:rsidR="00794019" w:rsidRPr="008E6B1C" w:rsidRDefault="000A5C27" w:rsidP="001E7828">
            <w:pPr>
              <w:keepNext/>
              <w:spacing w:after="0" w:line="240" w:lineRule="auto"/>
            </w:pPr>
            <w:r w:rsidRPr="000A5C27">
              <w:t>SCE13WP002</w:t>
            </w:r>
          </w:p>
        </w:tc>
        <w:tc>
          <w:tcPr>
            <w:tcW w:w="5265" w:type="dxa"/>
          </w:tcPr>
          <w:p w:rsidR="00794019" w:rsidRPr="008E6B1C" w:rsidRDefault="000A5C27" w:rsidP="001E7828">
            <w:pPr>
              <w:keepNext/>
              <w:spacing w:after="0" w:line="240" w:lineRule="auto"/>
            </w:pPr>
            <w:r w:rsidRPr="000A5C27">
              <w:t>Demand Control for Centralized Water Heater Recirculation Pump</w:t>
            </w:r>
          </w:p>
        </w:tc>
        <w:tc>
          <w:tcPr>
            <w:tcW w:w="1764" w:type="dxa"/>
          </w:tcPr>
          <w:p w:rsidR="00794019" w:rsidRPr="008E6B1C" w:rsidRDefault="000A5C27" w:rsidP="001E7828">
            <w:pPr>
              <w:keepNext/>
              <w:spacing w:after="0" w:line="240" w:lineRule="auto"/>
              <w:jc w:val="right"/>
            </w:pPr>
            <w:r>
              <w:t>04/0</w:t>
            </w:r>
            <w:r w:rsidR="00794019">
              <w:t>9/2012</w:t>
            </w:r>
          </w:p>
        </w:tc>
      </w:tr>
    </w:tbl>
    <w:p w:rsidR="00794019" w:rsidRDefault="00794019" w:rsidP="00794019">
      <w:pPr>
        <w:tabs>
          <w:tab w:val="left" w:pos="2520"/>
        </w:tabs>
      </w:pPr>
    </w:p>
    <w:p w:rsidR="0025457E" w:rsidRDefault="0025457E" w:rsidP="0019679B">
      <w:pPr>
        <w:keepNext/>
        <w:tabs>
          <w:tab w:val="left" w:pos="2520"/>
        </w:tabs>
        <w:rPr>
          <w:b/>
          <w:u w:val="single"/>
        </w:rPr>
      </w:pPr>
      <w:r>
        <w:rPr>
          <w:b/>
          <w:u w:val="single"/>
        </w:rPr>
        <w:lastRenderedPageBreak/>
        <w:t xml:space="preserve">Workpaper </w:t>
      </w:r>
      <w:r w:rsidR="00721A99">
        <w:rPr>
          <w:b/>
          <w:u w:val="single"/>
        </w:rPr>
        <w:t>Disposition</w:t>
      </w:r>
      <w:r>
        <w:rPr>
          <w:b/>
          <w:u w:val="single"/>
        </w:rPr>
        <w:t>:</w:t>
      </w:r>
    </w:p>
    <w:p w:rsidR="00D357DD" w:rsidRDefault="00D357DD" w:rsidP="0019679B">
      <w:pPr>
        <w:keepNext/>
        <w:tabs>
          <w:tab w:val="left" w:pos="2520"/>
        </w:tabs>
        <w:rPr>
          <w:b/>
        </w:rPr>
      </w:pPr>
      <w:r w:rsidRPr="00D357DD">
        <w:rPr>
          <w:b/>
        </w:rPr>
        <w:t>2013-2014 Disposition Summary</w:t>
      </w:r>
    </w:p>
    <w:p w:rsidR="00D357DD" w:rsidRDefault="00D357DD" w:rsidP="0019679B">
      <w:pPr>
        <w:keepNext/>
        <w:tabs>
          <w:tab w:val="left" w:pos="2520"/>
        </w:tabs>
      </w:pPr>
      <w:r w:rsidRPr="00D357DD">
        <w:t>Energy Division staff recommends the following revisions:</w:t>
      </w:r>
    </w:p>
    <w:p w:rsidR="00D357DD" w:rsidRDefault="00D357DD" w:rsidP="00DE3204">
      <w:pPr>
        <w:pStyle w:val="ListParagraph"/>
        <w:numPr>
          <w:ilvl w:val="0"/>
          <w:numId w:val="8"/>
        </w:numPr>
        <w:tabs>
          <w:tab w:val="left" w:pos="2520"/>
        </w:tabs>
      </w:pPr>
      <w:r>
        <w:t>Savings shall be uniform across all IOUs</w:t>
      </w:r>
      <w:r w:rsidR="00977BCB">
        <w:t xml:space="preserve"> and shall be based on the SCE workpaper</w:t>
      </w:r>
      <w:r>
        <w:t xml:space="preserve">. </w:t>
      </w:r>
      <w:r w:rsidR="00977BCB">
        <w:t>Savings values shall be based on the number of dwelling units rather than on a whole building. This will elevate savings for larger buildings and reduce savings for smaller buildings.</w:t>
      </w:r>
    </w:p>
    <w:p w:rsidR="007B4713" w:rsidRDefault="00977BCB">
      <w:pPr>
        <w:pStyle w:val="ListParagraph"/>
        <w:numPr>
          <w:ilvl w:val="0"/>
          <w:numId w:val="8"/>
        </w:numPr>
        <w:tabs>
          <w:tab w:val="left" w:pos="2520"/>
        </w:tabs>
      </w:pPr>
      <w:r>
        <w:t>Hard-to-reach NTG values are not allowed. Instead the residential default value of 0.55 shall be used.</w:t>
      </w:r>
    </w:p>
    <w:p w:rsidR="00D357DD" w:rsidRPr="00D357DD" w:rsidRDefault="00D357DD" w:rsidP="00442D81"/>
    <w:p w:rsidR="00ED520D" w:rsidRPr="00442D81" w:rsidRDefault="007B4713" w:rsidP="00442D81">
      <w:pPr>
        <w:tabs>
          <w:tab w:val="left" w:pos="2520"/>
        </w:tabs>
        <w:rPr>
          <w:b/>
          <w:u w:val="single"/>
        </w:rPr>
      </w:pPr>
      <w:r w:rsidRPr="00442D81">
        <w:rPr>
          <w:b/>
          <w:u w:val="single"/>
        </w:rPr>
        <w:t xml:space="preserve">IOU </w:t>
      </w:r>
      <w:r w:rsidR="00ED520D" w:rsidRPr="00442D81">
        <w:rPr>
          <w:b/>
          <w:u w:val="single"/>
        </w:rPr>
        <w:t>Energy Savings Review</w:t>
      </w:r>
    </w:p>
    <w:p w:rsidR="00ED520D" w:rsidRPr="00ED520D" w:rsidRDefault="00ED520D" w:rsidP="00442D81">
      <w:pPr>
        <w:pStyle w:val="NoSpacing"/>
        <w:jc w:val="both"/>
        <w:rPr>
          <w:u w:val="single"/>
        </w:rPr>
      </w:pPr>
      <w:r w:rsidRPr="00ED520D">
        <w:rPr>
          <w:u w:val="single"/>
        </w:rPr>
        <w:t>SCE</w:t>
      </w:r>
      <w:r w:rsidRPr="00ED520D">
        <w:t>:</w:t>
      </w:r>
    </w:p>
    <w:p w:rsidR="00ED520D" w:rsidRDefault="00ED520D" w:rsidP="00442D81">
      <w:pPr>
        <w:pStyle w:val="NoSpacing"/>
      </w:pPr>
      <w:r w:rsidRPr="00E403E5">
        <w:t>The savings claimed by SCE come from a CASE proposal</w:t>
      </w:r>
      <w:r w:rsidR="00B42EC4">
        <w:rPr>
          <w:rStyle w:val="FootnoteReference"/>
        </w:rPr>
        <w:footnoteReference w:id="1"/>
      </w:r>
      <w:r w:rsidR="00B42EC4">
        <w:t xml:space="preserve"> </w:t>
      </w:r>
      <w:r w:rsidR="00DD1719">
        <w:t>and</w:t>
      </w:r>
      <w:r w:rsidRPr="00E403E5">
        <w:t xml:space="preserve"> PIER project conducted by the Heschong Mahone Group (HMG). The </w:t>
      </w:r>
      <w:r w:rsidR="00DD1719">
        <w:t xml:space="preserve">work incorporated </w:t>
      </w:r>
      <w:r w:rsidRPr="00E403E5">
        <w:t xml:space="preserve">calculated impacts </w:t>
      </w:r>
      <w:r w:rsidR="00DD1719">
        <w:t xml:space="preserve">that </w:t>
      </w:r>
      <w:r w:rsidRPr="00E403E5">
        <w:t xml:space="preserve">are </w:t>
      </w:r>
      <w:r w:rsidR="00DD1719">
        <w:t xml:space="preserve">reasonably </w:t>
      </w:r>
      <w:r w:rsidRPr="00E403E5">
        <w:t>close to the measured impacts (less than 3%</w:t>
      </w:r>
      <w:r w:rsidR="00DD1719">
        <w:t xml:space="preserve"> difference</w:t>
      </w:r>
      <w:r w:rsidRPr="00E403E5">
        <w:t>). Calculations are done for two different multifamily building</w:t>
      </w:r>
      <w:r w:rsidR="00A71AA0">
        <w:t>s</w:t>
      </w:r>
      <w:r w:rsidRPr="00E403E5">
        <w:t xml:space="preserve"> of 44 and 88 units. Savings claimed by SCE are presented, according to the CASE study, under two categories: “Demand Control Recirculation Pump Gas Water Heater Less Than ½ HP” and “Demand Control Recirculation Pump Gas Water Heater Less Than ½ HP”. </w:t>
      </w:r>
    </w:p>
    <w:p w:rsidR="00DD1719" w:rsidRPr="00E403E5" w:rsidRDefault="00DD1719" w:rsidP="00442D81">
      <w:pPr>
        <w:pStyle w:val="NoSpacing"/>
      </w:pPr>
    </w:p>
    <w:p w:rsidR="008B3809" w:rsidRDefault="008B3809" w:rsidP="00442D81">
      <w:pPr>
        <w:pStyle w:val="Caption"/>
        <w:keepNext/>
        <w:jc w:val="center"/>
      </w:pPr>
      <w:r>
        <w:lastRenderedPageBreak/>
        <w:t xml:space="preserve">Table </w:t>
      </w:r>
      <w:fldSimple w:instr=" SEQ Table \* ARABIC ">
        <w:r w:rsidR="00666039">
          <w:rPr>
            <w:noProof/>
          </w:rPr>
          <w:t>2</w:t>
        </w:r>
      </w:fldSimple>
      <w:r>
        <w:t xml:space="preserve"> - SCE Claimed Energy Savings</w:t>
      </w:r>
    </w:p>
    <w:p w:rsidR="008B3809" w:rsidRDefault="001A3ABB" w:rsidP="00442D81">
      <w:pPr>
        <w:pStyle w:val="NoSpacing"/>
        <w:jc w:val="center"/>
      </w:pPr>
      <w:r>
        <w:rPr>
          <w:noProof/>
        </w:rPr>
        <w:drawing>
          <wp:inline distT="0" distB="0" distL="0" distR="0">
            <wp:extent cx="5036820" cy="615696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6820" cy="6156960"/>
                    </a:xfrm>
                    <a:prstGeom prst="rect">
                      <a:avLst/>
                    </a:prstGeom>
                    <a:noFill/>
                    <a:ln>
                      <a:noFill/>
                    </a:ln>
                  </pic:spPr>
                </pic:pic>
              </a:graphicData>
            </a:graphic>
          </wp:inline>
        </w:drawing>
      </w:r>
    </w:p>
    <w:p w:rsidR="008B3809" w:rsidRPr="00E403E5" w:rsidRDefault="008B3809" w:rsidP="00ED520D">
      <w:pPr>
        <w:pStyle w:val="NoSpacing"/>
        <w:jc w:val="both"/>
      </w:pPr>
    </w:p>
    <w:p w:rsidR="00ED520D" w:rsidRPr="00E403E5" w:rsidRDefault="00ED520D" w:rsidP="00442D81">
      <w:pPr>
        <w:pStyle w:val="NoSpacing"/>
      </w:pPr>
      <w:r w:rsidRPr="00E403E5">
        <w:t xml:space="preserve">One of the major issues is that on-demand pump manufacturer are currently only </w:t>
      </w:r>
      <w:r w:rsidR="00A71AA0">
        <w:t>manufacturing</w:t>
      </w:r>
      <w:r w:rsidRPr="00E403E5">
        <w:t xml:space="preserve"> pumps that are less powerful than ½ HP. </w:t>
      </w:r>
      <w:r w:rsidR="00B42EC4">
        <w:t>Thus,</w:t>
      </w:r>
      <w:r w:rsidRPr="00E403E5">
        <w:t xml:space="preserve"> </w:t>
      </w:r>
      <w:r>
        <w:t xml:space="preserve">the comparison with existing installations (recirculation loops) </w:t>
      </w:r>
      <w:r w:rsidR="00B42EC4">
        <w:t xml:space="preserve">is </w:t>
      </w:r>
      <w:r>
        <w:t>difficult.</w:t>
      </w:r>
    </w:p>
    <w:p w:rsidR="00ED520D" w:rsidRPr="00E403E5" w:rsidRDefault="00ED520D" w:rsidP="00ED520D">
      <w:pPr>
        <w:pStyle w:val="NoSpacing"/>
        <w:jc w:val="both"/>
      </w:pPr>
    </w:p>
    <w:p w:rsidR="00ED520D" w:rsidRPr="00E403E5" w:rsidRDefault="00ED520D" w:rsidP="00442D81">
      <w:pPr>
        <w:pStyle w:val="NoSpacing"/>
        <w:keepNext/>
        <w:jc w:val="both"/>
      </w:pPr>
      <w:r w:rsidRPr="00ED520D">
        <w:rPr>
          <w:u w:val="single"/>
        </w:rPr>
        <w:lastRenderedPageBreak/>
        <w:t>SCG/SDGE</w:t>
      </w:r>
      <w:r>
        <w:t>:</w:t>
      </w:r>
    </w:p>
    <w:p w:rsidR="00ED520D" w:rsidRDefault="00ED520D" w:rsidP="00442D81">
      <w:pPr>
        <w:pStyle w:val="NoSpacing"/>
      </w:pPr>
      <w:r w:rsidRPr="00E403E5">
        <w:t>The savings claimed by SCG are base</w:t>
      </w:r>
      <w:r w:rsidR="004777A6">
        <w:t>d</w:t>
      </w:r>
      <w:r w:rsidRPr="00E403E5">
        <w:t xml:space="preserve"> on </w:t>
      </w:r>
      <w:r w:rsidR="004777A6">
        <w:t>monitoring report from the Benningfield Group</w:t>
      </w:r>
      <w:r w:rsidR="00B42EC4">
        <w:rPr>
          <w:rStyle w:val="FootnoteReference"/>
        </w:rPr>
        <w:footnoteReference w:id="2"/>
      </w:r>
      <w:r w:rsidRPr="00E403E5">
        <w:t xml:space="preserve">. </w:t>
      </w:r>
      <w:r w:rsidR="00A71AA0">
        <w:t>Savings</w:t>
      </w:r>
      <w:r w:rsidRPr="00E403E5">
        <w:t xml:space="preserve"> presented in the work-paper </w:t>
      </w:r>
      <w:r>
        <w:t>come from</w:t>
      </w:r>
      <w:r w:rsidRPr="00E403E5">
        <w:t xml:space="preserve"> a small batch of monitored </w:t>
      </w:r>
      <w:r w:rsidR="004777A6">
        <w:t>systems</w:t>
      </w:r>
      <w:r w:rsidR="00B42EC4">
        <w:t xml:space="preserve"> </w:t>
      </w:r>
      <w:r>
        <w:t>(35 sites)</w:t>
      </w:r>
      <w:r w:rsidRPr="00E403E5">
        <w:t>. The</w:t>
      </w:r>
      <w:r w:rsidR="004777A6">
        <w:t>re is a</w:t>
      </w:r>
      <w:r w:rsidRPr="00E403E5">
        <w:t xml:space="preserve"> wide range of savings number and </w:t>
      </w:r>
      <w:r w:rsidR="004777A6">
        <w:t>a</w:t>
      </w:r>
      <w:r w:rsidRPr="00E403E5">
        <w:t xml:space="preserve"> high standard deviation</w:t>
      </w:r>
      <w:r>
        <w:t xml:space="preserve"> (619 therms</w:t>
      </w:r>
      <w:r w:rsidR="004777A6">
        <w:t xml:space="preserve"> or as much as 60% of the total savings</w:t>
      </w:r>
      <w:r>
        <w:t>). Savings are pr</w:t>
      </w:r>
      <w:r w:rsidR="004777A6">
        <w:t>oposed for two</w:t>
      </w:r>
      <w:r>
        <w:t xml:space="preserve"> categories: “Storage tank &lt; 250 gal” and “Storage tank &gt; 250 gal”. Also, the </w:t>
      </w:r>
      <w:r w:rsidR="004777A6">
        <w:t>proposed</w:t>
      </w:r>
      <w:r>
        <w:t xml:space="preserve"> savings are not weather dependant.</w:t>
      </w:r>
    </w:p>
    <w:p w:rsidR="00ED520D" w:rsidRDefault="00ED520D" w:rsidP="00ED520D">
      <w:pPr>
        <w:pStyle w:val="NoSpacing"/>
        <w:jc w:val="both"/>
      </w:pPr>
    </w:p>
    <w:p w:rsidR="008B3809" w:rsidRDefault="008B3809" w:rsidP="00442D81">
      <w:pPr>
        <w:pStyle w:val="Caption"/>
        <w:keepNext/>
        <w:jc w:val="center"/>
      </w:pPr>
      <w:r>
        <w:t xml:space="preserve">Table </w:t>
      </w:r>
      <w:fldSimple w:instr=" SEQ Table \* ARABIC ">
        <w:r w:rsidR="00666039">
          <w:rPr>
            <w:noProof/>
          </w:rPr>
          <w:t>3</w:t>
        </w:r>
      </w:fldSimple>
      <w:r>
        <w:t xml:space="preserve"> - SCG/SDGE Claimed Energy Savings</w:t>
      </w:r>
    </w:p>
    <w:p w:rsidR="008B3809" w:rsidRDefault="001A3ABB" w:rsidP="00442D81">
      <w:pPr>
        <w:pStyle w:val="NoSpacing"/>
        <w:jc w:val="center"/>
      </w:pPr>
      <w:r>
        <w:rPr>
          <w:noProof/>
        </w:rPr>
        <w:drawing>
          <wp:inline distT="0" distB="0" distL="0" distR="0">
            <wp:extent cx="2156460" cy="5638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6460" cy="563880"/>
                    </a:xfrm>
                    <a:prstGeom prst="rect">
                      <a:avLst/>
                    </a:prstGeom>
                    <a:noFill/>
                    <a:ln>
                      <a:noFill/>
                    </a:ln>
                  </pic:spPr>
                </pic:pic>
              </a:graphicData>
            </a:graphic>
          </wp:inline>
        </w:drawing>
      </w:r>
    </w:p>
    <w:p w:rsidR="008B3809" w:rsidRDefault="008B3809" w:rsidP="00ED520D">
      <w:pPr>
        <w:pStyle w:val="NoSpacing"/>
        <w:jc w:val="both"/>
      </w:pPr>
    </w:p>
    <w:p w:rsidR="00ED520D" w:rsidRDefault="005D2ECE" w:rsidP="00442D81">
      <w:pPr>
        <w:pStyle w:val="NoSpacing"/>
      </w:pPr>
      <w:r>
        <w:t>Staff</w:t>
      </w:r>
      <w:r w:rsidR="00ED520D">
        <w:t xml:space="preserve"> </w:t>
      </w:r>
      <w:r w:rsidR="00977BCB">
        <w:t>believe</w:t>
      </w:r>
      <w:r>
        <w:t>s</w:t>
      </w:r>
      <w:r w:rsidR="00ED520D">
        <w:t xml:space="preserve"> that weather-</w:t>
      </w:r>
      <w:r w:rsidR="00977BCB">
        <w:t>dependent</w:t>
      </w:r>
      <w:r w:rsidR="00ED520D">
        <w:t xml:space="preserve"> calculation should be implemented</w:t>
      </w:r>
      <w:r w:rsidR="00977BCB">
        <w:t xml:space="preserve"> and that the SCE workpaper is a more appropriate source for savings estimates.</w:t>
      </w:r>
    </w:p>
    <w:p w:rsidR="00ED520D" w:rsidRDefault="00ED520D" w:rsidP="00ED520D">
      <w:pPr>
        <w:pStyle w:val="NoSpacing"/>
        <w:jc w:val="both"/>
      </w:pPr>
    </w:p>
    <w:p w:rsidR="00B42EC4" w:rsidRPr="00442D81" w:rsidRDefault="00B42EC4" w:rsidP="00442D81">
      <w:pPr>
        <w:tabs>
          <w:tab w:val="left" w:pos="2520"/>
        </w:tabs>
        <w:rPr>
          <w:b/>
          <w:u w:val="single"/>
        </w:rPr>
      </w:pPr>
      <w:r w:rsidRPr="00442D81">
        <w:rPr>
          <w:b/>
          <w:u w:val="single"/>
        </w:rPr>
        <w:t>Savings Estimation Summary</w:t>
      </w:r>
    </w:p>
    <w:p w:rsidR="00674FD0" w:rsidRDefault="00241824" w:rsidP="00881ECE">
      <w:pPr>
        <w:pStyle w:val="ListParagraph"/>
        <w:tabs>
          <w:tab w:val="left" w:pos="2520"/>
        </w:tabs>
        <w:ind w:left="0"/>
      </w:pPr>
      <w:r>
        <w:rPr>
          <w:rFonts w:asciiTheme="minorHAnsi" w:hAnsiTheme="minorHAnsi"/>
        </w:rPr>
        <w:t xml:space="preserve">Energy Division </w:t>
      </w:r>
      <w:r w:rsidR="00977BCB">
        <w:rPr>
          <w:rFonts w:asciiTheme="minorHAnsi" w:hAnsiTheme="minorHAnsi"/>
        </w:rPr>
        <w:t>staff believes the SCE workpaper and sources are the most appropriate sources for the savings calculations.</w:t>
      </w:r>
      <w:r>
        <w:rPr>
          <w:rFonts w:asciiTheme="minorHAnsi" w:hAnsiTheme="minorHAnsi"/>
        </w:rPr>
        <w:t xml:space="preserve"> </w:t>
      </w:r>
      <w:r w:rsidR="00977BCB">
        <w:rPr>
          <w:rFonts w:asciiTheme="minorHAnsi" w:hAnsiTheme="minorHAnsi"/>
        </w:rPr>
        <w:t>In order to be consistent with DEER, savings values should be revised to be “per dwelling unit” served by the DHW system</w:t>
      </w:r>
      <w:r>
        <w:rPr>
          <w:rFonts w:asciiTheme="minorHAnsi" w:hAnsiTheme="minorHAnsi"/>
        </w:rPr>
        <w:t xml:space="preserve">. </w:t>
      </w:r>
      <w:r w:rsidR="00977BCB">
        <w:rPr>
          <w:rFonts w:asciiTheme="minorHAnsi" w:hAnsiTheme="minorHAnsi"/>
        </w:rPr>
        <w:t>Following the modeling approach in the CASE proposal, savings values should be categorized based on the size of building served:</w:t>
      </w:r>
      <w:r>
        <w:rPr>
          <w:rFonts w:asciiTheme="minorHAnsi" w:hAnsiTheme="minorHAnsi"/>
        </w:rPr>
        <w:t xml:space="preserve"> </w:t>
      </w:r>
      <w:r w:rsidRPr="00977BCB">
        <w:rPr>
          <w:rFonts w:asciiTheme="minorHAnsi" w:hAnsiTheme="minorHAnsi"/>
        </w:rPr>
        <w:t>“</w:t>
      </w:r>
      <w:r w:rsidR="00A71AA0" w:rsidRPr="00442D81">
        <w:rPr>
          <w:rFonts w:asciiTheme="minorHAnsi" w:hAnsiTheme="minorHAnsi"/>
        </w:rPr>
        <w:t>L</w:t>
      </w:r>
      <w:r w:rsidRPr="00442D81">
        <w:rPr>
          <w:rFonts w:asciiTheme="minorHAnsi" w:hAnsiTheme="minorHAnsi"/>
        </w:rPr>
        <w:t>ow-</w:t>
      </w:r>
      <w:r w:rsidR="00A71AA0" w:rsidRPr="00442D81">
        <w:rPr>
          <w:rFonts w:asciiTheme="minorHAnsi" w:hAnsiTheme="minorHAnsi"/>
        </w:rPr>
        <w:t>R</w:t>
      </w:r>
      <w:r w:rsidRPr="00442D81">
        <w:rPr>
          <w:rFonts w:asciiTheme="minorHAnsi" w:hAnsiTheme="minorHAnsi"/>
        </w:rPr>
        <w:t xml:space="preserve">ise” </w:t>
      </w:r>
      <w:r w:rsidR="00A71AA0" w:rsidRPr="00977BCB">
        <w:rPr>
          <w:rFonts w:asciiTheme="minorHAnsi" w:hAnsiTheme="minorHAnsi"/>
        </w:rPr>
        <w:t>(</w:t>
      </w:r>
      <w:r w:rsidR="00726F3A" w:rsidRPr="00442D81">
        <w:rPr>
          <w:rFonts w:asciiTheme="minorHAnsi" w:hAnsiTheme="minorHAnsi"/>
        </w:rPr>
        <w:t>up t</w:t>
      </w:r>
      <w:r w:rsidR="00A71AA0" w:rsidRPr="00442D81">
        <w:rPr>
          <w:rFonts w:asciiTheme="minorHAnsi" w:hAnsiTheme="minorHAnsi"/>
        </w:rPr>
        <w:t xml:space="preserve">o three stories) </w:t>
      </w:r>
      <w:r w:rsidRPr="00977BCB">
        <w:rPr>
          <w:rFonts w:asciiTheme="minorHAnsi" w:hAnsiTheme="minorHAnsi"/>
        </w:rPr>
        <w:t>or “</w:t>
      </w:r>
      <w:r w:rsidR="00A71AA0" w:rsidRPr="00442D81">
        <w:rPr>
          <w:rFonts w:asciiTheme="minorHAnsi" w:hAnsiTheme="minorHAnsi"/>
        </w:rPr>
        <w:t>H</w:t>
      </w:r>
      <w:r w:rsidRPr="00442D81">
        <w:rPr>
          <w:rFonts w:asciiTheme="minorHAnsi" w:hAnsiTheme="minorHAnsi"/>
        </w:rPr>
        <w:t>igh-</w:t>
      </w:r>
      <w:r w:rsidR="00A71AA0" w:rsidRPr="00442D81">
        <w:rPr>
          <w:rFonts w:asciiTheme="minorHAnsi" w:hAnsiTheme="minorHAnsi"/>
        </w:rPr>
        <w:t>R</w:t>
      </w:r>
      <w:r w:rsidRPr="00442D81">
        <w:rPr>
          <w:rFonts w:asciiTheme="minorHAnsi" w:hAnsiTheme="minorHAnsi"/>
        </w:rPr>
        <w:t>ise”</w:t>
      </w:r>
      <w:r w:rsidR="00A71AA0" w:rsidRPr="00977BCB">
        <w:rPr>
          <w:rFonts w:asciiTheme="minorHAnsi" w:hAnsiTheme="minorHAnsi"/>
        </w:rPr>
        <w:t xml:space="preserve"> (from three</w:t>
      </w:r>
      <w:r w:rsidR="00726F3A" w:rsidRPr="00442D81">
        <w:rPr>
          <w:rFonts w:asciiTheme="minorHAnsi" w:hAnsiTheme="minorHAnsi"/>
        </w:rPr>
        <w:t xml:space="preserve"> stories and up</w:t>
      </w:r>
      <w:r w:rsidR="00A71AA0" w:rsidRPr="00977BCB">
        <w:rPr>
          <w:rFonts w:asciiTheme="minorHAnsi" w:hAnsiTheme="minorHAnsi"/>
        </w:rPr>
        <w:t>)</w:t>
      </w:r>
      <w:r>
        <w:rPr>
          <w:rFonts w:asciiTheme="minorHAnsi" w:hAnsiTheme="minorHAnsi"/>
        </w:rPr>
        <w:t>.</w:t>
      </w:r>
      <w:r w:rsidR="00A71AA0">
        <w:rPr>
          <w:rFonts w:asciiTheme="minorHAnsi" w:hAnsiTheme="minorHAnsi"/>
        </w:rPr>
        <w:t xml:space="preserve"> </w:t>
      </w:r>
      <w:r w:rsidR="00977BCB">
        <w:rPr>
          <w:rFonts w:asciiTheme="minorHAnsi" w:hAnsiTheme="minorHAnsi"/>
        </w:rPr>
        <w:t>Revised savings values are provided in</w:t>
      </w:r>
      <w:r w:rsidR="00881ECE">
        <w:rPr>
          <w:rFonts w:asciiTheme="minorHAnsi" w:hAnsiTheme="minorHAnsi"/>
        </w:rPr>
        <w:t xml:space="preserve"> the embedded workbook “</w:t>
      </w:r>
      <w:r w:rsidR="00881ECE" w:rsidRPr="00881ECE">
        <w:rPr>
          <w:rFonts w:asciiTheme="minorHAnsi" w:hAnsiTheme="minorHAnsi"/>
        </w:rPr>
        <w:t>On_Demand_Pump_Review_20June2013.xlsx</w:t>
      </w:r>
      <w:r w:rsidR="00881ECE">
        <w:rPr>
          <w:rFonts w:asciiTheme="minorHAnsi" w:hAnsiTheme="minorHAnsi"/>
        </w:rPr>
        <w:t>”.</w:t>
      </w:r>
      <w:r w:rsidR="00977BCB">
        <w:rPr>
          <w:rFonts w:asciiTheme="minorHAnsi" w:hAnsiTheme="minorHAnsi"/>
        </w:rPr>
        <w:t xml:space="preserve"> </w:t>
      </w:r>
      <w:r w:rsidR="00D21CC3" w:rsidRPr="00D21CC3">
        <w:rPr>
          <w:rFonts w:asciiTheme="minorHAnsi" w:hAnsiTheme="minorHAnsi"/>
        </w:rPr>
        <w:t xml:space="preserve"> </w:t>
      </w:r>
    </w:p>
    <w:p w:rsidR="00ED520D" w:rsidRPr="00ED520D" w:rsidRDefault="00ED520D">
      <w:pPr>
        <w:pStyle w:val="ListParagraph"/>
        <w:tabs>
          <w:tab w:val="left" w:pos="2520"/>
        </w:tabs>
        <w:ind w:left="0"/>
      </w:pPr>
    </w:p>
    <w:p w:rsidR="00ED520D" w:rsidRPr="00442D81" w:rsidRDefault="00666039" w:rsidP="00442D81">
      <w:pPr>
        <w:tabs>
          <w:tab w:val="left" w:pos="2520"/>
        </w:tabs>
        <w:rPr>
          <w:b/>
          <w:u w:val="single"/>
        </w:rPr>
      </w:pPr>
      <w:r>
        <w:rPr>
          <w:b/>
          <w:u w:val="single"/>
        </w:rPr>
        <w:t xml:space="preserve">Revisions to </w:t>
      </w:r>
      <w:r w:rsidRPr="00442D81">
        <w:rPr>
          <w:b/>
          <w:u w:val="single"/>
        </w:rPr>
        <w:t>NTG</w:t>
      </w:r>
    </w:p>
    <w:p w:rsidR="00666039" w:rsidRDefault="00674FD0">
      <w:pPr>
        <w:pStyle w:val="ListParagraph"/>
        <w:tabs>
          <w:tab w:val="left" w:pos="2520"/>
        </w:tabs>
        <w:ind w:left="0"/>
        <w:rPr>
          <w:rFonts w:asciiTheme="minorHAnsi" w:hAnsiTheme="minorHAnsi"/>
        </w:rPr>
      </w:pPr>
      <w:r>
        <w:rPr>
          <w:rFonts w:asciiTheme="minorHAnsi" w:hAnsiTheme="minorHAnsi"/>
        </w:rPr>
        <w:t>Energy Division staff recommends a NTG of 0.55, which is the residential default for measures that have been in programs greater than 2 years using any delivery mechanism. Workpapers appear to propose using the value the default value for direct install measures in hard-to-reach markets. Staff does not believe this is an appropriate NTG for this measure, given that it has now been incorporated into Title 24.</w:t>
      </w:r>
    </w:p>
    <w:p w:rsidR="00666039" w:rsidRPr="00442D81" w:rsidRDefault="00666039" w:rsidP="00442D81">
      <w:pPr>
        <w:tabs>
          <w:tab w:val="left" w:pos="2520"/>
        </w:tabs>
        <w:rPr>
          <w:b/>
          <w:u w:val="single"/>
        </w:rPr>
      </w:pPr>
      <w:r>
        <w:rPr>
          <w:b/>
          <w:u w:val="single"/>
        </w:rPr>
        <w:t>Reference(s):</w:t>
      </w:r>
    </w:p>
    <w:p w:rsidR="001E7828" w:rsidRDefault="00881ECE" w:rsidP="001E7828">
      <w:pPr>
        <w:pStyle w:val="ListParagraph"/>
        <w:tabs>
          <w:tab w:val="left" w:pos="2520"/>
        </w:tabs>
        <w:ind w:left="0"/>
        <w:jc w:val="both"/>
      </w:pPr>
      <w:r>
        <w:object w:dxaOrig="1513"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95pt;height:48.2pt" o:ole="">
            <v:imagedata r:id="rId10" o:title=""/>
          </v:shape>
          <o:OLEObject Type="Embed" ProgID="Excel.Sheet.12" ShapeID="_x0000_i1025" DrawAspect="Icon" ObjectID="_1433246939" r:id="rId11"/>
        </w:object>
      </w:r>
    </w:p>
    <w:p w:rsidR="001E7828" w:rsidRDefault="001E7828" w:rsidP="001E7828">
      <w:pPr>
        <w:pStyle w:val="ListParagraph"/>
        <w:tabs>
          <w:tab w:val="left" w:pos="2520"/>
        </w:tabs>
        <w:ind w:left="0"/>
        <w:jc w:val="both"/>
      </w:pPr>
    </w:p>
    <w:p w:rsidR="0025457E" w:rsidRDefault="0025457E" w:rsidP="00794019">
      <w:pPr>
        <w:tabs>
          <w:tab w:val="left" w:pos="2520"/>
        </w:tabs>
      </w:pPr>
    </w:p>
    <w:sectPr w:rsidR="0025457E" w:rsidSect="00721A99">
      <w:headerReference w:type="default" r:id="rId12"/>
      <w:footerReference w:type="default" r:id="rId13"/>
      <w:pgSz w:w="12240" w:h="15840"/>
      <w:pgMar w:top="1440" w:right="1440" w:bottom="1440" w:left="1440"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ABB" w:rsidRDefault="001A3ABB" w:rsidP="0025457E">
      <w:pPr>
        <w:spacing w:after="0" w:line="240" w:lineRule="auto"/>
      </w:pPr>
      <w:r>
        <w:separator/>
      </w:r>
    </w:p>
  </w:endnote>
  <w:endnote w:type="continuationSeparator" w:id="0">
    <w:p w:rsidR="001A3ABB" w:rsidRDefault="001A3ABB" w:rsidP="0025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EA8" w:rsidRPr="00721A99" w:rsidRDefault="00542EA8" w:rsidP="0025457E">
    <w:pPr>
      <w:pStyle w:val="Header"/>
      <w:jc w:val="center"/>
    </w:pPr>
    <w:r>
      <w:t>Page</w:t>
    </w:r>
    <w:r w:rsidRPr="0025457E">
      <w:t xml:space="preserve"> </w:t>
    </w:r>
    <w:r w:rsidR="00564236">
      <w:fldChar w:fldCharType="begin"/>
    </w:r>
    <w:r w:rsidR="00564236">
      <w:instrText xml:space="preserve"> PAGE </w:instrText>
    </w:r>
    <w:r w:rsidR="00564236">
      <w:fldChar w:fldCharType="separate"/>
    </w:r>
    <w:r w:rsidR="00644605">
      <w:rPr>
        <w:noProof/>
      </w:rPr>
      <w:t>4</w:t>
    </w:r>
    <w:r w:rsidR="00564236">
      <w:fldChar w:fldCharType="end"/>
    </w:r>
    <w:r w:rsidRPr="0025457E">
      <w:t xml:space="preserve"> of </w:t>
    </w:r>
    <w:fldSimple w:instr=" NUMPAGES  ">
      <w:r w:rsidR="00644605">
        <w:rPr>
          <w:noProof/>
        </w:rPr>
        <w:t>4</w:t>
      </w:r>
    </w:fldSimple>
  </w:p>
  <w:p w:rsidR="00542EA8" w:rsidRDefault="00542EA8">
    <w:pPr>
      <w:pStyle w:val="Footer"/>
    </w:pPr>
  </w:p>
  <w:p w:rsidR="00542EA8" w:rsidRDefault="00542E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ABB" w:rsidRDefault="001A3ABB" w:rsidP="0025457E">
      <w:pPr>
        <w:spacing w:after="0" w:line="240" w:lineRule="auto"/>
      </w:pPr>
      <w:r>
        <w:separator/>
      </w:r>
    </w:p>
  </w:footnote>
  <w:footnote w:type="continuationSeparator" w:id="0">
    <w:p w:rsidR="001A3ABB" w:rsidRDefault="001A3ABB" w:rsidP="0025457E">
      <w:pPr>
        <w:spacing w:after="0" w:line="240" w:lineRule="auto"/>
      </w:pPr>
      <w:r>
        <w:continuationSeparator/>
      </w:r>
    </w:p>
  </w:footnote>
  <w:footnote w:id="1">
    <w:p w:rsidR="00000000" w:rsidRDefault="00542EA8" w:rsidP="00B42EC4">
      <w:pPr>
        <w:pStyle w:val="FootnoteText"/>
      </w:pPr>
      <w:r>
        <w:rPr>
          <w:rStyle w:val="FootnoteReference"/>
        </w:rPr>
        <w:footnoteRef/>
      </w:r>
      <w:r>
        <w:t xml:space="preserve"> Measure Information Template – Multifamily Central DHW and Solar Water Heating, September 2011</w:t>
      </w:r>
    </w:p>
  </w:footnote>
  <w:footnote w:id="2">
    <w:p w:rsidR="00000000" w:rsidRDefault="00542EA8" w:rsidP="00B42EC4">
      <w:pPr>
        <w:pStyle w:val="FootnoteText"/>
      </w:pPr>
      <w:r>
        <w:rPr>
          <w:rStyle w:val="FootnoteReference"/>
        </w:rPr>
        <w:footnoteRef/>
      </w:r>
      <w:r>
        <w:t xml:space="preserve"> PY 2009 Monitoring Report: Demand Control For Multifamily  Central Domestic Hot Water, April 6, 2010, Benningfield</w:t>
      </w:r>
      <w:r w:rsidR="004777A6">
        <w:t xml:space="preserve"> </w:t>
      </w:r>
      <w:r>
        <w:t>Group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EA8" w:rsidRPr="007B4BBF" w:rsidRDefault="00542EA8" w:rsidP="0025457E">
    <w:pPr>
      <w:pStyle w:val="Header"/>
      <w:rPr>
        <w:sz w:val="18"/>
        <w:szCs w:val="18"/>
      </w:rPr>
    </w:pPr>
    <w:r w:rsidRPr="007B4BBF">
      <w:rPr>
        <w:sz w:val="18"/>
        <w:szCs w:val="18"/>
      </w:rPr>
      <w:t xml:space="preserve">WORKPAPER DISPOSITION </w:t>
    </w:r>
  </w:p>
  <w:p w:rsidR="00542EA8" w:rsidRDefault="00542EA8" w:rsidP="0025457E">
    <w:pPr>
      <w:pStyle w:val="Header"/>
      <w:rPr>
        <w:sz w:val="18"/>
        <w:szCs w:val="18"/>
      </w:rPr>
    </w:pPr>
    <w:r w:rsidRPr="007B4BBF">
      <w:rPr>
        <w:sz w:val="18"/>
        <w:szCs w:val="18"/>
      </w:rPr>
      <w:t>California Public Utilities Commission, Energy Division</w:t>
    </w:r>
  </w:p>
  <w:p w:rsidR="00542EA8" w:rsidRDefault="007D7F60">
    <w:pPr>
      <w:pStyle w:val="Header"/>
      <w:rPr>
        <w:sz w:val="18"/>
        <w:szCs w:val="18"/>
      </w:rPr>
    </w:pPr>
    <w:r>
      <w:rPr>
        <w:sz w:val="18"/>
        <w:szCs w:val="18"/>
      </w:rPr>
      <w:t>June 20, 2013 (revised)</w:t>
    </w:r>
  </w:p>
  <w:p w:rsidR="00542EA8" w:rsidRDefault="00542E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8194A"/>
    <w:multiLevelType w:val="hybridMultilevel"/>
    <w:tmpl w:val="BCFEF0B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39B4CDC"/>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31570578"/>
    <w:multiLevelType w:val="hybridMultilevel"/>
    <w:tmpl w:val="D51661F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AEB1BC4"/>
    <w:multiLevelType w:val="hybridMultilevel"/>
    <w:tmpl w:val="EBD4E6AE"/>
    <w:lvl w:ilvl="0" w:tplc="7AEE5F28">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5B0C71"/>
    <w:multiLevelType w:val="hybridMultilevel"/>
    <w:tmpl w:val="E396B6D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76B3205"/>
    <w:multiLevelType w:val="hybridMultilevel"/>
    <w:tmpl w:val="42B6CD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2A60861"/>
    <w:multiLevelType w:val="hybridMultilevel"/>
    <w:tmpl w:val="2976E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34436F9"/>
    <w:multiLevelType w:val="hybridMultilevel"/>
    <w:tmpl w:val="E8AA696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7F426239"/>
    <w:multiLevelType w:val="hybridMultilevel"/>
    <w:tmpl w:val="580C1B4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4"/>
  </w:num>
  <w:num w:numId="4">
    <w:abstractNumId w:val="2"/>
  </w:num>
  <w:num w:numId="5">
    <w:abstractNumId w:val="7"/>
  </w:num>
  <w:num w:numId="6">
    <w:abstractNumId w:val="0"/>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019"/>
    <w:rsid w:val="000A5C27"/>
    <w:rsid w:val="000D38A7"/>
    <w:rsid w:val="00130DEE"/>
    <w:rsid w:val="001414AC"/>
    <w:rsid w:val="00170E4D"/>
    <w:rsid w:val="0019679B"/>
    <w:rsid w:val="001A3ABB"/>
    <w:rsid w:val="001E7828"/>
    <w:rsid w:val="002156AD"/>
    <w:rsid w:val="00237B5D"/>
    <w:rsid w:val="00240283"/>
    <w:rsid w:val="00241824"/>
    <w:rsid w:val="0025457E"/>
    <w:rsid w:val="002E6DBE"/>
    <w:rsid w:val="00311CC9"/>
    <w:rsid w:val="00331616"/>
    <w:rsid w:val="003A04EE"/>
    <w:rsid w:val="00440B4D"/>
    <w:rsid w:val="00442D81"/>
    <w:rsid w:val="004777A6"/>
    <w:rsid w:val="004D4A72"/>
    <w:rsid w:val="00542E74"/>
    <w:rsid w:val="00542EA8"/>
    <w:rsid w:val="00564236"/>
    <w:rsid w:val="005D2ECE"/>
    <w:rsid w:val="005D4B8F"/>
    <w:rsid w:val="006047BF"/>
    <w:rsid w:val="00644605"/>
    <w:rsid w:val="00666039"/>
    <w:rsid w:val="00674FD0"/>
    <w:rsid w:val="006E5E1D"/>
    <w:rsid w:val="0070623D"/>
    <w:rsid w:val="00721A99"/>
    <w:rsid w:val="00726F3A"/>
    <w:rsid w:val="00794019"/>
    <w:rsid w:val="00796487"/>
    <w:rsid w:val="007B4713"/>
    <w:rsid w:val="007B4BBF"/>
    <w:rsid w:val="007D7F60"/>
    <w:rsid w:val="008615A8"/>
    <w:rsid w:val="00881ECE"/>
    <w:rsid w:val="008B3809"/>
    <w:rsid w:val="008E6B1C"/>
    <w:rsid w:val="00912514"/>
    <w:rsid w:val="009736BE"/>
    <w:rsid w:val="00977BCB"/>
    <w:rsid w:val="009929D3"/>
    <w:rsid w:val="009C141F"/>
    <w:rsid w:val="00A43172"/>
    <w:rsid w:val="00A71AA0"/>
    <w:rsid w:val="00A873BF"/>
    <w:rsid w:val="00A921C7"/>
    <w:rsid w:val="00B42EC4"/>
    <w:rsid w:val="00B54BF7"/>
    <w:rsid w:val="00B95D4D"/>
    <w:rsid w:val="00B96B21"/>
    <w:rsid w:val="00BB6B2D"/>
    <w:rsid w:val="00BC6CD9"/>
    <w:rsid w:val="00BE644F"/>
    <w:rsid w:val="00C70A1D"/>
    <w:rsid w:val="00C93B14"/>
    <w:rsid w:val="00C969D4"/>
    <w:rsid w:val="00D21CC3"/>
    <w:rsid w:val="00D357DD"/>
    <w:rsid w:val="00D36EBD"/>
    <w:rsid w:val="00D4624D"/>
    <w:rsid w:val="00DB5F3A"/>
    <w:rsid w:val="00DC41B4"/>
    <w:rsid w:val="00DD1719"/>
    <w:rsid w:val="00DE3204"/>
    <w:rsid w:val="00E403E5"/>
    <w:rsid w:val="00E534A2"/>
    <w:rsid w:val="00E82489"/>
    <w:rsid w:val="00ED520D"/>
    <w:rsid w:val="00F037FC"/>
    <w:rsid w:val="00F77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9"/>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794019"/>
    <w:pPr>
      <w:spacing w:line="240" w:lineRule="auto"/>
    </w:pPr>
    <w:rPr>
      <w:b/>
      <w:bCs/>
      <w:color w:val="4F81BD"/>
      <w:sz w:val="18"/>
      <w:szCs w:val="18"/>
    </w:rPr>
  </w:style>
  <w:style w:type="paragraph" w:styleId="Header">
    <w:name w:val="header"/>
    <w:basedOn w:val="Normal"/>
    <w:link w:val="HeaderChar"/>
    <w:uiPriority w:val="99"/>
    <w:unhideWhenUsed/>
    <w:rsid w:val="0025457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5457E"/>
    <w:rPr>
      <w:rFonts w:ascii="Calibri" w:hAnsi="Calibri" w:cs="Times New Roman"/>
    </w:rPr>
  </w:style>
  <w:style w:type="paragraph" w:styleId="Footer">
    <w:name w:val="footer"/>
    <w:basedOn w:val="Normal"/>
    <w:link w:val="FooterChar"/>
    <w:uiPriority w:val="99"/>
    <w:unhideWhenUsed/>
    <w:rsid w:val="0025457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5457E"/>
    <w:rPr>
      <w:rFonts w:ascii="Calibri" w:hAnsi="Calibri" w:cs="Times New Roman"/>
    </w:rPr>
  </w:style>
  <w:style w:type="paragraph" w:styleId="BalloonText">
    <w:name w:val="Balloon Text"/>
    <w:basedOn w:val="Normal"/>
    <w:link w:val="BalloonTextChar"/>
    <w:uiPriority w:val="99"/>
    <w:semiHidden/>
    <w:unhideWhenUsed/>
    <w:rsid w:val="00254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457E"/>
    <w:rPr>
      <w:rFonts w:ascii="Tahoma" w:hAnsi="Tahoma" w:cs="Tahoma"/>
      <w:sz w:val="16"/>
      <w:szCs w:val="16"/>
    </w:rPr>
  </w:style>
  <w:style w:type="paragraph" w:styleId="ListParagraph">
    <w:name w:val="List Paragraph"/>
    <w:basedOn w:val="Normal"/>
    <w:uiPriority w:val="34"/>
    <w:qFormat/>
    <w:rsid w:val="002156AD"/>
    <w:pPr>
      <w:ind w:left="720"/>
      <w:contextualSpacing/>
    </w:pPr>
  </w:style>
  <w:style w:type="paragraph" w:styleId="FootnoteText">
    <w:name w:val="footnote text"/>
    <w:basedOn w:val="Normal"/>
    <w:link w:val="FootnoteTextChar"/>
    <w:uiPriority w:val="99"/>
    <w:semiHidden/>
    <w:unhideWhenUsed/>
    <w:rsid w:val="0079648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796487"/>
    <w:rPr>
      <w:rFonts w:ascii="Calibri" w:hAnsi="Calibri" w:cs="Times New Roman"/>
      <w:sz w:val="20"/>
      <w:szCs w:val="20"/>
    </w:rPr>
  </w:style>
  <w:style w:type="character" w:styleId="FootnoteReference">
    <w:name w:val="footnote reference"/>
    <w:basedOn w:val="DefaultParagraphFont"/>
    <w:uiPriority w:val="99"/>
    <w:semiHidden/>
    <w:unhideWhenUsed/>
    <w:rsid w:val="00796487"/>
    <w:rPr>
      <w:rFonts w:cs="Times New Roman"/>
      <w:vertAlign w:val="superscript"/>
    </w:rPr>
  </w:style>
  <w:style w:type="paragraph" w:styleId="EndnoteText">
    <w:name w:val="endnote text"/>
    <w:basedOn w:val="Normal"/>
    <w:link w:val="EndnoteTextChar"/>
    <w:uiPriority w:val="99"/>
    <w:semiHidden/>
    <w:unhideWhenUsed/>
    <w:rsid w:val="00E82489"/>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E82489"/>
    <w:rPr>
      <w:rFonts w:ascii="Calibri" w:hAnsi="Calibri" w:cs="Times New Roman"/>
      <w:sz w:val="20"/>
      <w:szCs w:val="20"/>
    </w:rPr>
  </w:style>
  <w:style w:type="character" w:styleId="EndnoteReference">
    <w:name w:val="endnote reference"/>
    <w:basedOn w:val="DefaultParagraphFont"/>
    <w:uiPriority w:val="99"/>
    <w:semiHidden/>
    <w:unhideWhenUsed/>
    <w:rsid w:val="00E82489"/>
    <w:rPr>
      <w:rFonts w:cs="Times New Roman"/>
      <w:vertAlign w:val="superscript"/>
    </w:rPr>
  </w:style>
  <w:style w:type="paragraph" w:styleId="NoSpacing">
    <w:name w:val="No Spacing"/>
    <w:uiPriority w:val="1"/>
    <w:qFormat/>
    <w:rsid w:val="00ED520D"/>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413247">
      <w:marLeft w:val="0"/>
      <w:marRight w:val="0"/>
      <w:marTop w:val="0"/>
      <w:marBottom w:val="0"/>
      <w:divBdr>
        <w:top w:val="none" w:sz="0" w:space="0" w:color="auto"/>
        <w:left w:val="none" w:sz="0" w:space="0" w:color="auto"/>
        <w:bottom w:val="none" w:sz="0" w:space="0" w:color="auto"/>
        <w:right w:val="none" w:sz="0" w:space="0" w:color="auto"/>
      </w:divBdr>
    </w:div>
    <w:div w:id="1870413248">
      <w:marLeft w:val="0"/>
      <w:marRight w:val="0"/>
      <w:marTop w:val="0"/>
      <w:marBottom w:val="0"/>
      <w:divBdr>
        <w:top w:val="none" w:sz="0" w:space="0" w:color="auto"/>
        <w:left w:val="none" w:sz="0" w:space="0" w:color="auto"/>
        <w:bottom w:val="none" w:sz="0" w:space="0" w:color="auto"/>
        <w:right w:val="none" w:sz="0" w:space="0" w:color="auto"/>
      </w:divBdr>
    </w:div>
    <w:div w:id="1870413249">
      <w:marLeft w:val="0"/>
      <w:marRight w:val="0"/>
      <w:marTop w:val="0"/>
      <w:marBottom w:val="0"/>
      <w:divBdr>
        <w:top w:val="none" w:sz="0" w:space="0" w:color="auto"/>
        <w:left w:val="none" w:sz="0" w:space="0" w:color="auto"/>
        <w:bottom w:val="none" w:sz="0" w:space="0" w:color="auto"/>
        <w:right w:val="none" w:sz="0" w:space="0" w:color="auto"/>
      </w:divBdr>
    </w:div>
    <w:div w:id="1870413250">
      <w:marLeft w:val="0"/>
      <w:marRight w:val="0"/>
      <w:marTop w:val="0"/>
      <w:marBottom w:val="0"/>
      <w:divBdr>
        <w:top w:val="none" w:sz="0" w:space="0" w:color="auto"/>
        <w:left w:val="none" w:sz="0" w:space="0" w:color="auto"/>
        <w:bottom w:val="none" w:sz="0" w:space="0" w:color="auto"/>
        <w:right w:val="none" w:sz="0" w:space="0" w:color="auto"/>
      </w:divBdr>
    </w:div>
    <w:div w:id="1870413251">
      <w:marLeft w:val="0"/>
      <w:marRight w:val="0"/>
      <w:marTop w:val="0"/>
      <w:marBottom w:val="0"/>
      <w:divBdr>
        <w:top w:val="none" w:sz="0" w:space="0" w:color="auto"/>
        <w:left w:val="none" w:sz="0" w:space="0" w:color="auto"/>
        <w:bottom w:val="none" w:sz="0" w:space="0" w:color="auto"/>
        <w:right w:val="none" w:sz="0" w:space="0" w:color="auto"/>
      </w:divBdr>
    </w:div>
    <w:div w:id="1870413252">
      <w:marLeft w:val="0"/>
      <w:marRight w:val="0"/>
      <w:marTop w:val="0"/>
      <w:marBottom w:val="0"/>
      <w:divBdr>
        <w:top w:val="none" w:sz="0" w:space="0" w:color="auto"/>
        <w:left w:val="none" w:sz="0" w:space="0" w:color="auto"/>
        <w:bottom w:val="none" w:sz="0" w:space="0" w:color="auto"/>
        <w:right w:val="none" w:sz="0" w:space="0" w:color="auto"/>
      </w:divBdr>
    </w:div>
    <w:div w:id="1870413253">
      <w:marLeft w:val="0"/>
      <w:marRight w:val="0"/>
      <w:marTop w:val="0"/>
      <w:marBottom w:val="0"/>
      <w:divBdr>
        <w:top w:val="none" w:sz="0" w:space="0" w:color="auto"/>
        <w:left w:val="none" w:sz="0" w:space="0" w:color="auto"/>
        <w:bottom w:val="none" w:sz="0" w:space="0" w:color="auto"/>
        <w:right w:val="none" w:sz="0" w:space="0" w:color="auto"/>
      </w:divBdr>
    </w:div>
    <w:div w:id="1870413254">
      <w:marLeft w:val="0"/>
      <w:marRight w:val="0"/>
      <w:marTop w:val="0"/>
      <w:marBottom w:val="0"/>
      <w:divBdr>
        <w:top w:val="none" w:sz="0" w:space="0" w:color="auto"/>
        <w:left w:val="none" w:sz="0" w:space="0" w:color="auto"/>
        <w:bottom w:val="none" w:sz="0" w:space="0" w:color="auto"/>
        <w:right w:val="none" w:sz="0" w:space="0" w:color="auto"/>
      </w:divBdr>
    </w:div>
    <w:div w:id="1870413255">
      <w:marLeft w:val="0"/>
      <w:marRight w:val="0"/>
      <w:marTop w:val="0"/>
      <w:marBottom w:val="0"/>
      <w:divBdr>
        <w:top w:val="none" w:sz="0" w:space="0" w:color="auto"/>
        <w:left w:val="none" w:sz="0" w:space="0" w:color="auto"/>
        <w:bottom w:val="none" w:sz="0" w:space="0" w:color="auto"/>
        <w:right w:val="none" w:sz="0" w:space="0" w:color="auto"/>
      </w:divBdr>
    </w:div>
    <w:div w:id="1870413256">
      <w:marLeft w:val="0"/>
      <w:marRight w:val="0"/>
      <w:marTop w:val="0"/>
      <w:marBottom w:val="0"/>
      <w:divBdr>
        <w:top w:val="none" w:sz="0" w:space="0" w:color="auto"/>
        <w:left w:val="none" w:sz="0" w:space="0" w:color="auto"/>
        <w:bottom w:val="none" w:sz="0" w:space="0" w:color="auto"/>
        <w:right w:val="none" w:sz="0" w:space="0" w:color="auto"/>
      </w:divBdr>
    </w:div>
    <w:div w:id="1870413257">
      <w:marLeft w:val="0"/>
      <w:marRight w:val="0"/>
      <w:marTop w:val="0"/>
      <w:marBottom w:val="0"/>
      <w:divBdr>
        <w:top w:val="none" w:sz="0" w:space="0" w:color="auto"/>
        <w:left w:val="none" w:sz="0" w:space="0" w:color="auto"/>
        <w:bottom w:val="none" w:sz="0" w:space="0" w:color="auto"/>
        <w:right w:val="none" w:sz="0" w:space="0" w:color="auto"/>
      </w:divBdr>
    </w:div>
    <w:div w:id="1870413258">
      <w:marLeft w:val="0"/>
      <w:marRight w:val="0"/>
      <w:marTop w:val="0"/>
      <w:marBottom w:val="0"/>
      <w:divBdr>
        <w:top w:val="none" w:sz="0" w:space="0" w:color="auto"/>
        <w:left w:val="none" w:sz="0" w:space="0" w:color="auto"/>
        <w:bottom w:val="none" w:sz="0" w:space="0" w:color="auto"/>
        <w:right w:val="none" w:sz="0" w:space="0" w:color="auto"/>
      </w:divBdr>
    </w:div>
    <w:div w:id="1870413259">
      <w:marLeft w:val="0"/>
      <w:marRight w:val="0"/>
      <w:marTop w:val="0"/>
      <w:marBottom w:val="0"/>
      <w:divBdr>
        <w:top w:val="none" w:sz="0" w:space="0" w:color="auto"/>
        <w:left w:val="none" w:sz="0" w:space="0" w:color="auto"/>
        <w:bottom w:val="none" w:sz="0" w:space="0" w:color="auto"/>
        <w:right w:val="none" w:sz="0" w:space="0" w:color="auto"/>
      </w:divBdr>
    </w:div>
    <w:div w:id="1870413260">
      <w:marLeft w:val="0"/>
      <w:marRight w:val="0"/>
      <w:marTop w:val="0"/>
      <w:marBottom w:val="0"/>
      <w:divBdr>
        <w:top w:val="none" w:sz="0" w:space="0" w:color="auto"/>
        <w:left w:val="none" w:sz="0" w:space="0" w:color="auto"/>
        <w:bottom w:val="none" w:sz="0" w:space="0" w:color="auto"/>
        <w:right w:val="none" w:sz="0" w:space="0" w:color="auto"/>
      </w:divBdr>
    </w:div>
    <w:div w:id="1870413261">
      <w:marLeft w:val="0"/>
      <w:marRight w:val="0"/>
      <w:marTop w:val="0"/>
      <w:marBottom w:val="0"/>
      <w:divBdr>
        <w:top w:val="none" w:sz="0" w:space="0" w:color="auto"/>
        <w:left w:val="none" w:sz="0" w:space="0" w:color="auto"/>
        <w:bottom w:val="none" w:sz="0" w:space="0" w:color="auto"/>
        <w:right w:val="none" w:sz="0" w:space="0" w:color="auto"/>
      </w:divBdr>
    </w:div>
    <w:div w:id="1870413262">
      <w:marLeft w:val="0"/>
      <w:marRight w:val="0"/>
      <w:marTop w:val="0"/>
      <w:marBottom w:val="0"/>
      <w:divBdr>
        <w:top w:val="none" w:sz="0" w:space="0" w:color="auto"/>
        <w:left w:val="none" w:sz="0" w:space="0" w:color="auto"/>
        <w:bottom w:val="none" w:sz="0" w:space="0" w:color="auto"/>
        <w:right w:val="none" w:sz="0" w:space="0" w:color="auto"/>
      </w:divBdr>
    </w:div>
    <w:div w:id="1870413263">
      <w:marLeft w:val="0"/>
      <w:marRight w:val="0"/>
      <w:marTop w:val="0"/>
      <w:marBottom w:val="0"/>
      <w:divBdr>
        <w:top w:val="none" w:sz="0" w:space="0" w:color="auto"/>
        <w:left w:val="none" w:sz="0" w:space="0" w:color="auto"/>
        <w:bottom w:val="none" w:sz="0" w:space="0" w:color="auto"/>
        <w:right w:val="none" w:sz="0" w:space="0" w:color="auto"/>
      </w:divBdr>
    </w:div>
    <w:div w:id="1870413264">
      <w:marLeft w:val="0"/>
      <w:marRight w:val="0"/>
      <w:marTop w:val="0"/>
      <w:marBottom w:val="0"/>
      <w:divBdr>
        <w:top w:val="none" w:sz="0" w:space="0" w:color="auto"/>
        <w:left w:val="none" w:sz="0" w:space="0" w:color="auto"/>
        <w:bottom w:val="none" w:sz="0" w:space="0" w:color="auto"/>
        <w:right w:val="none" w:sz="0" w:space="0" w:color="auto"/>
      </w:divBdr>
    </w:div>
    <w:div w:id="1870413265">
      <w:marLeft w:val="0"/>
      <w:marRight w:val="0"/>
      <w:marTop w:val="0"/>
      <w:marBottom w:val="0"/>
      <w:divBdr>
        <w:top w:val="none" w:sz="0" w:space="0" w:color="auto"/>
        <w:left w:val="none" w:sz="0" w:space="0" w:color="auto"/>
        <w:bottom w:val="none" w:sz="0" w:space="0" w:color="auto"/>
        <w:right w:val="none" w:sz="0" w:space="0" w:color="auto"/>
      </w:divBdr>
    </w:div>
    <w:div w:id="1870413266">
      <w:marLeft w:val="0"/>
      <w:marRight w:val="0"/>
      <w:marTop w:val="0"/>
      <w:marBottom w:val="0"/>
      <w:divBdr>
        <w:top w:val="none" w:sz="0" w:space="0" w:color="auto"/>
        <w:left w:val="none" w:sz="0" w:space="0" w:color="auto"/>
        <w:bottom w:val="none" w:sz="0" w:space="0" w:color="auto"/>
        <w:right w:val="none" w:sz="0" w:space="0" w:color="auto"/>
      </w:divBdr>
    </w:div>
    <w:div w:id="1870413267">
      <w:marLeft w:val="0"/>
      <w:marRight w:val="0"/>
      <w:marTop w:val="0"/>
      <w:marBottom w:val="0"/>
      <w:divBdr>
        <w:top w:val="none" w:sz="0" w:space="0" w:color="auto"/>
        <w:left w:val="none" w:sz="0" w:space="0" w:color="auto"/>
        <w:bottom w:val="none" w:sz="0" w:space="0" w:color="auto"/>
        <w:right w:val="none" w:sz="0" w:space="0" w:color="auto"/>
      </w:divBdr>
    </w:div>
    <w:div w:id="1870413268">
      <w:marLeft w:val="0"/>
      <w:marRight w:val="0"/>
      <w:marTop w:val="0"/>
      <w:marBottom w:val="0"/>
      <w:divBdr>
        <w:top w:val="none" w:sz="0" w:space="0" w:color="auto"/>
        <w:left w:val="none" w:sz="0" w:space="0" w:color="auto"/>
        <w:bottom w:val="none" w:sz="0" w:space="0" w:color="auto"/>
        <w:right w:val="none" w:sz="0" w:space="0" w:color="auto"/>
      </w:divBdr>
    </w:div>
    <w:div w:id="1870413269">
      <w:marLeft w:val="0"/>
      <w:marRight w:val="0"/>
      <w:marTop w:val="0"/>
      <w:marBottom w:val="0"/>
      <w:divBdr>
        <w:top w:val="none" w:sz="0" w:space="0" w:color="auto"/>
        <w:left w:val="none" w:sz="0" w:space="0" w:color="auto"/>
        <w:bottom w:val="none" w:sz="0" w:space="0" w:color="auto"/>
        <w:right w:val="none" w:sz="0" w:space="0" w:color="auto"/>
      </w:divBdr>
    </w:div>
    <w:div w:id="1870413270">
      <w:marLeft w:val="0"/>
      <w:marRight w:val="0"/>
      <w:marTop w:val="0"/>
      <w:marBottom w:val="0"/>
      <w:divBdr>
        <w:top w:val="none" w:sz="0" w:space="0" w:color="auto"/>
        <w:left w:val="none" w:sz="0" w:space="0" w:color="auto"/>
        <w:bottom w:val="none" w:sz="0" w:space="0" w:color="auto"/>
        <w:right w:val="none" w:sz="0" w:space="0" w:color="auto"/>
      </w:divBdr>
    </w:div>
    <w:div w:id="1870413271">
      <w:marLeft w:val="0"/>
      <w:marRight w:val="0"/>
      <w:marTop w:val="0"/>
      <w:marBottom w:val="0"/>
      <w:divBdr>
        <w:top w:val="none" w:sz="0" w:space="0" w:color="auto"/>
        <w:left w:val="none" w:sz="0" w:space="0" w:color="auto"/>
        <w:bottom w:val="none" w:sz="0" w:space="0" w:color="auto"/>
        <w:right w:val="none" w:sz="0" w:space="0" w:color="auto"/>
      </w:divBdr>
    </w:div>
    <w:div w:id="1870413272">
      <w:marLeft w:val="0"/>
      <w:marRight w:val="0"/>
      <w:marTop w:val="0"/>
      <w:marBottom w:val="0"/>
      <w:divBdr>
        <w:top w:val="none" w:sz="0" w:space="0" w:color="auto"/>
        <w:left w:val="none" w:sz="0" w:space="0" w:color="auto"/>
        <w:bottom w:val="none" w:sz="0" w:space="0" w:color="auto"/>
        <w:right w:val="none" w:sz="0" w:space="0" w:color="auto"/>
      </w:divBdr>
    </w:div>
    <w:div w:id="1870413273">
      <w:marLeft w:val="0"/>
      <w:marRight w:val="0"/>
      <w:marTop w:val="0"/>
      <w:marBottom w:val="0"/>
      <w:divBdr>
        <w:top w:val="none" w:sz="0" w:space="0" w:color="auto"/>
        <w:left w:val="none" w:sz="0" w:space="0" w:color="auto"/>
        <w:bottom w:val="none" w:sz="0" w:space="0" w:color="auto"/>
        <w:right w:val="none" w:sz="0" w:space="0" w:color="auto"/>
      </w:divBdr>
    </w:div>
    <w:div w:id="1870413274">
      <w:marLeft w:val="0"/>
      <w:marRight w:val="0"/>
      <w:marTop w:val="0"/>
      <w:marBottom w:val="0"/>
      <w:divBdr>
        <w:top w:val="none" w:sz="0" w:space="0" w:color="auto"/>
        <w:left w:val="none" w:sz="0" w:space="0" w:color="auto"/>
        <w:bottom w:val="none" w:sz="0" w:space="0" w:color="auto"/>
        <w:right w:val="none" w:sz="0" w:space="0" w:color="auto"/>
      </w:divBdr>
    </w:div>
    <w:div w:id="1870413275">
      <w:marLeft w:val="0"/>
      <w:marRight w:val="0"/>
      <w:marTop w:val="0"/>
      <w:marBottom w:val="0"/>
      <w:divBdr>
        <w:top w:val="none" w:sz="0" w:space="0" w:color="auto"/>
        <w:left w:val="none" w:sz="0" w:space="0" w:color="auto"/>
        <w:bottom w:val="none" w:sz="0" w:space="0" w:color="auto"/>
        <w:right w:val="none" w:sz="0" w:space="0" w:color="auto"/>
      </w:divBdr>
    </w:div>
    <w:div w:id="1870413276">
      <w:marLeft w:val="0"/>
      <w:marRight w:val="0"/>
      <w:marTop w:val="0"/>
      <w:marBottom w:val="0"/>
      <w:divBdr>
        <w:top w:val="none" w:sz="0" w:space="0" w:color="auto"/>
        <w:left w:val="none" w:sz="0" w:space="0" w:color="auto"/>
        <w:bottom w:val="none" w:sz="0" w:space="0" w:color="auto"/>
        <w:right w:val="none" w:sz="0" w:space="0" w:color="auto"/>
      </w:divBdr>
    </w:div>
    <w:div w:id="1870413277">
      <w:marLeft w:val="0"/>
      <w:marRight w:val="0"/>
      <w:marTop w:val="0"/>
      <w:marBottom w:val="0"/>
      <w:divBdr>
        <w:top w:val="none" w:sz="0" w:space="0" w:color="auto"/>
        <w:left w:val="none" w:sz="0" w:space="0" w:color="auto"/>
        <w:bottom w:val="none" w:sz="0" w:space="0" w:color="auto"/>
        <w:right w:val="none" w:sz="0" w:space="0" w:color="auto"/>
      </w:divBdr>
    </w:div>
    <w:div w:id="1870413278">
      <w:marLeft w:val="0"/>
      <w:marRight w:val="0"/>
      <w:marTop w:val="0"/>
      <w:marBottom w:val="0"/>
      <w:divBdr>
        <w:top w:val="none" w:sz="0" w:space="0" w:color="auto"/>
        <w:left w:val="none" w:sz="0" w:space="0" w:color="auto"/>
        <w:bottom w:val="none" w:sz="0" w:space="0" w:color="auto"/>
        <w:right w:val="none" w:sz="0" w:space="0" w:color="auto"/>
      </w:divBdr>
    </w:div>
    <w:div w:id="1870413279">
      <w:marLeft w:val="0"/>
      <w:marRight w:val="0"/>
      <w:marTop w:val="0"/>
      <w:marBottom w:val="0"/>
      <w:divBdr>
        <w:top w:val="none" w:sz="0" w:space="0" w:color="auto"/>
        <w:left w:val="none" w:sz="0" w:space="0" w:color="auto"/>
        <w:bottom w:val="none" w:sz="0" w:space="0" w:color="auto"/>
        <w:right w:val="none" w:sz="0" w:space="0" w:color="auto"/>
      </w:divBdr>
    </w:div>
    <w:div w:id="1870413280">
      <w:marLeft w:val="0"/>
      <w:marRight w:val="0"/>
      <w:marTop w:val="0"/>
      <w:marBottom w:val="0"/>
      <w:divBdr>
        <w:top w:val="none" w:sz="0" w:space="0" w:color="auto"/>
        <w:left w:val="none" w:sz="0" w:space="0" w:color="auto"/>
        <w:bottom w:val="none" w:sz="0" w:space="0" w:color="auto"/>
        <w:right w:val="none" w:sz="0" w:space="0" w:color="auto"/>
      </w:divBdr>
    </w:div>
    <w:div w:id="1870413281">
      <w:marLeft w:val="0"/>
      <w:marRight w:val="0"/>
      <w:marTop w:val="0"/>
      <w:marBottom w:val="0"/>
      <w:divBdr>
        <w:top w:val="none" w:sz="0" w:space="0" w:color="auto"/>
        <w:left w:val="none" w:sz="0" w:space="0" w:color="auto"/>
        <w:bottom w:val="none" w:sz="0" w:space="0" w:color="auto"/>
        <w:right w:val="none" w:sz="0" w:space="0" w:color="auto"/>
      </w:divBdr>
    </w:div>
    <w:div w:id="1870413282">
      <w:marLeft w:val="0"/>
      <w:marRight w:val="0"/>
      <w:marTop w:val="0"/>
      <w:marBottom w:val="0"/>
      <w:divBdr>
        <w:top w:val="none" w:sz="0" w:space="0" w:color="auto"/>
        <w:left w:val="none" w:sz="0" w:space="0" w:color="auto"/>
        <w:bottom w:val="none" w:sz="0" w:space="0" w:color="auto"/>
        <w:right w:val="none" w:sz="0" w:space="0" w:color="auto"/>
      </w:divBdr>
    </w:div>
    <w:div w:id="1870413283">
      <w:marLeft w:val="0"/>
      <w:marRight w:val="0"/>
      <w:marTop w:val="0"/>
      <w:marBottom w:val="0"/>
      <w:divBdr>
        <w:top w:val="none" w:sz="0" w:space="0" w:color="auto"/>
        <w:left w:val="none" w:sz="0" w:space="0" w:color="auto"/>
        <w:bottom w:val="none" w:sz="0" w:space="0" w:color="auto"/>
        <w:right w:val="none" w:sz="0" w:space="0" w:color="auto"/>
      </w:divBdr>
    </w:div>
    <w:div w:id="18704132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1CE99-E459-4814-B97F-2F11D3AA6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Kevin Madison</cp:lastModifiedBy>
  <cp:revision>2</cp:revision>
  <dcterms:created xsi:type="dcterms:W3CDTF">2013-06-20T22:22:00Z</dcterms:created>
  <dcterms:modified xsi:type="dcterms:W3CDTF">2013-06-20T22:22:00Z</dcterms:modified>
</cp:coreProperties>
</file>