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19" w:rsidRDefault="00794019" w:rsidP="00794019">
      <w:pPr>
        <w:spacing w:after="0" w:line="240" w:lineRule="auto"/>
        <w:rPr>
          <w:b/>
          <w:sz w:val="24"/>
          <w:szCs w:val="24"/>
        </w:rPr>
      </w:pPr>
      <w:bookmarkStart w:id="0" w:name="_top"/>
      <w:bookmarkEnd w:id="0"/>
      <w:r>
        <w:rPr>
          <w:b/>
          <w:sz w:val="24"/>
          <w:szCs w:val="24"/>
        </w:rPr>
        <w:t>W</w:t>
      </w:r>
      <w:r w:rsidR="00C94178">
        <w:rPr>
          <w:b/>
          <w:sz w:val="24"/>
          <w:szCs w:val="24"/>
        </w:rPr>
        <w:t xml:space="preserve">ORKPAPER DISPOSITION </w:t>
      </w:r>
      <w:r>
        <w:rPr>
          <w:b/>
          <w:sz w:val="24"/>
          <w:szCs w:val="24"/>
        </w:rPr>
        <w:t>FOR</w:t>
      </w:r>
      <w:r w:rsidR="00C94178">
        <w:rPr>
          <w:b/>
          <w:sz w:val="24"/>
          <w:szCs w:val="24"/>
        </w:rPr>
        <w:t xml:space="preserve"> COMMERCIAL POOL COVERS</w:t>
      </w:r>
    </w:p>
    <w:p w:rsidR="00794019" w:rsidRDefault="00794019" w:rsidP="00794019">
      <w:pPr>
        <w:spacing w:after="0" w:line="240" w:lineRule="auto"/>
        <w:rPr>
          <w:b/>
          <w:sz w:val="24"/>
          <w:szCs w:val="24"/>
        </w:rPr>
      </w:pPr>
      <w:r>
        <w:rPr>
          <w:b/>
          <w:sz w:val="24"/>
          <w:szCs w:val="24"/>
        </w:rPr>
        <w:t>California Public Utilities Commission, Energy Division</w:t>
      </w:r>
    </w:p>
    <w:p w:rsidR="00C94178" w:rsidRDefault="00C94178" w:rsidP="00794019">
      <w:pPr>
        <w:rPr>
          <w:sz w:val="24"/>
          <w:szCs w:val="24"/>
        </w:rPr>
      </w:pPr>
      <w:r>
        <w:rPr>
          <w:sz w:val="24"/>
          <w:szCs w:val="24"/>
        </w:rPr>
        <w:t>March 1, 2013</w:t>
      </w:r>
    </w:p>
    <w:p w:rsidR="00794019" w:rsidRPr="00E534A2" w:rsidRDefault="00794019" w:rsidP="00794019">
      <w:r>
        <w:t xml:space="preserve">Refer to </w:t>
      </w:r>
      <w:r w:rsidR="003B5573">
        <w:fldChar w:fldCharType="begin"/>
      </w:r>
      <w:r>
        <w:instrText xml:space="preserve"> REF _Ref324175084 \h </w:instrText>
      </w:r>
      <w:r w:rsidR="003B5573">
        <w:fldChar w:fldCharType="separate"/>
      </w:r>
      <w:r w:rsidRPr="00E534A2">
        <w:t xml:space="preserve">Table </w:t>
      </w:r>
      <w:r>
        <w:rPr>
          <w:noProof/>
        </w:rPr>
        <w:t>1</w:t>
      </w:r>
      <w:r w:rsidR="003B5573">
        <w:fldChar w:fldCharType="end"/>
      </w:r>
      <w:r>
        <w:t xml:space="preserve"> for a list of currently submitted IOU workpapers </w:t>
      </w:r>
      <w:r w:rsidR="00FF188F">
        <w:t xml:space="preserve">that cover </w:t>
      </w:r>
      <w:r w:rsidR="00C94178">
        <w:t>commercial pool covers.</w:t>
      </w:r>
    </w:p>
    <w:p w:rsidR="00794019" w:rsidRPr="00E534A2" w:rsidRDefault="00794019" w:rsidP="00794019">
      <w:pPr>
        <w:pStyle w:val="Caption"/>
        <w:keepNext/>
        <w:rPr>
          <w:sz w:val="22"/>
          <w:szCs w:val="22"/>
        </w:rPr>
      </w:pPr>
      <w:bookmarkStart w:id="1" w:name="_Ref324175084"/>
      <w:r w:rsidRPr="00E534A2">
        <w:rPr>
          <w:sz w:val="22"/>
          <w:szCs w:val="22"/>
        </w:rPr>
        <w:t xml:space="preserve">Table </w:t>
      </w:r>
      <w:r w:rsidR="003B5573">
        <w:rPr>
          <w:sz w:val="22"/>
          <w:szCs w:val="22"/>
        </w:rPr>
        <w:fldChar w:fldCharType="begin"/>
      </w:r>
      <w:r>
        <w:rPr>
          <w:sz w:val="22"/>
          <w:szCs w:val="22"/>
        </w:rPr>
        <w:instrText xml:space="preserve"> SEQ Table \* ARABIC </w:instrText>
      </w:r>
      <w:r w:rsidR="003B5573">
        <w:rPr>
          <w:sz w:val="22"/>
          <w:szCs w:val="22"/>
        </w:rPr>
        <w:fldChar w:fldCharType="separate"/>
      </w:r>
      <w:r w:rsidR="0084107E">
        <w:rPr>
          <w:noProof/>
          <w:sz w:val="22"/>
          <w:szCs w:val="22"/>
        </w:rPr>
        <w:t>1</w:t>
      </w:r>
      <w:r w:rsidR="003B5573">
        <w:rPr>
          <w:sz w:val="22"/>
          <w:szCs w:val="22"/>
        </w:rPr>
        <w:fldChar w:fldCharType="end"/>
      </w:r>
      <w:bookmarkEnd w:id="1"/>
      <w:r w:rsidR="00B512B1">
        <w:rPr>
          <w:sz w:val="22"/>
          <w:szCs w:val="22"/>
        </w:rPr>
        <w:t xml:space="preserve"> – </w:t>
      </w:r>
      <w:r w:rsidR="00C94178">
        <w:rPr>
          <w:sz w:val="22"/>
          <w:szCs w:val="22"/>
        </w:rPr>
        <w:t>Commercial Pool Covers Workpapers</w:t>
      </w:r>
    </w:p>
    <w:tbl>
      <w:tblPr>
        <w:tblW w:w="92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6"/>
        <w:gridCol w:w="5412"/>
        <w:gridCol w:w="1617"/>
      </w:tblGrid>
      <w:tr w:rsidR="00794019" w:rsidRPr="008E6B1C" w:rsidTr="00973488">
        <w:trPr>
          <w:trHeight w:val="287"/>
        </w:trPr>
        <w:tc>
          <w:tcPr>
            <w:tcW w:w="2256" w:type="dxa"/>
          </w:tcPr>
          <w:p w:rsidR="00794019" w:rsidRPr="008E6B1C" w:rsidRDefault="00794019" w:rsidP="001E7828">
            <w:pPr>
              <w:keepNext/>
              <w:spacing w:after="0" w:line="240" w:lineRule="auto"/>
              <w:rPr>
                <w:b/>
              </w:rPr>
            </w:pPr>
            <w:r w:rsidRPr="008E6B1C">
              <w:rPr>
                <w:b/>
              </w:rPr>
              <w:t>Workpaper ID</w:t>
            </w:r>
          </w:p>
        </w:tc>
        <w:tc>
          <w:tcPr>
            <w:tcW w:w="5412" w:type="dxa"/>
          </w:tcPr>
          <w:p w:rsidR="00794019" w:rsidRPr="008E6B1C" w:rsidRDefault="00794019" w:rsidP="001E7828">
            <w:pPr>
              <w:keepNext/>
              <w:spacing w:after="0" w:line="240" w:lineRule="auto"/>
              <w:rPr>
                <w:b/>
              </w:rPr>
            </w:pPr>
            <w:r w:rsidRPr="008E6B1C">
              <w:rPr>
                <w:b/>
              </w:rPr>
              <w:t>Workpaper Title</w:t>
            </w:r>
          </w:p>
        </w:tc>
        <w:tc>
          <w:tcPr>
            <w:tcW w:w="1617" w:type="dxa"/>
          </w:tcPr>
          <w:p w:rsidR="00794019" w:rsidRPr="008E6B1C" w:rsidRDefault="00B512B1" w:rsidP="001E7828">
            <w:pPr>
              <w:keepNext/>
              <w:spacing w:after="0" w:line="240" w:lineRule="auto"/>
              <w:rPr>
                <w:b/>
              </w:rPr>
            </w:pPr>
            <w:r>
              <w:rPr>
                <w:b/>
              </w:rPr>
              <w:t>Date</w:t>
            </w:r>
          </w:p>
        </w:tc>
      </w:tr>
      <w:tr w:rsidR="00794019" w:rsidRPr="008E6B1C" w:rsidTr="00973488">
        <w:trPr>
          <w:trHeight w:val="276"/>
        </w:trPr>
        <w:tc>
          <w:tcPr>
            <w:tcW w:w="2256" w:type="dxa"/>
            <w:tcBorders>
              <w:right w:val="nil"/>
            </w:tcBorders>
            <w:shd w:val="pct25" w:color="auto" w:fill="auto"/>
          </w:tcPr>
          <w:p w:rsidR="00794019" w:rsidRPr="008E6B1C" w:rsidRDefault="00794019" w:rsidP="001E7828">
            <w:pPr>
              <w:keepNext/>
              <w:spacing w:after="0" w:line="240" w:lineRule="auto"/>
              <w:rPr>
                <w:b/>
              </w:rPr>
            </w:pPr>
            <w:r w:rsidRPr="008E6B1C">
              <w:rPr>
                <w:b/>
              </w:rPr>
              <w:t>SDG&amp;E</w:t>
            </w:r>
          </w:p>
        </w:tc>
        <w:tc>
          <w:tcPr>
            <w:tcW w:w="5412" w:type="dxa"/>
            <w:tcBorders>
              <w:top w:val="single" w:sz="4" w:space="0" w:color="auto"/>
              <w:left w:val="nil"/>
              <w:right w:val="nil"/>
            </w:tcBorders>
            <w:shd w:val="pct25" w:color="auto" w:fill="auto"/>
          </w:tcPr>
          <w:p w:rsidR="00794019" w:rsidRPr="008E6B1C" w:rsidRDefault="00794019" w:rsidP="001E7828">
            <w:pPr>
              <w:keepNext/>
              <w:spacing w:after="0" w:line="240" w:lineRule="auto"/>
            </w:pPr>
          </w:p>
        </w:tc>
        <w:tc>
          <w:tcPr>
            <w:tcW w:w="1617" w:type="dxa"/>
            <w:tcBorders>
              <w:left w:val="nil"/>
            </w:tcBorders>
            <w:shd w:val="pct25" w:color="auto" w:fill="auto"/>
          </w:tcPr>
          <w:p w:rsidR="00794019" w:rsidRPr="008E6B1C" w:rsidRDefault="00794019" w:rsidP="001E7828">
            <w:pPr>
              <w:keepNext/>
              <w:spacing w:after="0" w:line="240" w:lineRule="auto"/>
              <w:jc w:val="right"/>
            </w:pPr>
          </w:p>
        </w:tc>
      </w:tr>
      <w:tr w:rsidR="00794019" w:rsidRPr="008E6B1C" w:rsidTr="00973488">
        <w:trPr>
          <w:trHeight w:val="296"/>
        </w:trPr>
        <w:tc>
          <w:tcPr>
            <w:tcW w:w="2256" w:type="dxa"/>
          </w:tcPr>
          <w:p w:rsidR="00794019" w:rsidRPr="008E6B1C" w:rsidRDefault="008E7E08" w:rsidP="001E7828">
            <w:pPr>
              <w:spacing w:after="0" w:line="240" w:lineRule="auto"/>
            </w:pPr>
            <w:r w:rsidRPr="008E7E08">
              <w:t>WPSDGENRWH1204</w:t>
            </w:r>
          </w:p>
        </w:tc>
        <w:tc>
          <w:tcPr>
            <w:tcW w:w="5412" w:type="dxa"/>
          </w:tcPr>
          <w:p w:rsidR="00794019" w:rsidRPr="008E6B1C" w:rsidRDefault="008E7E08" w:rsidP="001E7828">
            <w:pPr>
              <w:spacing w:after="0" w:line="240" w:lineRule="auto"/>
            </w:pPr>
            <w:r w:rsidRPr="008E7E08">
              <w:t>Outdoor/Indoor Pool Covers</w:t>
            </w:r>
          </w:p>
        </w:tc>
        <w:tc>
          <w:tcPr>
            <w:tcW w:w="1617" w:type="dxa"/>
          </w:tcPr>
          <w:p w:rsidR="00794019" w:rsidRPr="008E6B1C" w:rsidRDefault="008E7E08" w:rsidP="001E7828">
            <w:pPr>
              <w:spacing w:after="0" w:line="240" w:lineRule="auto"/>
              <w:jc w:val="right"/>
            </w:pPr>
            <w:r>
              <w:t>06/15/2012</w:t>
            </w:r>
          </w:p>
        </w:tc>
      </w:tr>
      <w:tr w:rsidR="00081C45" w:rsidRPr="008E6B1C" w:rsidTr="00973488">
        <w:trPr>
          <w:trHeight w:val="276"/>
        </w:trPr>
        <w:tc>
          <w:tcPr>
            <w:tcW w:w="2256" w:type="dxa"/>
            <w:tcBorders>
              <w:right w:val="nil"/>
            </w:tcBorders>
            <w:shd w:val="clear" w:color="auto" w:fill="BFBFBF"/>
          </w:tcPr>
          <w:p w:rsidR="00081C45" w:rsidRPr="008E6B1C" w:rsidRDefault="008E7E08" w:rsidP="001E7828">
            <w:pPr>
              <w:keepNext/>
              <w:spacing w:after="0" w:line="240" w:lineRule="auto"/>
              <w:rPr>
                <w:b/>
              </w:rPr>
            </w:pPr>
            <w:r>
              <w:rPr>
                <w:b/>
              </w:rPr>
              <w:t>SCG</w:t>
            </w:r>
          </w:p>
        </w:tc>
        <w:tc>
          <w:tcPr>
            <w:tcW w:w="5412" w:type="dxa"/>
            <w:tcBorders>
              <w:left w:val="nil"/>
              <w:right w:val="nil"/>
            </w:tcBorders>
            <w:shd w:val="clear" w:color="auto" w:fill="BFBFBF"/>
          </w:tcPr>
          <w:p w:rsidR="00081C45" w:rsidRPr="008E6B1C" w:rsidRDefault="00081C45" w:rsidP="001E7828">
            <w:pPr>
              <w:keepNext/>
              <w:spacing w:after="0" w:line="240" w:lineRule="auto"/>
            </w:pPr>
          </w:p>
        </w:tc>
        <w:tc>
          <w:tcPr>
            <w:tcW w:w="1617" w:type="dxa"/>
            <w:tcBorders>
              <w:left w:val="nil"/>
            </w:tcBorders>
            <w:shd w:val="clear" w:color="auto" w:fill="BFBFBF"/>
          </w:tcPr>
          <w:p w:rsidR="00081C45" w:rsidRPr="008E6B1C" w:rsidRDefault="00081C45" w:rsidP="001E7828">
            <w:pPr>
              <w:keepNext/>
              <w:spacing w:after="0" w:line="240" w:lineRule="auto"/>
            </w:pPr>
          </w:p>
        </w:tc>
      </w:tr>
      <w:tr w:rsidR="00081C45" w:rsidRPr="008E6B1C" w:rsidTr="00973488">
        <w:trPr>
          <w:trHeight w:val="276"/>
        </w:trPr>
        <w:tc>
          <w:tcPr>
            <w:tcW w:w="2256" w:type="dxa"/>
          </w:tcPr>
          <w:p w:rsidR="00081C45" w:rsidRPr="008E6B1C" w:rsidRDefault="008E7E08" w:rsidP="001E7828">
            <w:pPr>
              <w:keepNext/>
              <w:spacing w:after="0" w:line="240" w:lineRule="auto"/>
            </w:pPr>
            <w:r w:rsidRPr="008E7E08">
              <w:t>WPRSGNRWH0002</w:t>
            </w:r>
          </w:p>
        </w:tc>
        <w:tc>
          <w:tcPr>
            <w:tcW w:w="5412" w:type="dxa"/>
          </w:tcPr>
          <w:p w:rsidR="00081C45" w:rsidRPr="008E6B1C" w:rsidRDefault="008E7E08" w:rsidP="001E7828">
            <w:pPr>
              <w:keepNext/>
              <w:spacing w:after="0" w:line="240" w:lineRule="auto"/>
            </w:pPr>
            <w:r w:rsidRPr="008E7E08">
              <w:t>Outdoor/Indoor Pool Covers</w:t>
            </w:r>
          </w:p>
        </w:tc>
        <w:tc>
          <w:tcPr>
            <w:tcW w:w="1617" w:type="dxa"/>
          </w:tcPr>
          <w:p w:rsidR="00081C45" w:rsidRPr="008E6B1C" w:rsidRDefault="00067EC2" w:rsidP="001E7828">
            <w:pPr>
              <w:keepNext/>
              <w:spacing w:after="0" w:line="240" w:lineRule="auto"/>
              <w:jc w:val="right"/>
            </w:pPr>
            <w:r>
              <w:t xml:space="preserve">Nov </w:t>
            </w:r>
            <w:r w:rsidR="008E7E08">
              <w:t>2010</w:t>
            </w:r>
          </w:p>
        </w:tc>
      </w:tr>
      <w:tr w:rsidR="00081C45" w:rsidRPr="008E6B1C" w:rsidTr="00973488">
        <w:trPr>
          <w:trHeight w:val="276"/>
        </w:trPr>
        <w:tc>
          <w:tcPr>
            <w:tcW w:w="2256" w:type="dxa"/>
            <w:tcBorders>
              <w:right w:val="nil"/>
            </w:tcBorders>
            <w:shd w:val="pct25" w:color="auto" w:fill="auto"/>
          </w:tcPr>
          <w:p w:rsidR="00081C45" w:rsidRPr="008E6B1C" w:rsidRDefault="00081C45" w:rsidP="001E7828">
            <w:pPr>
              <w:keepNext/>
              <w:spacing w:after="0" w:line="240" w:lineRule="auto"/>
              <w:rPr>
                <w:b/>
              </w:rPr>
            </w:pPr>
            <w:r w:rsidRPr="008E6B1C">
              <w:rPr>
                <w:b/>
              </w:rPr>
              <w:t>PG&amp;E</w:t>
            </w:r>
          </w:p>
        </w:tc>
        <w:tc>
          <w:tcPr>
            <w:tcW w:w="5412" w:type="dxa"/>
            <w:tcBorders>
              <w:left w:val="nil"/>
              <w:right w:val="nil"/>
            </w:tcBorders>
            <w:shd w:val="pct25" w:color="auto" w:fill="auto"/>
          </w:tcPr>
          <w:p w:rsidR="00081C45" w:rsidRPr="008E6B1C" w:rsidRDefault="00081C45" w:rsidP="001E7828">
            <w:pPr>
              <w:keepNext/>
              <w:spacing w:after="0" w:line="240" w:lineRule="auto"/>
            </w:pPr>
          </w:p>
        </w:tc>
        <w:tc>
          <w:tcPr>
            <w:tcW w:w="1617" w:type="dxa"/>
            <w:tcBorders>
              <w:left w:val="nil"/>
            </w:tcBorders>
            <w:shd w:val="pct25" w:color="auto" w:fill="auto"/>
          </w:tcPr>
          <w:p w:rsidR="00081C45" w:rsidRPr="008E6B1C" w:rsidRDefault="00081C45" w:rsidP="001E7828">
            <w:pPr>
              <w:keepNext/>
              <w:spacing w:after="0" w:line="240" w:lineRule="auto"/>
              <w:jc w:val="right"/>
            </w:pPr>
          </w:p>
        </w:tc>
      </w:tr>
      <w:tr w:rsidR="00081C45" w:rsidRPr="008E6B1C" w:rsidTr="00973488">
        <w:trPr>
          <w:trHeight w:val="276"/>
        </w:trPr>
        <w:tc>
          <w:tcPr>
            <w:tcW w:w="2256" w:type="dxa"/>
          </w:tcPr>
          <w:p w:rsidR="00081C45" w:rsidRPr="008E6B1C" w:rsidRDefault="008E7E08" w:rsidP="001E7828">
            <w:pPr>
              <w:keepNext/>
              <w:spacing w:after="0" w:line="240" w:lineRule="auto"/>
            </w:pPr>
            <w:r w:rsidRPr="008E7E08">
              <w:t>PGE3PPRO109</w:t>
            </w:r>
          </w:p>
        </w:tc>
        <w:tc>
          <w:tcPr>
            <w:tcW w:w="5412" w:type="dxa"/>
          </w:tcPr>
          <w:p w:rsidR="00081C45" w:rsidRPr="008E6B1C" w:rsidRDefault="008E7E08" w:rsidP="001E7828">
            <w:pPr>
              <w:keepNext/>
              <w:spacing w:after="0" w:line="240" w:lineRule="auto"/>
            </w:pPr>
            <w:r w:rsidRPr="008E7E08">
              <w:t>Outdoor Commercial Pool Covers</w:t>
            </w:r>
          </w:p>
        </w:tc>
        <w:tc>
          <w:tcPr>
            <w:tcW w:w="1617" w:type="dxa"/>
          </w:tcPr>
          <w:p w:rsidR="00081C45" w:rsidRPr="008E6B1C" w:rsidRDefault="008E7E08" w:rsidP="001E7828">
            <w:pPr>
              <w:keepNext/>
              <w:spacing w:after="0" w:line="240" w:lineRule="auto"/>
              <w:jc w:val="right"/>
            </w:pPr>
            <w:r>
              <w:t>08/24/2012</w:t>
            </w:r>
          </w:p>
        </w:tc>
      </w:tr>
    </w:tbl>
    <w:p w:rsidR="00794019" w:rsidRDefault="00794019" w:rsidP="00794019">
      <w:pPr>
        <w:tabs>
          <w:tab w:val="left" w:pos="2520"/>
        </w:tabs>
      </w:pPr>
    </w:p>
    <w:p w:rsidR="0025457E" w:rsidRPr="00973488" w:rsidRDefault="0025457E" w:rsidP="00794019">
      <w:pPr>
        <w:tabs>
          <w:tab w:val="left" w:pos="2520"/>
        </w:tabs>
        <w:rPr>
          <w:b/>
          <w:u w:val="single"/>
        </w:rPr>
      </w:pPr>
      <w:r w:rsidRPr="00973488">
        <w:rPr>
          <w:b/>
          <w:u w:val="single"/>
        </w:rPr>
        <w:t xml:space="preserve">Workpaper </w:t>
      </w:r>
      <w:r w:rsidR="00721A99" w:rsidRPr="00973488">
        <w:rPr>
          <w:b/>
          <w:u w:val="single"/>
        </w:rPr>
        <w:t>Disposition</w:t>
      </w:r>
      <w:r w:rsidRPr="00973488">
        <w:rPr>
          <w:b/>
          <w:u w:val="single"/>
        </w:rPr>
        <w:t>:</w:t>
      </w:r>
    </w:p>
    <w:p w:rsidR="00827882" w:rsidRPr="00973488" w:rsidRDefault="00827882" w:rsidP="00827882">
      <w:pPr>
        <w:tabs>
          <w:tab w:val="left" w:pos="2520"/>
        </w:tabs>
      </w:pPr>
      <w:r w:rsidRPr="00973488">
        <w:rPr>
          <w:b/>
        </w:rPr>
        <w:t>Disposition</w:t>
      </w:r>
      <w:r w:rsidR="0096429F" w:rsidRPr="00973488">
        <w:rPr>
          <w:b/>
        </w:rPr>
        <w:t xml:space="preserve"> </w:t>
      </w:r>
      <w:r w:rsidRPr="00973488">
        <w:rPr>
          <w:b/>
        </w:rPr>
        <w:t>Summary</w:t>
      </w:r>
    </w:p>
    <w:p w:rsidR="003F18A5" w:rsidRPr="00362F28" w:rsidRDefault="00362F28" w:rsidP="001645AD">
      <w:pPr>
        <w:pStyle w:val="ListParagraph"/>
        <w:numPr>
          <w:ilvl w:val="0"/>
          <w:numId w:val="12"/>
        </w:numPr>
        <w:rPr>
          <w:u w:val="single"/>
        </w:rPr>
      </w:pPr>
      <w:r w:rsidRPr="00362F28">
        <w:rPr>
          <w:u w:val="single"/>
        </w:rPr>
        <w:t>The use of a “regressive baseline” is not allowed:</w:t>
      </w:r>
      <w:r>
        <w:t xml:space="preserve"> </w:t>
      </w:r>
      <w:r w:rsidR="00DC081F">
        <w:t xml:space="preserve">An installation rate of 0.28 shall be applied to PG&amp;E savings values and 0.38 to SDG&amp;E and SCG savings values. </w:t>
      </w:r>
      <w:r>
        <w:t xml:space="preserve">All </w:t>
      </w:r>
      <w:proofErr w:type="spellStart"/>
      <w:r>
        <w:t>workpapers</w:t>
      </w:r>
      <w:proofErr w:type="spellEnd"/>
      <w:r>
        <w:t xml:space="preserve"> allow this measure when an existing pool cover has reached the end of its useful life. Based on preliminary economic analysis, staff does not agree with the assumption that, once pool covers become non-functional, that customers will not replace them without IOU incentives. A review of historical photographic records from Google Earth indicates that approximately 28% of pool cover savings occur for pools with no previous use of covers.</w:t>
      </w:r>
    </w:p>
    <w:p w:rsidR="0078683F" w:rsidRDefault="00362F28" w:rsidP="001645AD">
      <w:pPr>
        <w:pStyle w:val="ListParagraph"/>
        <w:numPr>
          <w:ilvl w:val="0"/>
          <w:numId w:val="12"/>
        </w:numPr>
      </w:pPr>
      <w:r>
        <w:rPr>
          <w:u w:val="single"/>
        </w:rPr>
        <w:t>Revise the NTG to be 0.60:</w:t>
      </w:r>
      <w:r w:rsidR="001C5693">
        <w:t xml:space="preserve"> </w:t>
      </w:r>
      <w:proofErr w:type="spellStart"/>
      <w:r>
        <w:t>Workpapers</w:t>
      </w:r>
      <w:proofErr w:type="spellEnd"/>
      <w:r>
        <w:t xml:space="preserve"> appear to assume NTG values that are either out of date or not applicable for this type of measure.</w:t>
      </w:r>
    </w:p>
    <w:p w:rsidR="0084107E" w:rsidRDefault="0084107E" w:rsidP="00362F28">
      <w:pPr>
        <w:pStyle w:val="ListParagraph"/>
        <w:ind w:left="0"/>
        <w:rPr>
          <w:b/>
        </w:rPr>
      </w:pPr>
    </w:p>
    <w:p w:rsidR="00362F28" w:rsidRDefault="00362F28" w:rsidP="00362F28">
      <w:pPr>
        <w:pStyle w:val="ListParagraph"/>
        <w:ind w:left="0"/>
        <w:rPr>
          <w:b/>
        </w:rPr>
      </w:pPr>
      <w:bookmarkStart w:id="2" w:name="_GoBack"/>
      <w:bookmarkEnd w:id="2"/>
      <w:r w:rsidRPr="009926F4">
        <w:rPr>
          <w:b/>
        </w:rPr>
        <w:t>Installation rate review</w:t>
      </w:r>
    </w:p>
    <w:p w:rsidR="00362F28" w:rsidRDefault="00362F28" w:rsidP="00067EC2">
      <w:r>
        <w:t>Energy Division staff analyzed PGE and SCG’s claims of the 3rd quarter of 2011 through the 2</w:t>
      </w:r>
      <w:r w:rsidRPr="00E34117">
        <w:rPr>
          <w:vertAlign w:val="superscript"/>
        </w:rPr>
        <w:t>nd</w:t>
      </w:r>
      <w:r>
        <w:t xml:space="preserve"> quarter of 2012. Using Google Earth, the Energy Division staff was able to look up, for each claim, if a pool cover was installed before the claim was made. Staff was able to identify that the majority of pools already had a covers before the claim was made. This indicates the “regressive baseline” is the typical condition.</w:t>
      </w:r>
      <w:r w:rsidR="00DC081F">
        <w:t xml:space="preserve"> To calculate an installation rate, staff divided weighted savings for all pool installations where no previous cover could be identified by the total area weighted savings of all claims.</w:t>
      </w:r>
      <w:r>
        <w:t xml:space="preserve"> </w:t>
      </w:r>
      <w:r w:rsidR="00DC081F">
        <w:t>The overall installation rate was calculated to be 0.28</w:t>
      </w:r>
      <w:r>
        <w:t xml:space="preserve">. </w:t>
      </w:r>
      <w:r w:rsidR="00DC081F">
        <w:t xml:space="preserve">Staff believes that, because SDGE and SCG </w:t>
      </w:r>
      <w:proofErr w:type="spellStart"/>
      <w:r w:rsidR="00DC081F">
        <w:t>workpapers</w:t>
      </w:r>
      <w:proofErr w:type="spellEnd"/>
      <w:r w:rsidR="00DC081F">
        <w:t xml:space="preserve"> require</w:t>
      </w:r>
      <w:r>
        <w:t xml:space="preserve"> a pool cover efficiency improvement (R-Value of 2), the </w:t>
      </w:r>
      <w:r w:rsidR="00DC081F">
        <w:t xml:space="preserve">installation rate for SDG&amp;E and SCG </w:t>
      </w:r>
      <w:proofErr w:type="spellStart"/>
      <w:r w:rsidR="00DC081F">
        <w:t>workpapers</w:t>
      </w:r>
      <w:proofErr w:type="spellEnd"/>
      <w:r w:rsidR="00DC081F">
        <w:t xml:space="preserve"> should be increased by 0.10 to 0.38</w:t>
      </w:r>
      <w:r>
        <w:t>.</w:t>
      </w:r>
      <w:r w:rsidR="00DC081F">
        <w:t xml:space="preserve"> Refer to the embedded workbook, </w:t>
      </w:r>
      <w:r w:rsidR="00067EC2">
        <w:t>“PoolInstallationAnalysisClean.xlsx”, for the complete installation rate analysis.</w:t>
      </w:r>
    </w:p>
    <w:p w:rsidR="00067EC2" w:rsidRDefault="00067EC2" w:rsidP="00067EC2">
      <w:r>
        <w:lastRenderedPageBreak/>
        <w:t>To investigate the reasonableness of a regressive baseline, staff performed a simplified economic analysis that included the likely costs of continuing to operate a pool once the cover becomes non-functional. The analysis considers the following costs:</w:t>
      </w:r>
    </w:p>
    <w:p w:rsidR="00067EC2" w:rsidRDefault="0084107E" w:rsidP="00067EC2">
      <w:pPr>
        <w:pStyle w:val="ListParagraph"/>
        <w:numPr>
          <w:ilvl w:val="0"/>
          <w:numId w:val="13"/>
        </w:numPr>
      </w:pPr>
      <w:r>
        <w:t>Heating costs for water evaporation</w:t>
      </w:r>
    </w:p>
    <w:p w:rsidR="0084107E" w:rsidRDefault="0084107E" w:rsidP="00067EC2">
      <w:pPr>
        <w:pStyle w:val="ListParagraph"/>
        <w:numPr>
          <w:ilvl w:val="0"/>
          <w:numId w:val="13"/>
        </w:numPr>
      </w:pPr>
      <w:r>
        <w:t>Water consumption costs due to evaporation</w:t>
      </w:r>
    </w:p>
    <w:p w:rsidR="0084107E" w:rsidRDefault="0084107E" w:rsidP="00067EC2">
      <w:pPr>
        <w:pStyle w:val="ListParagraph"/>
        <w:numPr>
          <w:ilvl w:val="0"/>
          <w:numId w:val="13"/>
        </w:numPr>
      </w:pPr>
      <w:r>
        <w:t>Additional treatment and maintenance costs without cover</w:t>
      </w:r>
    </w:p>
    <w:p w:rsidR="0084107E" w:rsidRDefault="0084107E" w:rsidP="00067EC2">
      <w:pPr>
        <w:pStyle w:val="ListParagraph"/>
        <w:numPr>
          <w:ilvl w:val="0"/>
          <w:numId w:val="13"/>
        </w:numPr>
      </w:pPr>
      <w:r>
        <w:t>Incremental cover cost of $2.60/ft</w:t>
      </w:r>
      <w:r w:rsidRPr="0084107E">
        <w:rPr>
          <w:vertAlign w:val="superscript"/>
        </w:rPr>
        <w:t>2</w:t>
      </w:r>
      <w:r>
        <w:t xml:space="preserve">, which is the highest value from </w:t>
      </w:r>
      <w:proofErr w:type="spellStart"/>
      <w:r>
        <w:t>workpapers</w:t>
      </w:r>
      <w:proofErr w:type="spellEnd"/>
    </w:p>
    <w:p w:rsidR="0084107E" w:rsidRDefault="0084107E" w:rsidP="0084107E">
      <w:r>
        <w:t xml:space="preserve">The summary of this analysis is provided in </w:t>
      </w:r>
      <w:r>
        <w:fldChar w:fldCharType="begin"/>
      </w:r>
      <w:r>
        <w:instrText xml:space="preserve"> REF _Ref350065642 \h </w:instrText>
      </w:r>
      <w:r>
        <w:fldChar w:fldCharType="separate"/>
      </w:r>
      <w:r>
        <w:t xml:space="preserve">Table </w:t>
      </w:r>
      <w:r>
        <w:rPr>
          <w:noProof/>
        </w:rPr>
        <w:t>2</w:t>
      </w:r>
      <w:r>
        <w:fldChar w:fldCharType="end"/>
      </w:r>
      <w:r>
        <w:t xml:space="preserve"> and shows that the typical simple payback is less than one year. With such short payback values, staff believes that a regressive baseline is not a reasonable assumption and therefore requires the installation rate adjustments described above.</w:t>
      </w:r>
    </w:p>
    <w:p w:rsidR="0084107E" w:rsidRDefault="0084107E" w:rsidP="0084107E">
      <w:pPr>
        <w:pStyle w:val="Caption"/>
        <w:keepNext/>
      </w:pPr>
      <w:bookmarkStart w:id="3" w:name="_Ref350065642"/>
      <w:r>
        <w:t xml:space="preserve">Table </w:t>
      </w:r>
      <w:fldSimple w:instr=" SEQ Table \* ARABIC ">
        <w:r>
          <w:rPr>
            <w:noProof/>
          </w:rPr>
          <w:t>2</w:t>
        </w:r>
      </w:fldSimple>
      <w:bookmarkEnd w:id="3"/>
      <w:r>
        <w:rPr>
          <w:noProof/>
        </w:rPr>
        <w:t xml:space="preserve"> - Pool Cover Simple Payback Examples</w:t>
      </w:r>
    </w:p>
    <w:p w:rsidR="0084107E" w:rsidRDefault="0084107E" w:rsidP="0084107E">
      <w:r>
        <w:rPr>
          <w:noProof/>
        </w:rPr>
        <w:drawing>
          <wp:inline distT="0" distB="0" distL="0" distR="0" wp14:anchorId="5E1984C1" wp14:editId="1406C39F">
            <wp:extent cx="4468495" cy="13519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68495" cy="1351915"/>
                    </a:xfrm>
                    <a:prstGeom prst="rect">
                      <a:avLst/>
                    </a:prstGeom>
                    <a:noFill/>
                    <a:ln>
                      <a:noFill/>
                    </a:ln>
                  </pic:spPr>
                </pic:pic>
              </a:graphicData>
            </a:graphic>
          </wp:inline>
        </w:drawing>
      </w:r>
    </w:p>
    <w:p w:rsidR="001645AD" w:rsidRDefault="001645AD" w:rsidP="001645AD">
      <w:pPr>
        <w:pStyle w:val="ListParagraph"/>
      </w:pPr>
    </w:p>
    <w:p w:rsidR="00575351" w:rsidRDefault="00575351" w:rsidP="00575351">
      <w:pPr>
        <w:pStyle w:val="ListParagraph"/>
        <w:ind w:left="0"/>
        <w:rPr>
          <w:b/>
        </w:rPr>
      </w:pPr>
      <w:r w:rsidRPr="00575351">
        <w:rPr>
          <w:b/>
        </w:rPr>
        <w:t>NTG review</w:t>
      </w:r>
    </w:p>
    <w:p w:rsidR="00C94178" w:rsidRDefault="000503C8">
      <w:r>
        <w:t xml:space="preserve">The NTG ratios used by the utilities in their workpapers are </w:t>
      </w:r>
      <w:r w:rsidR="00894221">
        <w:t>not correct</w:t>
      </w:r>
      <w:r>
        <w:t xml:space="preserve">. The Energy Division staff recommends using for commercial pool covers a NTG ratio of 0.6. This value corresponds to the default NTG ratio for all commercial technologies existing for more than 2 years in the READI database as shown in </w:t>
      </w:r>
      <w:r>
        <w:fldChar w:fldCharType="begin"/>
      </w:r>
      <w:r>
        <w:instrText xml:space="preserve"> REF _Ref349907494 \h </w:instrText>
      </w:r>
      <w:r>
        <w:fldChar w:fldCharType="separate"/>
      </w:r>
      <w:r>
        <w:t xml:space="preserve">Table </w:t>
      </w:r>
      <w:r>
        <w:rPr>
          <w:noProof/>
        </w:rPr>
        <w:t>2</w:t>
      </w:r>
      <w:r>
        <w:fldChar w:fldCharType="end"/>
      </w:r>
      <w:r>
        <w:t>.</w:t>
      </w:r>
    </w:p>
    <w:p w:rsidR="000503C8" w:rsidRDefault="000503C8" w:rsidP="000503C8">
      <w:pPr>
        <w:pStyle w:val="Caption"/>
        <w:keepNext/>
      </w:pPr>
      <w:bookmarkStart w:id="4" w:name="_Ref349907494"/>
      <w:r>
        <w:t xml:space="preserve">Table </w:t>
      </w:r>
      <w:r w:rsidR="00D9301D">
        <w:fldChar w:fldCharType="begin"/>
      </w:r>
      <w:r w:rsidR="00D9301D">
        <w:instrText xml:space="preserve"> SEQ Table \* ARABIC </w:instrText>
      </w:r>
      <w:r w:rsidR="00D9301D">
        <w:fldChar w:fldCharType="separate"/>
      </w:r>
      <w:r w:rsidR="0084107E">
        <w:rPr>
          <w:noProof/>
        </w:rPr>
        <w:t>3</w:t>
      </w:r>
      <w:r w:rsidR="00D9301D">
        <w:rPr>
          <w:noProof/>
        </w:rPr>
        <w:fldChar w:fldCharType="end"/>
      </w:r>
      <w:bookmarkEnd w:id="4"/>
      <w:r>
        <w:t xml:space="preserve"> - NTG Ratios from READI database</w:t>
      </w:r>
    </w:p>
    <w:tbl>
      <w:tblPr>
        <w:tblStyle w:val="LightShading1"/>
        <w:tblW w:w="9648" w:type="dxa"/>
        <w:jc w:val="center"/>
        <w:tblLayout w:type="fixed"/>
        <w:tblLook w:val="04A0" w:firstRow="1" w:lastRow="0" w:firstColumn="1" w:lastColumn="0" w:noHBand="0" w:noVBand="1"/>
      </w:tblPr>
      <w:tblGrid>
        <w:gridCol w:w="1943"/>
        <w:gridCol w:w="6985"/>
        <w:gridCol w:w="720"/>
      </w:tblGrid>
      <w:tr w:rsidR="000503C8" w:rsidTr="000503C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43" w:type="dxa"/>
          </w:tcPr>
          <w:p w:rsidR="000503C8" w:rsidRDefault="000503C8" w:rsidP="000503C8">
            <w:r>
              <w:t>NTG ID</w:t>
            </w:r>
          </w:p>
        </w:tc>
        <w:tc>
          <w:tcPr>
            <w:tcW w:w="6985" w:type="dxa"/>
          </w:tcPr>
          <w:p w:rsidR="000503C8" w:rsidRDefault="000503C8" w:rsidP="000503C8">
            <w:pPr>
              <w:cnfStyle w:val="100000000000" w:firstRow="1" w:lastRow="0" w:firstColumn="0" w:lastColumn="0" w:oddVBand="0" w:evenVBand="0" w:oddHBand="0" w:evenHBand="0" w:firstRowFirstColumn="0" w:firstRowLastColumn="0" w:lastRowFirstColumn="0" w:lastRowLastColumn="0"/>
            </w:pPr>
            <w:r>
              <w:t>NTG Measure Type</w:t>
            </w:r>
          </w:p>
        </w:tc>
        <w:tc>
          <w:tcPr>
            <w:tcW w:w="720" w:type="dxa"/>
          </w:tcPr>
          <w:p w:rsidR="000503C8" w:rsidRDefault="000503C8" w:rsidP="000503C8">
            <w:pPr>
              <w:cnfStyle w:val="100000000000" w:firstRow="1" w:lastRow="0" w:firstColumn="0" w:lastColumn="0" w:oddVBand="0" w:evenVBand="0" w:oddHBand="0" w:evenHBand="0" w:firstRowFirstColumn="0" w:firstRowLastColumn="0" w:lastRowFirstColumn="0" w:lastRowLastColumn="0"/>
            </w:pPr>
            <w:r>
              <w:t>NTG</w:t>
            </w:r>
          </w:p>
        </w:tc>
      </w:tr>
      <w:tr w:rsidR="000503C8" w:rsidTr="000503C8">
        <w:trPr>
          <w:cnfStyle w:val="000000100000" w:firstRow="0" w:lastRow="0" w:firstColumn="0" w:lastColumn="0" w:oddVBand="0" w:evenVBand="0" w:oddHBand="1" w:evenHBand="0" w:firstRowFirstColumn="0" w:firstRowLastColumn="0" w:lastRowFirstColumn="0" w:lastRowLastColumn="0"/>
          <w:trHeight w:val="629"/>
          <w:jc w:val="center"/>
        </w:trPr>
        <w:tc>
          <w:tcPr>
            <w:cnfStyle w:val="001000000000" w:firstRow="0" w:lastRow="0" w:firstColumn="1" w:lastColumn="0" w:oddVBand="0" w:evenVBand="0" w:oddHBand="0" w:evenHBand="0" w:firstRowFirstColumn="0" w:firstRowLastColumn="0" w:lastRowFirstColumn="0" w:lastRowLastColumn="0"/>
            <w:tcW w:w="1943" w:type="dxa"/>
          </w:tcPr>
          <w:p w:rsidR="000503C8" w:rsidRDefault="000503C8" w:rsidP="000503C8">
            <w:r w:rsidRPr="000503C8">
              <w:t>Com-Default&gt;2yrs</w:t>
            </w:r>
          </w:p>
        </w:tc>
        <w:tc>
          <w:tcPr>
            <w:tcW w:w="6985" w:type="dxa"/>
          </w:tcPr>
          <w:p w:rsidR="000503C8" w:rsidRDefault="000503C8" w:rsidP="000503C8">
            <w:pPr>
              <w:cnfStyle w:val="000000100000" w:firstRow="0" w:lastRow="0" w:firstColumn="0" w:lastColumn="0" w:oddVBand="0" w:evenVBand="0" w:oddHBand="1" w:evenHBand="0" w:firstRowFirstColumn="0" w:firstRowLastColumn="0" w:lastRowFirstColumn="0" w:lastRowLastColumn="0"/>
            </w:pPr>
            <w:r w:rsidRPr="000503C8">
              <w:t>All other EEMs with no evaluated NTGR; existing EEM in programs with same delivery mechanism for more than 2 years</w:t>
            </w:r>
          </w:p>
        </w:tc>
        <w:tc>
          <w:tcPr>
            <w:tcW w:w="720" w:type="dxa"/>
          </w:tcPr>
          <w:p w:rsidR="000503C8" w:rsidRDefault="000503C8" w:rsidP="000503C8">
            <w:pPr>
              <w:jc w:val="center"/>
              <w:cnfStyle w:val="000000100000" w:firstRow="0" w:lastRow="0" w:firstColumn="0" w:lastColumn="0" w:oddVBand="0" w:evenVBand="0" w:oddHBand="1" w:evenHBand="0" w:firstRowFirstColumn="0" w:firstRowLastColumn="0" w:lastRowFirstColumn="0" w:lastRowLastColumn="0"/>
            </w:pPr>
            <w:r>
              <w:t>0.6</w:t>
            </w:r>
          </w:p>
          <w:p w:rsidR="000503C8" w:rsidRDefault="000503C8" w:rsidP="000503C8">
            <w:pPr>
              <w:cnfStyle w:val="000000100000" w:firstRow="0" w:lastRow="0" w:firstColumn="0" w:lastColumn="0" w:oddVBand="0" w:evenVBand="0" w:oddHBand="1" w:evenHBand="0" w:firstRowFirstColumn="0" w:firstRowLastColumn="0" w:lastRowFirstColumn="0" w:lastRowLastColumn="0"/>
            </w:pPr>
          </w:p>
        </w:tc>
      </w:tr>
    </w:tbl>
    <w:p w:rsidR="009926F4" w:rsidRDefault="009926F4" w:rsidP="009926F4">
      <w:pPr>
        <w:pStyle w:val="ListParagraph"/>
        <w:ind w:left="0"/>
        <w:rPr>
          <w:b/>
        </w:rPr>
      </w:pPr>
    </w:p>
    <w:p w:rsidR="003B5573" w:rsidRDefault="003B5573" w:rsidP="00067EC2">
      <w:pPr>
        <w:rPr>
          <w:b/>
          <w:u w:val="single"/>
        </w:rPr>
      </w:pPr>
      <w:r w:rsidRPr="00067EC2">
        <w:rPr>
          <w:b/>
          <w:u w:val="single"/>
        </w:rPr>
        <w:t>Reference</w:t>
      </w:r>
      <w:r w:rsidR="001D0C47">
        <w:rPr>
          <w:b/>
          <w:u w:val="single"/>
        </w:rPr>
        <w:t>(s):</w:t>
      </w:r>
    </w:p>
    <w:p w:rsidR="00170D1B" w:rsidRDefault="00170D1B" w:rsidP="00170D1B">
      <w:pPr>
        <w:pStyle w:val="Caption"/>
        <w:keepNext/>
      </w:pPr>
      <w:bookmarkStart w:id="5" w:name="_Ref349908834"/>
      <w:r>
        <w:t>Pool Installation Rate Analysis</w:t>
      </w:r>
      <w:bookmarkEnd w:id="5"/>
    </w:p>
    <w:p w:rsidR="00172149" w:rsidRDefault="002B3980" w:rsidP="00067EC2">
      <w:r w:rsidRPr="002B3980">
        <w:object w:dxaOrig="1551"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5pt;height:49.45pt" o:ole="">
            <v:imagedata r:id="rId10" o:title=""/>
          </v:shape>
          <o:OLEObject Type="Embed" ProgID="Excel.Sheet.12" ShapeID="_x0000_i1025" DrawAspect="Icon" ObjectID="_1423807696" r:id="rId11"/>
        </w:object>
      </w:r>
    </w:p>
    <w:p w:rsidR="0084107E" w:rsidRDefault="0084107E" w:rsidP="00067EC2"/>
    <w:p w:rsidR="0084107E" w:rsidRDefault="0084107E" w:rsidP="0084107E">
      <w:pPr>
        <w:pStyle w:val="Caption"/>
        <w:keepNext/>
      </w:pPr>
      <w:r>
        <w:t>Pool Cover Payback Analysis</w:t>
      </w:r>
    </w:p>
    <w:p w:rsidR="0084107E" w:rsidRPr="0084107E" w:rsidRDefault="0084107E" w:rsidP="00067EC2">
      <w:r w:rsidRPr="0084107E">
        <w:object w:dxaOrig="1513" w:dyaOrig="960">
          <v:shape id="_x0000_i1026" type="#_x0000_t75" style="width:75.75pt;height:48.2pt" o:ole="">
            <v:imagedata r:id="rId12" o:title=""/>
          </v:shape>
          <o:OLEObject Type="Embed" ProgID="Excel.Sheet.12" ShapeID="_x0000_i1026" DrawAspect="Icon" ObjectID="_1423807697" r:id="rId13"/>
        </w:object>
      </w:r>
    </w:p>
    <w:sectPr w:rsidR="0084107E" w:rsidRPr="0084107E" w:rsidSect="00FE1DFD">
      <w:headerReference w:type="default" r:id="rId14"/>
      <w:footerReference w:type="default" r:id="rId15"/>
      <w:pgSz w:w="12240" w:h="15840"/>
      <w:pgMar w:top="1440" w:right="1440" w:bottom="1440" w:left="1440"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01D" w:rsidRDefault="00D9301D" w:rsidP="0025457E">
      <w:pPr>
        <w:spacing w:after="0" w:line="240" w:lineRule="auto"/>
      </w:pPr>
      <w:r>
        <w:separator/>
      </w:r>
    </w:p>
  </w:endnote>
  <w:endnote w:type="continuationSeparator" w:id="0">
    <w:p w:rsidR="00D9301D" w:rsidRDefault="00D9301D" w:rsidP="0025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53143"/>
      <w:docPartObj>
        <w:docPartGallery w:val="Page Numbers (Top of Page)"/>
        <w:docPartUnique/>
      </w:docPartObj>
    </w:sdtPr>
    <w:sdtEndPr/>
    <w:sdtContent>
      <w:p w:rsidR="00BD47E4" w:rsidRPr="00721A99" w:rsidRDefault="00BD47E4" w:rsidP="0025457E">
        <w:pPr>
          <w:pStyle w:val="Header"/>
          <w:jc w:val="center"/>
        </w:pPr>
        <w:r>
          <w:t>Page</w:t>
        </w:r>
        <w:r w:rsidRPr="0025457E">
          <w:t xml:space="preserve"> </w:t>
        </w:r>
        <w:r w:rsidR="00D9301D">
          <w:fldChar w:fldCharType="begin"/>
        </w:r>
        <w:r w:rsidR="00D9301D">
          <w:instrText xml:space="preserve"> PAGE </w:instrText>
        </w:r>
        <w:r w:rsidR="00D9301D">
          <w:fldChar w:fldCharType="separate"/>
        </w:r>
        <w:r w:rsidR="0084107E">
          <w:rPr>
            <w:noProof/>
          </w:rPr>
          <w:t>2</w:t>
        </w:r>
        <w:r w:rsidR="00D9301D">
          <w:rPr>
            <w:noProof/>
          </w:rPr>
          <w:fldChar w:fldCharType="end"/>
        </w:r>
        <w:r w:rsidRPr="0025457E">
          <w:t xml:space="preserve"> of </w:t>
        </w:r>
        <w:r w:rsidR="00D9301D">
          <w:fldChar w:fldCharType="begin"/>
        </w:r>
        <w:r w:rsidR="00D9301D">
          <w:instrText xml:space="preserve"> NUMPAGES  </w:instrText>
        </w:r>
        <w:r w:rsidR="00D9301D">
          <w:fldChar w:fldCharType="separate"/>
        </w:r>
        <w:r w:rsidR="0084107E">
          <w:rPr>
            <w:noProof/>
          </w:rPr>
          <w:t>3</w:t>
        </w:r>
        <w:r w:rsidR="00D9301D">
          <w:rPr>
            <w:noProof/>
          </w:rPr>
          <w:fldChar w:fldCharType="end"/>
        </w:r>
      </w:p>
    </w:sdtContent>
  </w:sdt>
  <w:p w:rsidR="00BD47E4" w:rsidRDefault="00BD47E4">
    <w:pPr>
      <w:pStyle w:val="Footer"/>
    </w:pPr>
  </w:p>
  <w:p w:rsidR="00BD47E4" w:rsidRDefault="00BD47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01D" w:rsidRDefault="00D9301D" w:rsidP="0025457E">
      <w:pPr>
        <w:spacing w:after="0" w:line="240" w:lineRule="auto"/>
      </w:pPr>
      <w:r>
        <w:separator/>
      </w:r>
    </w:p>
  </w:footnote>
  <w:footnote w:type="continuationSeparator" w:id="0">
    <w:p w:rsidR="00D9301D" w:rsidRDefault="00D9301D" w:rsidP="002545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7E4" w:rsidRPr="007B4BBF" w:rsidRDefault="00BD47E4" w:rsidP="0025457E">
    <w:pPr>
      <w:pStyle w:val="Header"/>
      <w:rPr>
        <w:sz w:val="18"/>
        <w:szCs w:val="18"/>
      </w:rPr>
    </w:pPr>
    <w:r w:rsidRPr="007B4BBF">
      <w:rPr>
        <w:sz w:val="18"/>
        <w:szCs w:val="18"/>
      </w:rPr>
      <w:t xml:space="preserve">WORKPAPER DISPOSITION FOR </w:t>
    </w:r>
    <w:r w:rsidR="00C94178">
      <w:rPr>
        <w:sz w:val="18"/>
        <w:szCs w:val="18"/>
      </w:rPr>
      <w:t>COMMERCILA POOL COVERS</w:t>
    </w:r>
  </w:p>
  <w:p w:rsidR="00BD47E4" w:rsidRDefault="00BD47E4" w:rsidP="0025457E">
    <w:pPr>
      <w:pStyle w:val="Header"/>
      <w:rPr>
        <w:sz w:val="18"/>
        <w:szCs w:val="18"/>
      </w:rPr>
    </w:pPr>
    <w:r w:rsidRPr="007B4BBF">
      <w:rPr>
        <w:sz w:val="18"/>
        <w:szCs w:val="18"/>
      </w:rPr>
      <w:t>California Public Utilities Commission, Energy Division</w:t>
    </w:r>
  </w:p>
  <w:p w:rsidR="00C94178" w:rsidRDefault="00C94178">
    <w:pPr>
      <w:pStyle w:val="Header"/>
      <w:rPr>
        <w:sz w:val="18"/>
        <w:szCs w:val="18"/>
      </w:rPr>
    </w:pPr>
    <w:r>
      <w:rPr>
        <w:sz w:val="18"/>
        <w:szCs w:val="18"/>
      </w:rPr>
      <w:t>March 1, 2013</w:t>
    </w:r>
  </w:p>
  <w:p w:rsidR="00BD47E4" w:rsidRDefault="00BD47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5588"/>
    <w:multiLevelType w:val="hybridMultilevel"/>
    <w:tmpl w:val="33604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8207D"/>
    <w:multiLevelType w:val="hybridMultilevel"/>
    <w:tmpl w:val="7A767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B47F1"/>
    <w:multiLevelType w:val="hybridMultilevel"/>
    <w:tmpl w:val="7868A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8194A"/>
    <w:multiLevelType w:val="hybridMultilevel"/>
    <w:tmpl w:val="BCFEF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9B4C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1570578"/>
    <w:multiLevelType w:val="hybridMultilevel"/>
    <w:tmpl w:val="D51661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5B0C71"/>
    <w:multiLevelType w:val="hybridMultilevel"/>
    <w:tmpl w:val="E396B6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2C58AD"/>
    <w:multiLevelType w:val="hybridMultilevel"/>
    <w:tmpl w:val="94BA2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6B3205"/>
    <w:multiLevelType w:val="hybridMultilevel"/>
    <w:tmpl w:val="42B6C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D05411"/>
    <w:multiLevelType w:val="hybridMultilevel"/>
    <w:tmpl w:val="975AE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4436F9"/>
    <w:multiLevelType w:val="hybridMultilevel"/>
    <w:tmpl w:val="E8AA6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6AF6968"/>
    <w:multiLevelType w:val="hybridMultilevel"/>
    <w:tmpl w:val="ACFCD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FD584F"/>
    <w:multiLevelType w:val="hybridMultilevel"/>
    <w:tmpl w:val="15A83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5"/>
  </w:num>
  <w:num w:numId="5">
    <w:abstractNumId w:val="10"/>
  </w:num>
  <w:num w:numId="6">
    <w:abstractNumId w:val="3"/>
  </w:num>
  <w:num w:numId="7">
    <w:abstractNumId w:val="12"/>
  </w:num>
  <w:num w:numId="8">
    <w:abstractNumId w:val="2"/>
  </w:num>
  <w:num w:numId="9">
    <w:abstractNumId w:val="9"/>
  </w:num>
  <w:num w:numId="10">
    <w:abstractNumId w:val="11"/>
  </w:num>
  <w:num w:numId="11">
    <w:abstractNumId w:val="1"/>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019"/>
    <w:rsid w:val="000252A1"/>
    <w:rsid w:val="000503C8"/>
    <w:rsid w:val="00063103"/>
    <w:rsid w:val="00065F55"/>
    <w:rsid w:val="00067EC2"/>
    <w:rsid w:val="00071DF4"/>
    <w:rsid w:val="00081C45"/>
    <w:rsid w:val="000B7532"/>
    <w:rsid w:val="000B7C7E"/>
    <w:rsid w:val="000C3508"/>
    <w:rsid w:val="00117089"/>
    <w:rsid w:val="001414AC"/>
    <w:rsid w:val="001645AD"/>
    <w:rsid w:val="00170D1B"/>
    <w:rsid w:val="00170E4D"/>
    <w:rsid w:val="00172149"/>
    <w:rsid w:val="001803F1"/>
    <w:rsid w:val="001C5693"/>
    <w:rsid w:val="001D0C47"/>
    <w:rsid w:val="001D469D"/>
    <w:rsid w:val="001E7828"/>
    <w:rsid w:val="002156AD"/>
    <w:rsid w:val="00223828"/>
    <w:rsid w:val="00234064"/>
    <w:rsid w:val="0025457E"/>
    <w:rsid w:val="00274F32"/>
    <w:rsid w:val="00275AEF"/>
    <w:rsid w:val="002B3980"/>
    <w:rsid w:val="002D0E7D"/>
    <w:rsid w:val="002E6DBE"/>
    <w:rsid w:val="002F7B93"/>
    <w:rsid w:val="003221C5"/>
    <w:rsid w:val="00325F38"/>
    <w:rsid w:val="00327EBF"/>
    <w:rsid w:val="00331616"/>
    <w:rsid w:val="003452F0"/>
    <w:rsid w:val="00350F59"/>
    <w:rsid w:val="00353686"/>
    <w:rsid w:val="00362F28"/>
    <w:rsid w:val="00366E10"/>
    <w:rsid w:val="00376349"/>
    <w:rsid w:val="003A04EE"/>
    <w:rsid w:val="003B5573"/>
    <w:rsid w:val="003B7AD9"/>
    <w:rsid w:val="003C79A4"/>
    <w:rsid w:val="003E086C"/>
    <w:rsid w:val="003F18A5"/>
    <w:rsid w:val="003F34F0"/>
    <w:rsid w:val="00405FD0"/>
    <w:rsid w:val="00416BB9"/>
    <w:rsid w:val="0041734A"/>
    <w:rsid w:val="00441071"/>
    <w:rsid w:val="004A37BB"/>
    <w:rsid w:val="004A7CAA"/>
    <w:rsid w:val="004C2315"/>
    <w:rsid w:val="004D7A34"/>
    <w:rsid w:val="00510566"/>
    <w:rsid w:val="00520702"/>
    <w:rsid w:val="005478D6"/>
    <w:rsid w:val="005650DD"/>
    <w:rsid w:val="00575351"/>
    <w:rsid w:val="005A04A5"/>
    <w:rsid w:val="005A330C"/>
    <w:rsid w:val="005B5AB5"/>
    <w:rsid w:val="005B6E1F"/>
    <w:rsid w:val="005C4F21"/>
    <w:rsid w:val="005D4B8F"/>
    <w:rsid w:val="005E3AC7"/>
    <w:rsid w:val="006420CB"/>
    <w:rsid w:val="00656A56"/>
    <w:rsid w:val="006A3158"/>
    <w:rsid w:val="006D0161"/>
    <w:rsid w:val="006D25BE"/>
    <w:rsid w:val="006E5E1D"/>
    <w:rsid w:val="006E79ED"/>
    <w:rsid w:val="006F1DF7"/>
    <w:rsid w:val="00700788"/>
    <w:rsid w:val="00711EBC"/>
    <w:rsid w:val="007164C6"/>
    <w:rsid w:val="00721A99"/>
    <w:rsid w:val="00755C3E"/>
    <w:rsid w:val="00755F94"/>
    <w:rsid w:val="00761DFD"/>
    <w:rsid w:val="00772A59"/>
    <w:rsid w:val="00776CB2"/>
    <w:rsid w:val="00777DA1"/>
    <w:rsid w:val="0078683F"/>
    <w:rsid w:val="00794019"/>
    <w:rsid w:val="00796487"/>
    <w:rsid w:val="007C6070"/>
    <w:rsid w:val="007E3478"/>
    <w:rsid w:val="007E73B5"/>
    <w:rsid w:val="007E7CD1"/>
    <w:rsid w:val="008033A9"/>
    <w:rsid w:val="00805835"/>
    <w:rsid w:val="008201EC"/>
    <w:rsid w:val="00824EE8"/>
    <w:rsid w:val="00827882"/>
    <w:rsid w:val="0084107E"/>
    <w:rsid w:val="00872A4A"/>
    <w:rsid w:val="00894221"/>
    <w:rsid w:val="00896DB4"/>
    <w:rsid w:val="008C6920"/>
    <w:rsid w:val="008D2B20"/>
    <w:rsid w:val="008E6FBA"/>
    <w:rsid w:val="008E7E08"/>
    <w:rsid w:val="00917A46"/>
    <w:rsid w:val="009434A5"/>
    <w:rsid w:val="00950D47"/>
    <w:rsid w:val="0096429F"/>
    <w:rsid w:val="00973488"/>
    <w:rsid w:val="009926F4"/>
    <w:rsid w:val="009929D3"/>
    <w:rsid w:val="009C109D"/>
    <w:rsid w:val="009C141F"/>
    <w:rsid w:val="009C1E63"/>
    <w:rsid w:val="00A106D2"/>
    <w:rsid w:val="00A31534"/>
    <w:rsid w:val="00A43172"/>
    <w:rsid w:val="00A54C9F"/>
    <w:rsid w:val="00A921C7"/>
    <w:rsid w:val="00B14858"/>
    <w:rsid w:val="00B512B1"/>
    <w:rsid w:val="00B54BF7"/>
    <w:rsid w:val="00B62C38"/>
    <w:rsid w:val="00B95D4D"/>
    <w:rsid w:val="00BB2FCA"/>
    <w:rsid w:val="00BB325F"/>
    <w:rsid w:val="00BB6B2D"/>
    <w:rsid w:val="00BD47E4"/>
    <w:rsid w:val="00BE4ABD"/>
    <w:rsid w:val="00BE644F"/>
    <w:rsid w:val="00C70A1D"/>
    <w:rsid w:val="00C93B14"/>
    <w:rsid w:val="00C94178"/>
    <w:rsid w:val="00C946B4"/>
    <w:rsid w:val="00CA067B"/>
    <w:rsid w:val="00CA69E5"/>
    <w:rsid w:val="00CB553D"/>
    <w:rsid w:val="00CD744A"/>
    <w:rsid w:val="00CF55AA"/>
    <w:rsid w:val="00D11B82"/>
    <w:rsid w:val="00D12534"/>
    <w:rsid w:val="00D4624D"/>
    <w:rsid w:val="00D82901"/>
    <w:rsid w:val="00D9301D"/>
    <w:rsid w:val="00DB4B22"/>
    <w:rsid w:val="00DC081F"/>
    <w:rsid w:val="00DD2871"/>
    <w:rsid w:val="00E10613"/>
    <w:rsid w:val="00E262CC"/>
    <w:rsid w:val="00E34117"/>
    <w:rsid w:val="00E37872"/>
    <w:rsid w:val="00E82489"/>
    <w:rsid w:val="00E85652"/>
    <w:rsid w:val="00EF4122"/>
    <w:rsid w:val="00F037FC"/>
    <w:rsid w:val="00F20BA4"/>
    <w:rsid w:val="00F2143C"/>
    <w:rsid w:val="00F52C82"/>
    <w:rsid w:val="00F7747B"/>
    <w:rsid w:val="00FC1D97"/>
    <w:rsid w:val="00FE1DFD"/>
    <w:rsid w:val="00FE3DA2"/>
    <w:rsid w:val="00FF1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019"/>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794019"/>
    <w:pPr>
      <w:spacing w:line="240" w:lineRule="auto"/>
    </w:pPr>
    <w:rPr>
      <w:b/>
      <w:bCs/>
      <w:color w:val="4F81BD"/>
      <w:sz w:val="18"/>
      <w:szCs w:val="18"/>
    </w:rPr>
  </w:style>
  <w:style w:type="paragraph" w:styleId="Header">
    <w:name w:val="header"/>
    <w:basedOn w:val="Normal"/>
    <w:link w:val="HeaderChar"/>
    <w:uiPriority w:val="99"/>
    <w:unhideWhenUsed/>
    <w:rsid w:val="00254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57E"/>
    <w:rPr>
      <w:rFonts w:ascii="Calibri" w:eastAsia="Times New Roman" w:hAnsi="Calibri" w:cs="Times New Roman"/>
    </w:rPr>
  </w:style>
  <w:style w:type="paragraph" w:styleId="Footer">
    <w:name w:val="footer"/>
    <w:basedOn w:val="Normal"/>
    <w:link w:val="FooterChar"/>
    <w:uiPriority w:val="99"/>
    <w:unhideWhenUsed/>
    <w:rsid w:val="00254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57E"/>
    <w:rPr>
      <w:rFonts w:ascii="Calibri" w:eastAsia="Times New Roman" w:hAnsi="Calibri" w:cs="Times New Roman"/>
    </w:rPr>
  </w:style>
  <w:style w:type="paragraph" w:styleId="BalloonText">
    <w:name w:val="Balloon Text"/>
    <w:basedOn w:val="Normal"/>
    <w:link w:val="BalloonTextChar"/>
    <w:uiPriority w:val="99"/>
    <w:semiHidden/>
    <w:unhideWhenUsed/>
    <w:rsid w:val="00254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57E"/>
    <w:rPr>
      <w:rFonts w:ascii="Tahoma" w:eastAsia="Times New Roman" w:hAnsi="Tahoma" w:cs="Tahoma"/>
      <w:sz w:val="16"/>
      <w:szCs w:val="16"/>
    </w:rPr>
  </w:style>
  <w:style w:type="paragraph" w:styleId="ListParagraph">
    <w:name w:val="List Paragraph"/>
    <w:basedOn w:val="Normal"/>
    <w:uiPriority w:val="34"/>
    <w:qFormat/>
    <w:rsid w:val="002156AD"/>
    <w:pPr>
      <w:ind w:left="720"/>
      <w:contextualSpacing/>
    </w:pPr>
  </w:style>
  <w:style w:type="paragraph" w:styleId="FootnoteText">
    <w:name w:val="footnote text"/>
    <w:basedOn w:val="Normal"/>
    <w:link w:val="FootnoteTextChar"/>
    <w:uiPriority w:val="99"/>
    <w:semiHidden/>
    <w:unhideWhenUsed/>
    <w:rsid w:val="007964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6487"/>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796487"/>
    <w:rPr>
      <w:vertAlign w:val="superscript"/>
    </w:rPr>
  </w:style>
  <w:style w:type="paragraph" w:styleId="EndnoteText">
    <w:name w:val="endnote text"/>
    <w:basedOn w:val="Normal"/>
    <w:link w:val="EndnoteTextChar"/>
    <w:uiPriority w:val="99"/>
    <w:semiHidden/>
    <w:unhideWhenUsed/>
    <w:rsid w:val="00E8248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2489"/>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E82489"/>
    <w:rPr>
      <w:vertAlign w:val="superscript"/>
    </w:rPr>
  </w:style>
  <w:style w:type="character" w:styleId="Hyperlink">
    <w:name w:val="Hyperlink"/>
    <w:basedOn w:val="DefaultParagraphFont"/>
    <w:uiPriority w:val="99"/>
    <w:unhideWhenUsed/>
    <w:rsid w:val="001D0C47"/>
    <w:rPr>
      <w:color w:val="0000FF" w:themeColor="hyperlink"/>
      <w:u w:val="single"/>
    </w:rPr>
  </w:style>
  <w:style w:type="paragraph" w:styleId="NoSpacing">
    <w:name w:val="No Spacing"/>
    <w:uiPriority w:val="1"/>
    <w:qFormat/>
    <w:rsid w:val="00F7747B"/>
    <w:pPr>
      <w:spacing w:after="0" w:line="240" w:lineRule="auto"/>
    </w:pPr>
    <w:rPr>
      <w:rFonts w:ascii="Calibri" w:eastAsia="Times New Roman" w:hAnsi="Calibri" w:cs="Times New Roman"/>
    </w:rPr>
  </w:style>
  <w:style w:type="table" w:styleId="TableGrid">
    <w:name w:val="Table Grid"/>
    <w:basedOn w:val="TableNormal"/>
    <w:uiPriority w:val="59"/>
    <w:rsid w:val="007E7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57535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8E6FB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0600">
      <w:bodyDiv w:val="1"/>
      <w:marLeft w:val="0"/>
      <w:marRight w:val="0"/>
      <w:marTop w:val="0"/>
      <w:marBottom w:val="0"/>
      <w:divBdr>
        <w:top w:val="none" w:sz="0" w:space="0" w:color="auto"/>
        <w:left w:val="none" w:sz="0" w:space="0" w:color="auto"/>
        <w:bottom w:val="none" w:sz="0" w:space="0" w:color="auto"/>
        <w:right w:val="none" w:sz="0" w:space="0" w:color="auto"/>
      </w:divBdr>
    </w:div>
    <w:div w:id="99224206">
      <w:bodyDiv w:val="1"/>
      <w:marLeft w:val="0"/>
      <w:marRight w:val="0"/>
      <w:marTop w:val="0"/>
      <w:marBottom w:val="0"/>
      <w:divBdr>
        <w:top w:val="none" w:sz="0" w:space="0" w:color="auto"/>
        <w:left w:val="none" w:sz="0" w:space="0" w:color="auto"/>
        <w:bottom w:val="none" w:sz="0" w:space="0" w:color="auto"/>
        <w:right w:val="none" w:sz="0" w:space="0" w:color="auto"/>
      </w:divBdr>
    </w:div>
    <w:div w:id="112947143">
      <w:bodyDiv w:val="1"/>
      <w:marLeft w:val="0"/>
      <w:marRight w:val="0"/>
      <w:marTop w:val="0"/>
      <w:marBottom w:val="0"/>
      <w:divBdr>
        <w:top w:val="none" w:sz="0" w:space="0" w:color="auto"/>
        <w:left w:val="none" w:sz="0" w:space="0" w:color="auto"/>
        <w:bottom w:val="none" w:sz="0" w:space="0" w:color="auto"/>
        <w:right w:val="none" w:sz="0" w:space="0" w:color="auto"/>
      </w:divBdr>
    </w:div>
    <w:div w:id="119807986">
      <w:bodyDiv w:val="1"/>
      <w:marLeft w:val="0"/>
      <w:marRight w:val="0"/>
      <w:marTop w:val="0"/>
      <w:marBottom w:val="0"/>
      <w:divBdr>
        <w:top w:val="none" w:sz="0" w:space="0" w:color="auto"/>
        <w:left w:val="none" w:sz="0" w:space="0" w:color="auto"/>
        <w:bottom w:val="none" w:sz="0" w:space="0" w:color="auto"/>
        <w:right w:val="none" w:sz="0" w:space="0" w:color="auto"/>
      </w:divBdr>
    </w:div>
    <w:div w:id="137185733">
      <w:bodyDiv w:val="1"/>
      <w:marLeft w:val="0"/>
      <w:marRight w:val="0"/>
      <w:marTop w:val="0"/>
      <w:marBottom w:val="0"/>
      <w:divBdr>
        <w:top w:val="none" w:sz="0" w:space="0" w:color="auto"/>
        <w:left w:val="none" w:sz="0" w:space="0" w:color="auto"/>
        <w:bottom w:val="none" w:sz="0" w:space="0" w:color="auto"/>
        <w:right w:val="none" w:sz="0" w:space="0" w:color="auto"/>
      </w:divBdr>
    </w:div>
    <w:div w:id="203639795">
      <w:bodyDiv w:val="1"/>
      <w:marLeft w:val="0"/>
      <w:marRight w:val="0"/>
      <w:marTop w:val="0"/>
      <w:marBottom w:val="0"/>
      <w:divBdr>
        <w:top w:val="none" w:sz="0" w:space="0" w:color="auto"/>
        <w:left w:val="none" w:sz="0" w:space="0" w:color="auto"/>
        <w:bottom w:val="none" w:sz="0" w:space="0" w:color="auto"/>
        <w:right w:val="none" w:sz="0" w:space="0" w:color="auto"/>
      </w:divBdr>
    </w:div>
    <w:div w:id="208805889">
      <w:bodyDiv w:val="1"/>
      <w:marLeft w:val="0"/>
      <w:marRight w:val="0"/>
      <w:marTop w:val="0"/>
      <w:marBottom w:val="0"/>
      <w:divBdr>
        <w:top w:val="none" w:sz="0" w:space="0" w:color="auto"/>
        <w:left w:val="none" w:sz="0" w:space="0" w:color="auto"/>
        <w:bottom w:val="none" w:sz="0" w:space="0" w:color="auto"/>
        <w:right w:val="none" w:sz="0" w:space="0" w:color="auto"/>
      </w:divBdr>
    </w:div>
    <w:div w:id="209734669">
      <w:bodyDiv w:val="1"/>
      <w:marLeft w:val="0"/>
      <w:marRight w:val="0"/>
      <w:marTop w:val="0"/>
      <w:marBottom w:val="0"/>
      <w:divBdr>
        <w:top w:val="none" w:sz="0" w:space="0" w:color="auto"/>
        <w:left w:val="none" w:sz="0" w:space="0" w:color="auto"/>
        <w:bottom w:val="none" w:sz="0" w:space="0" w:color="auto"/>
        <w:right w:val="none" w:sz="0" w:space="0" w:color="auto"/>
      </w:divBdr>
    </w:div>
    <w:div w:id="229270069">
      <w:bodyDiv w:val="1"/>
      <w:marLeft w:val="0"/>
      <w:marRight w:val="0"/>
      <w:marTop w:val="0"/>
      <w:marBottom w:val="0"/>
      <w:divBdr>
        <w:top w:val="none" w:sz="0" w:space="0" w:color="auto"/>
        <w:left w:val="none" w:sz="0" w:space="0" w:color="auto"/>
        <w:bottom w:val="none" w:sz="0" w:space="0" w:color="auto"/>
        <w:right w:val="none" w:sz="0" w:space="0" w:color="auto"/>
      </w:divBdr>
    </w:div>
    <w:div w:id="232861700">
      <w:bodyDiv w:val="1"/>
      <w:marLeft w:val="0"/>
      <w:marRight w:val="0"/>
      <w:marTop w:val="0"/>
      <w:marBottom w:val="0"/>
      <w:divBdr>
        <w:top w:val="none" w:sz="0" w:space="0" w:color="auto"/>
        <w:left w:val="none" w:sz="0" w:space="0" w:color="auto"/>
        <w:bottom w:val="none" w:sz="0" w:space="0" w:color="auto"/>
        <w:right w:val="none" w:sz="0" w:space="0" w:color="auto"/>
      </w:divBdr>
    </w:div>
    <w:div w:id="234365179">
      <w:bodyDiv w:val="1"/>
      <w:marLeft w:val="0"/>
      <w:marRight w:val="0"/>
      <w:marTop w:val="0"/>
      <w:marBottom w:val="0"/>
      <w:divBdr>
        <w:top w:val="none" w:sz="0" w:space="0" w:color="auto"/>
        <w:left w:val="none" w:sz="0" w:space="0" w:color="auto"/>
        <w:bottom w:val="none" w:sz="0" w:space="0" w:color="auto"/>
        <w:right w:val="none" w:sz="0" w:space="0" w:color="auto"/>
      </w:divBdr>
    </w:div>
    <w:div w:id="322124818">
      <w:bodyDiv w:val="1"/>
      <w:marLeft w:val="0"/>
      <w:marRight w:val="0"/>
      <w:marTop w:val="0"/>
      <w:marBottom w:val="0"/>
      <w:divBdr>
        <w:top w:val="none" w:sz="0" w:space="0" w:color="auto"/>
        <w:left w:val="none" w:sz="0" w:space="0" w:color="auto"/>
        <w:bottom w:val="none" w:sz="0" w:space="0" w:color="auto"/>
        <w:right w:val="none" w:sz="0" w:space="0" w:color="auto"/>
      </w:divBdr>
    </w:div>
    <w:div w:id="346445454">
      <w:bodyDiv w:val="1"/>
      <w:marLeft w:val="0"/>
      <w:marRight w:val="0"/>
      <w:marTop w:val="0"/>
      <w:marBottom w:val="0"/>
      <w:divBdr>
        <w:top w:val="none" w:sz="0" w:space="0" w:color="auto"/>
        <w:left w:val="none" w:sz="0" w:space="0" w:color="auto"/>
        <w:bottom w:val="none" w:sz="0" w:space="0" w:color="auto"/>
        <w:right w:val="none" w:sz="0" w:space="0" w:color="auto"/>
      </w:divBdr>
    </w:div>
    <w:div w:id="349378683">
      <w:bodyDiv w:val="1"/>
      <w:marLeft w:val="0"/>
      <w:marRight w:val="0"/>
      <w:marTop w:val="0"/>
      <w:marBottom w:val="0"/>
      <w:divBdr>
        <w:top w:val="none" w:sz="0" w:space="0" w:color="auto"/>
        <w:left w:val="none" w:sz="0" w:space="0" w:color="auto"/>
        <w:bottom w:val="none" w:sz="0" w:space="0" w:color="auto"/>
        <w:right w:val="none" w:sz="0" w:space="0" w:color="auto"/>
      </w:divBdr>
    </w:div>
    <w:div w:id="357437516">
      <w:bodyDiv w:val="1"/>
      <w:marLeft w:val="0"/>
      <w:marRight w:val="0"/>
      <w:marTop w:val="0"/>
      <w:marBottom w:val="0"/>
      <w:divBdr>
        <w:top w:val="none" w:sz="0" w:space="0" w:color="auto"/>
        <w:left w:val="none" w:sz="0" w:space="0" w:color="auto"/>
        <w:bottom w:val="none" w:sz="0" w:space="0" w:color="auto"/>
        <w:right w:val="none" w:sz="0" w:space="0" w:color="auto"/>
      </w:divBdr>
    </w:div>
    <w:div w:id="398405581">
      <w:bodyDiv w:val="1"/>
      <w:marLeft w:val="0"/>
      <w:marRight w:val="0"/>
      <w:marTop w:val="0"/>
      <w:marBottom w:val="0"/>
      <w:divBdr>
        <w:top w:val="none" w:sz="0" w:space="0" w:color="auto"/>
        <w:left w:val="none" w:sz="0" w:space="0" w:color="auto"/>
        <w:bottom w:val="none" w:sz="0" w:space="0" w:color="auto"/>
        <w:right w:val="none" w:sz="0" w:space="0" w:color="auto"/>
      </w:divBdr>
    </w:div>
    <w:div w:id="487986284">
      <w:bodyDiv w:val="1"/>
      <w:marLeft w:val="0"/>
      <w:marRight w:val="0"/>
      <w:marTop w:val="0"/>
      <w:marBottom w:val="0"/>
      <w:divBdr>
        <w:top w:val="none" w:sz="0" w:space="0" w:color="auto"/>
        <w:left w:val="none" w:sz="0" w:space="0" w:color="auto"/>
        <w:bottom w:val="none" w:sz="0" w:space="0" w:color="auto"/>
        <w:right w:val="none" w:sz="0" w:space="0" w:color="auto"/>
      </w:divBdr>
    </w:div>
    <w:div w:id="494616779">
      <w:bodyDiv w:val="1"/>
      <w:marLeft w:val="0"/>
      <w:marRight w:val="0"/>
      <w:marTop w:val="0"/>
      <w:marBottom w:val="0"/>
      <w:divBdr>
        <w:top w:val="none" w:sz="0" w:space="0" w:color="auto"/>
        <w:left w:val="none" w:sz="0" w:space="0" w:color="auto"/>
        <w:bottom w:val="none" w:sz="0" w:space="0" w:color="auto"/>
        <w:right w:val="none" w:sz="0" w:space="0" w:color="auto"/>
      </w:divBdr>
    </w:div>
    <w:div w:id="537283301">
      <w:bodyDiv w:val="1"/>
      <w:marLeft w:val="0"/>
      <w:marRight w:val="0"/>
      <w:marTop w:val="0"/>
      <w:marBottom w:val="0"/>
      <w:divBdr>
        <w:top w:val="none" w:sz="0" w:space="0" w:color="auto"/>
        <w:left w:val="none" w:sz="0" w:space="0" w:color="auto"/>
        <w:bottom w:val="none" w:sz="0" w:space="0" w:color="auto"/>
        <w:right w:val="none" w:sz="0" w:space="0" w:color="auto"/>
      </w:divBdr>
    </w:div>
    <w:div w:id="550729643">
      <w:bodyDiv w:val="1"/>
      <w:marLeft w:val="0"/>
      <w:marRight w:val="0"/>
      <w:marTop w:val="0"/>
      <w:marBottom w:val="0"/>
      <w:divBdr>
        <w:top w:val="none" w:sz="0" w:space="0" w:color="auto"/>
        <w:left w:val="none" w:sz="0" w:space="0" w:color="auto"/>
        <w:bottom w:val="none" w:sz="0" w:space="0" w:color="auto"/>
        <w:right w:val="none" w:sz="0" w:space="0" w:color="auto"/>
      </w:divBdr>
    </w:div>
    <w:div w:id="612135471">
      <w:bodyDiv w:val="1"/>
      <w:marLeft w:val="0"/>
      <w:marRight w:val="0"/>
      <w:marTop w:val="0"/>
      <w:marBottom w:val="0"/>
      <w:divBdr>
        <w:top w:val="none" w:sz="0" w:space="0" w:color="auto"/>
        <w:left w:val="none" w:sz="0" w:space="0" w:color="auto"/>
        <w:bottom w:val="none" w:sz="0" w:space="0" w:color="auto"/>
        <w:right w:val="none" w:sz="0" w:space="0" w:color="auto"/>
      </w:divBdr>
    </w:div>
    <w:div w:id="652489062">
      <w:bodyDiv w:val="1"/>
      <w:marLeft w:val="0"/>
      <w:marRight w:val="0"/>
      <w:marTop w:val="0"/>
      <w:marBottom w:val="0"/>
      <w:divBdr>
        <w:top w:val="none" w:sz="0" w:space="0" w:color="auto"/>
        <w:left w:val="none" w:sz="0" w:space="0" w:color="auto"/>
        <w:bottom w:val="none" w:sz="0" w:space="0" w:color="auto"/>
        <w:right w:val="none" w:sz="0" w:space="0" w:color="auto"/>
      </w:divBdr>
    </w:div>
    <w:div w:id="653919378">
      <w:bodyDiv w:val="1"/>
      <w:marLeft w:val="0"/>
      <w:marRight w:val="0"/>
      <w:marTop w:val="0"/>
      <w:marBottom w:val="0"/>
      <w:divBdr>
        <w:top w:val="none" w:sz="0" w:space="0" w:color="auto"/>
        <w:left w:val="none" w:sz="0" w:space="0" w:color="auto"/>
        <w:bottom w:val="none" w:sz="0" w:space="0" w:color="auto"/>
        <w:right w:val="none" w:sz="0" w:space="0" w:color="auto"/>
      </w:divBdr>
    </w:div>
    <w:div w:id="735126355">
      <w:bodyDiv w:val="1"/>
      <w:marLeft w:val="0"/>
      <w:marRight w:val="0"/>
      <w:marTop w:val="0"/>
      <w:marBottom w:val="0"/>
      <w:divBdr>
        <w:top w:val="none" w:sz="0" w:space="0" w:color="auto"/>
        <w:left w:val="none" w:sz="0" w:space="0" w:color="auto"/>
        <w:bottom w:val="none" w:sz="0" w:space="0" w:color="auto"/>
        <w:right w:val="none" w:sz="0" w:space="0" w:color="auto"/>
      </w:divBdr>
    </w:div>
    <w:div w:id="750272075">
      <w:bodyDiv w:val="1"/>
      <w:marLeft w:val="0"/>
      <w:marRight w:val="0"/>
      <w:marTop w:val="0"/>
      <w:marBottom w:val="0"/>
      <w:divBdr>
        <w:top w:val="none" w:sz="0" w:space="0" w:color="auto"/>
        <w:left w:val="none" w:sz="0" w:space="0" w:color="auto"/>
        <w:bottom w:val="none" w:sz="0" w:space="0" w:color="auto"/>
        <w:right w:val="none" w:sz="0" w:space="0" w:color="auto"/>
      </w:divBdr>
    </w:div>
    <w:div w:id="840773728">
      <w:bodyDiv w:val="1"/>
      <w:marLeft w:val="0"/>
      <w:marRight w:val="0"/>
      <w:marTop w:val="0"/>
      <w:marBottom w:val="0"/>
      <w:divBdr>
        <w:top w:val="none" w:sz="0" w:space="0" w:color="auto"/>
        <w:left w:val="none" w:sz="0" w:space="0" w:color="auto"/>
        <w:bottom w:val="none" w:sz="0" w:space="0" w:color="auto"/>
        <w:right w:val="none" w:sz="0" w:space="0" w:color="auto"/>
      </w:divBdr>
    </w:div>
    <w:div w:id="891959958">
      <w:bodyDiv w:val="1"/>
      <w:marLeft w:val="0"/>
      <w:marRight w:val="0"/>
      <w:marTop w:val="0"/>
      <w:marBottom w:val="0"/>
      <w:divBdr>
        <w:top w:val="none" w:sz="0" w:space="0" w:color="auto"/>
        <w:left w:val="none" w:sz="0" w:space="0" w:color="auto"/>
        <w:bottom w:val="none" w:sz="0" w:space="0" w:color="auto"/>
        <w:right w:val="none" w:sz="0" w:space="0" w:color="auto"/>
      </w:divBdr>
    </w:div>
    <w:div w:id="1003513602">
      <w:bodyDiv w:val="1"/>
      <w:marLeft w:val="0"/>
      <w:marRight w:val="0"/>
      <w:marTop w:val="0"/>
      <w:marBottom w:val="0"/>
      <w:divBdr>
        <w:top w:val="none" w:sz="0" w:space="0" w:color="auto"/>
        <w:left w:val="none" w:sz="0" w:space="0" w:color="auto"/>
        <w:bottom w:val="none" w:sz="0" w:space="0" w:color="auto"/>
        <w:right w:val="none" w:sz="0" w:space="0" w:color="auto"/>
      </w:divBdr>
    </w:div>
    <w:div w:id="1037125044">
      <w:bodyDiv w:val="1"/>
      <w:marLeft w:val="0"/>
      <w:marRight w:val="0"/>
      <w:marTop w:val="0"/>
      <w:marBottom w:val="0"/>
      <w:divBdr>
        <w:top w:val="none" w:sz="0" w:space="0" w:color="auto"/>
        <w:left w:val="none" w:sz="0" w:space="0" w:color="auto"/>
        <w:bottom w:val="none" w:sz="0" w:space="0" w:color="auto"/>
        <w:right w:val="none" w:sz="0" w:space="0" w:color="auto"/>
      </w:divBdr>
    </w:div>
    <w:div w:id="1122387135">
      <w:bodyDiv w:val="1"/>
      <w:marLeft w:val="0"/>
      <w:marRight w:val="0"/>
      <w:marTop w:val="0"/>
      <w:marBottom w:val="0"/>
      <w:divBdr>
        <w:top w:val="none" w:sz="0" w:space="0" w:color="auto"/>
        <w:left w:val="none" w:sz="0" w:space="0" w:color="auto"/>
        <w:bottom w:val="none" w:sz="0" w:space="0" w:color="auto"/>
        <w:right w:val="none" w:sz="0" w:space="0" w:color="auto"/>
      </w:divBdr>
    </w:div>
    <w:div w:id="1153571674">
      <w:bodyDiv w:val="1"/>
      <w:marLeft w:val="0"/>
      <w:marRight w:val="0"/>
      <w:marTop w:val="0"/>
      <w:marBottom w:val="0"/>
      <w:divBdr>
        <w:top w:val="none" w:sz="0" w:space="0" w:color="auto"/>
        <w:left w:val="none" w:sz="0" w:space="0" w:color="auto"/>
        <w:bottom w:val="none" w:sz="0" w:space="0" w:color="auto"/>
        <w:right w:val="none" w:sz="0" w:space="0" w:color="auto"/>
      </w:divBdr>
    </w:div>
    <w:div w:id="1160805314">
      <w:bodyDiv w:val="1"/>
      <w:marLeft w:val="0"/>
      <w:marRight w:val="0"/>
      <w:marTop w:val="0"/>
      <w:marBottom w:val="0"/>
      <w:divBdr>
        <w:top w:val="none" w:sz="0" w:space="0" w:color="auto"/>
        <w:left w:val="none" w:sz="0" w:space="0" w:color="auto"/>
        <w:bottom w:val="none" w:sz="0" w:space="0" w:color="auto"/>
        <w:right w:val="none" w:sz="0" w:space="0" w:color="auto"/>
      </w:divBdr>
    </w:div>
    <w:div w:id="1196042641">
      <w:bodyDiv w:val="1"/>
      <w:marLeft w:val="0"/>
      <w:marRight w:val="0"/>
      <w:marTop w:val="0"/>
      <w:marBottom w:val="0"/>
      <w:divBdr>
        <w:top w:val="none" w:sz="0" w:space="0" w:color="auto"/>
        <w:left w:val="none" w:sz="0" w:space="0" w:color="auto"/>
        <w:bottom w:val="none" w:sz="0" w:space="0" w:color="auto"/>
        <w:right w:val="none" w:sz="0" w:space="0" w:color="auto"/>
      </w:divBdr>
    </w:div>
    <w:div w:id="1251281203">
      <w:bodyDiv w:val="1"/>
      <w:marLeft w:val="0"/>
      <w:marRight w:val="0"/>
      <w:marTop w:val="0"/>
      <w:marBottom w:val="0"/>
      <w:divBdr>
        <w:top w:val="none" w:sz="0" w:space="0" w:color="auto"/>
        <w:left w:val="none" w:sz="0" w:space="0" w:color="auto"/>
        <w:bottom w:val="none" w:sz="0" w:space="0" w:color="auto"/>
        <w:right w:val="none" w:sz="0" w:space="0" w:color="auto"/>
      </w:divBdr>
    </w:div>
    <w:div w:id="1287078922">
      <w:bodyDiv w:val="1"/>
      <w:marLeft w:val="0"/>
      <w:marRight w:val="0"/>
      <w:marTop w:val="0"/>
      <w:marBottom w:val="0"/>
      <w:divBdr>
        <w:top w:val="none" w:sz="0" w:space="0" w:color="auto"/>
        <w:left w:val="none" w:sz="0" w:space="0" w:color="auto"/>
        <w:bottom w:val="none" w:sz="0" w:space="0" w:color="auto"/>
        <w:right w:val="none" w:sz="0" w:space="0" w:color="auto"/>
      </w:divBdr>
    </w:div>
    <w:div w:id="1321230980">
      <w:bodyDiv w:val="1"/>
      <w:marLeft w:val="0"/>
      <w:marRight w:val="0"/>
      <w:marTop w:val="0"/>
      <w:marBottom w:val="0"/>
      <w:divBdr>
        <w:top w:val="none" w:sz="0" w:space="0" w:color="auto"/>
        <w:left w:val="none" w:sz="0" w:space="0" w:color="auto"/>
        <w:bottom w:val="none" w:sz="0" w:space="0" w:color="auto"/>
        <w:right w:val="none" w:sz="0" w:space="0" w:color="auto"/>
      </w:divBdr>
    </w:div>
    <w:div w:id="1322270713">
      <w:bodyDiv w:val="1"/>
      <w:marLeft w:val="0"/>
      <w:marRight w:val="0"/>
      <w:marTop w:val="0"/>
      <w:marBottom w:val="0"/>
      <w:divBdr>
        <w:top w:val="none" w:sz="0" w:space="0" w:color="auto"/>
        <w:left w:val="none" w:sz="0" w:space="0" w:color="auto"/>
        <w:bottom w:val="none" w:sz="0" w:space="0" w:color="auto"/>
        <w:right w:val="none" w:sz="0" w:space="0" w:color="auto"/>
      </w:divBdr>
    </w:div>
    <w:div w:id="1427383535">
      <w:bodyDiv w:val="1"/>
      <w:marLeft w:val="0"/>
      <w:marRight w:val="0"/>
      <w:marTop w:val="0"/>
      <w:marBottom w:val="0"/>
      <w:divBdr>
        <w:top w:val="none" w:sz="0" w:space="0" w:color="auto"/>
        <w:left w:val="none" w:sz="0" w:space="0" w:color="auto"/>
        <w:bottom w:val="none" w:sz="0" w:space="0" w:color="auto"/>
        <w:right w:val="none" w:sz="0" w:space="0" w:color="auto"/>
      </w:divBdr>
    </w:div>
    <w:div w:id="1509707517">
      <w:bodyDiv w:val="1"/>
      <w:marLeft w:val="0"/>
      <w:marRight w:val="0"/>
      <w:marTop w:val="0"/>
      <w:marBottom w:val="0"/>
      <w:divBdr>
        <w:top w:val="none" w:sz="0" w:space="0" w:color="auto"/>
        <w:left w:val="none" w:sz="0" w:space="0" w:color="auto"/>
        <w:bottom w:val="none" w:sz="0" w:space="0" w:color="auto"/>
        <w:right w:val="none" w:sz="0" w:space="0" w:color="auto"/>
      </w:divBdr>
    </w:div>
    <w:div w:id="1525902439">
      <w:bodyDiv w:val="1"/>
      <w:marLeft w:val="0"/>
      <w:marRight w:val="0"/>
      <w:marTop w:val="0"/>
      <w:marBottom w:val="0"/>
      <w:divBdr>
        <w:top w:val="none" w:sz="0" w:space="0" w:color="auto"/>
        <w:left w:val="none" w:sz="0" w:space="0" w:color="auto"/>
        <w:bottom w:val="none" w:sz="0" w:space="0" w:color="auto"/>
        <w:right w:val="none" w:sz="0" w:space="0" w:color="auto"/>
      </w:divBdr>
    </w:div>
    <w:div w:id="1585796406">
      <w:bodyDiv w:val="1"/>
      <w:marLeft w:val="0"/>
      <w:marRight w:val="0"/>
      <w:marTop w:val="0"/>
      <w:marBottom w:val="0"/>
      <w:divBdr>
        <w:top w:val="none" w:sz="0" w:space="0" w:color="auto"/>
        <w:left w:val="none" w:sz="0" w:space="0" w:color="auto"/>
        <w:bottom w:val="none" w:sz="0" w:space="0" w:color="auto"/>
        <w:right w:val="none" w:sz="0" w:space="0" w:color="auto"/>
      </w:divBdr>
    </w:div>
    <w:div w:id="1626695004">
      <w:bodyDiv w:val="1"/>
      <w:marLeft w:val="0"/>
      <w:marRight w:val="0"/>
      <w:marTop w:val="0"/>
      <w:marBottom w:val="0"/>
      <w:divBdr>
        <w:top w:val="none" w:sz="0" w:space="0" w:color="auto"/>
        <w:left w:val="none" w:sz="0" w:space="0" w:color="auto"/>
        <w:bottom w:val="none" w:sz="0" w:space="0" w:color="auto"/>
        <w:right w:val="none" w:sz="0" w:space="0" w:color="auto"/>
      </w:divBdr>
    </w:div>
    <w:div w:id="1705208427">
      <w:bodyDiv w:val="1"/>
      <w:marLeft w:val="0"/>
      <w:marRight w:val="0"/>
      <w:marTop w:val="0"/>
      <w:marBottom w:val="0"/>
      <w:divBdr>
        <w:top w:val="none" w:sz="0" w:space="0" w:color="auto"/>
        <w:left w:val="none" w:sz="0" w:space="0" w:color="auto"/>
        <w:bottom w:val="none" w:sz="0" w:space="0" w:color="auto"/>
        <w:right w:val="none" w:sz="0" w:space="0" w:color="auto"/>
      </w:divBdr>
    </w:div>
    <w:div w:id="1739748801">
      <w:bodyDiv w:val="1"/>
      <w:marLeft w:val="0"/>
      <w:marRight w:val="0"/>
      <w:marTop w:val="0"/>
      <w:marBottom w:val="0"/>
      <w:divBdr>
        <w:top w:val="none" w:sz="0" w:space="0" w:color="auto"/>
        <w:left w:val="none" w:sz="0" w:space="0" w:color="auto"/>
        <w:bottom w:val="none" w:sz="0" w:space="0" w:color="auto"/>
        <w:right w:val="none" w:sz="0" w:space="0" w:color="auto"/>
      </w:divBdr>
    </w:div>
    <w:div w:id="1874265460">
      <w:bodyDiv w:val="1"/>
      <w:marLeft w:val="0"/>
      <w:marRight w:val="0"/>
      <w:marTop w:val="0"/>
      <w:marBottom w:val="0"/>
      <w:divBdr>
        <w:top w:val="none" w:sz="0" w:space="0" w:color="auto"/>
        <w:left w:val="none" w:sz="0" w:space="0" w:color="auto"/>
        <w:bottom w:val="none" w:sz="0" w:space="0" w:color="auto"/>
        <w:right w:val="none" w:sz="0" w:space="0" w:color="auto"/>
      </w:divBdr>
    </w:div>
    <w:div w:id="1878421865">
      <w:bodyDiv w:val="1"/>
      <w:marLeft w:val="0"/>
      <w:marRight w:val="0"/>
      <w:marTop w:val="0"/>
      <w:marBottom w:val="0"/>
      <w:divBdr>
        <w:top w:val="none" w:sz="0" w:space="0" w:color="auto"/>
        <w:left w:val="none" w:sz="0" w:space="0" w:color="auto"/>
        <w:bottom w:val="none" w:sz="0" w:space="0" w:color="auto"/>
        <w:right w:val="none" w:sz="0" w:space="0" w:color="auto"/>
      </w:divBdr>
    </w:div>
    <w:div w:id="1937979067">
      <w:bodyDiv w:val="1"/>
      <w:marLeft w:val="0"/>
      <w:marRight w:val="0"/>
      <w:marTop w:val="0"/>
      <w:marBottom w:val="0"/>
      <w:divBdr>
        <w:top w:val="none" w:sz="0" w:space="0" w:color="auto"/>
        <w:left w:val="none" w:sz="0" w:space="0" w:color="auto"/>
        <w:bottom w:val="none" w:sz="0" w:space="0" w:color="auto"/>
        <w:right w:val="none" w:sz="0" w:space="0" w:color="auto"/>
      </w:divBdr>
    </w:div>
    <w:div w:id="199984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2.xls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A5475-6288-42F4-A475-1754748F0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Kevin Madison</cp:lastModifiedBy>
  <cp:revision>3</cp:revision>
  <dcterms:created xsi:type="dcterms:W3CDTF">2013-03-03T17:02:00Z</dcterms:created>
  <dcterms:modified xsi:type="dcterms:W3CDTF">2013-03-03T17:21:00Z</dcterms:modified>
</cp:coreProperties>
</file>