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4019" w:rsidRDefault="00794019" w:rsidP="00794019">
      <w:pPr>
        <w:spacing w:after="0" w:line="240" w:lineRule="auto"/>
        <w:rPr>
          <w:b/>
          <w:sz w:val="24"/>
          <w:szCs w:val="24"/>
        </w:rPr>
      </w:pPr>
      <w:bookmarkStart w:id="0" w:name="_top"/>
      <w:bookmarkEnd w:id="0"/>
      <w:r>
        <w:rPr>
          <w:b/>
          <w:sz w:val="24"/>
          <w:szCs w:val="24"/>
        </w:rPr>
        <w:t>WORKPAPER DISPOSITION FOR</w:t>
      </w:r>
    </w:p>
    <w:p w:rsidR="00794019" w:rsidRDefault="00973488" w:rsidP="00794019">
      <w:pPr>
        <w:spacing w:after="0" w:line="240" w:lineRule="auto"/>
        <w:rPr>
          <w:b/>
          <w:sz w:val="24"/>
          <w:szCs w:val="24"/>
        </w:rPr>
      </w:pPr>
      <w:r>
        <w:rPr>
          <w:b/>
          <w:sz w:val="24"/>
          <w:szCs w:val="24"/>
        </w:rPr>
        <w:t xml:space="preserve">Lighting </w:t>
      </w:r>
      <w:r w:rsidR="00D3659A">
        <w:rPr>
          <w:b/>
          <w:sz w:val="24"/>
          <w:szCs w:val="24"/>
        </w:rPr>
        <w:t xml:space="preserve">Occupancy Sensor </w:t>
      </w:r>
      <w:r>
        <w:rPr>
          <w:b/>
          <w:sz w:val="24"/>
          <w:szCs w:val="24"/>
        </w:rPr>
        <w:t>Control</w:t>
      </w:r>
      <w:r w:rsidR="00D3659A">
        <w:rPr>
          <w:b/>
          <w:sz w:val="24"/>
          <w:szCs w:val="24"/>
        </w:rPr>
        <w:t>s</w:t>
      </w:r>
    </w:p>
    <w:p w:rsidR="00794019" w:rsidRDefault="00794019" w:rsidP="00794019">
      <w:pPr>
        <w:spacing w:after="0" w:line="240" w:lineRule="auto"/>
        <w:rPr>
          <w:b/>
          <w:sz w:val="24"/>
          <w:szCs w:val="24"/>
        </w:rPr>
      </w:pPr>
      <w:r>
        <w:rPr>
          <w:b/>
          <w:sz w:val="24"/>
          <w:szCs w:val="24"/>
        </w:rPr>
        <w:t>California Public Utilities Commission, Energy Division</w:t>
      </w:r>
    </w:p>
    <w:p w:rsidR="00CB553D" w:rsidRDefault="0003429C" w:rsidP="00794019">
      <w:pPr>
        <w:rPr>
          <w:sz w:val="24"/>
          <w:szCs w:val="24"/>
        </w:rPr>
      </w:pPr>
      <w:r>
        <w:rPr>
          <w:sz w:val="24"/>
          <w:szCs w:val="24"/>
        </w:rPr>
        <w:t>September 6, 2013</w:t>
      </w:r>
      <w:r w:rsidR="00416EE1">
        <w:rPr>
          <w:sz w:val="24"/>
          <w:szCs w:val="24"/>
        </w:rPr>
        <w:t xml:space="preserve"> (revised)</w:t>
      </w:r>
    </w:p>
    <w:p w:rsidR="003E374B" w:rsidRPr="00A873BF" w:rsidRDefault="003E374B" w:rsidP="00A873BF">
      <w:pPr>
        <w:pBdr>
          <w:top w:val="single" w:sz="4" w:space="1" w:color="auto"/>
          <w:left w:val="single" w:sz="4" w:space="4" w:color="auto"/>
          <w:bottom w:val="single" w:sz="4" w:space="1" w:color="auto"/>
          <w:right w:val="single" w:sz="4" w:space="4" w:color="auto"/>
          <w:between w:val="single" w:sz="4" w:space="1" w:color="auto"/>
          <w:bar w:val="single" w:sz="4" w:color="auto"/>
        </w:pBdr>
        <w:spacing w:after="0"/>
        <w:ind w:left="1080" w:right="1080"/>
        <w:rPr>
          <w:rFonts w:ascii="Times New Roman" w:hAnsi="Times New Roman"/>
          <w:sz w:val="20"/>
          <w:szCs w:val="20"/>
        </w:rPr>
      </w:pPr>
      <w:r w:rsidRPr="00A873BF">
        <w:rPr>
          <w:rFonts w:ascii="Times New Roman" w:hAnsi="Times New Roman"/>
          <w:b/>
          <w:sz w:val="20"/>
          <w:szCs w:val="20"/>
        </w:rPr>
        <w:t xml:space="preserve">Revision Notes, May 3, 2013: </w:t>
      </w:r>
      <w:r w:rsidRPr="00A873BF">
        <w:rPr>
          <w:rFonts w:ascii="Times New Roman" w:hAnsi="Times New Roman"/>
          <w:sz w:val="20"/>
          <w:szCs w:val="20"/>
        </w:rPr>
        <w:t>The embedded workbook containing savings values for all measures was revised to correct errors where incorrect annual hours of use were being used to calculate savings.</w:t>
      </w:r>
    </w:p>
    <w:p w:rsidR="000B7EC0" w:rsidRPr="00A873BF" w:rsidRDefault="000B7EC0" w:rsidP="00A873BF">
      <w:pPr>
        <w:spacing w:after="0"/>
        <w:rPr>
          <w:sz w:val="20"/>
          <w:szCs w:val="20"/>
        </w:rPr>
      </w:pPr>
    </w:p>
    <w:p w:rsidR="00E15F46" w:rsidRDefault="00E15F46" w:rsidP="00E15F46">
      <w:pPr>
        <w:pBdr>
          <w:top w:val="single" w:sz="4" w:space="1" w:color="auto"/>
          <w:left w:val="single" w:sz="4" w:space="4" w:color="auto"/>
          <w:bottom w:val="single" w:sz="4" w:space="1" w:color="auto"/>
          <w:right w:val="single" w:sz="4" w:space="4" w:color="auto"/>
          <w:bar w:val="single" w:sz="4" w:color="auto"/>
        </w:pBdr>
        <w:spacing w:after="0"/>
        <w:ind w:left="1080" w:right="1080"/>
        <w:rPr>
          <w:rFonts w:ascii="Times New Roman" w:hAnsi="Times New Roman"/>
          <w:sz w:val="20"/>
          <w:szCs w:val="20"/>
        </w:rPr>
      </w:pPr>
      <w:r w:rsidRPr="00A873BF">
        <w:rPr>
          <w:rFonts w:ascii="Times New Roman" w:hAnsi="Times New Roman"/>
          <w:b/>
          <w:sz w:val="20"/>
          <w:szCs w:val="20"/>
        </w:rPr>
        <w:t xml:space="preserve">Revision Notes, May 31, 2013: </w:t>
      </w:r>
      <w:r w:rsidRPr="00A873BF">
        <w:rPr>
          <w:rFonts w:ascii="Times New Roman" w:hAnsi="Times New Roman"/>
          <w:sz w:val="20"/>
          <w:szCs w:val="20"/>
        </w:rPr>
        <w:t>The embedded workbook containing savings values for all measures was revised to correct the following errors:</w:t>
      </w:r>
    </w:p>
    <w:p w:rsidR="001C218F" w:rsidRPr="00A873BF" w:rsidRDefault="001C218F" w:rsidP="00E15F46">
      <w:pPr>
        <w:pBdr>
          <w:top w:val="single" w:sz="4" w:space="1" w:color="auto"/>
          <w:left w:val="single" w:sz="4" w:space="4" w:color="auto"/>
          <w:bottom w:val="single" w:sz="4" w:space="1" w:color="auto"/>
          <w:right w:val="single" w:sz="4" w:space="4" w:color="auto"/>
          <w:bar w:val="single" w:sz="4" w:color="auto"/>
        </w:pBdr>
        <w:spacing w:after="0"/>
        <w:ind w:left="1080" w:right="1080"/>
        <w:rPr>
          <w:rFonts w:ascii="Times New Roman" w:hAnsi="Times New Roman"/>
          <w:sz w:val="20"/>
          <w:szCs w:val="20"/>
        </w:rPr>
      </w:pPr>
    </w:p>
    <w:p w:rsidR="00E15F46" w:rsidRDefault="00E15F46" w:rsidP="00E15F46">
      <w:pPr>
        <w:pStyle w:val="ListParagraph"/>
        <w:numPr>
          <w:ilvl w:val="0"/>
          <w:numId w:val="12"/>
        </w:numPr>
        <w:pBdr>
          <w:top w:val="single" w:sz="4" w:space="1" w:color="auto"/>
          <w:left w:val="single" w:sz="4" w:space="4" w:color="auto"/>
          <w:bottom w:val="single" w:sz="4" w:space="1" w:color="auto"/>
          <w:right w:val="single" w:sz="4" w:space="4" w:color="auto"/>
          <w:bar w:val="single" w:sz="4" w:color="auto"/>
        </w:pBdr>
        <w:spacing w:after="0"/>
        <w:ind w:right="1080"/>
        <w:rPr>
          <w:rFonts w:ascii="Times New Roman" w:hAnsi="Times New Roman"/>
          <w:sz w:val="20"/>
          <w:szCs w:val="20"/>
        </w:rPr>
      </w:pPr>
      <w:r w:rsidRPr="00A873BF">
        <w:rPr>
          <w:rFonts w:ascii="Times New Roman" w:hAnsi="Times New Roman"/>
          <w:sz w:val="20"/>
          <w:szCs w:val="20"/>
        </w:rPr>
        <w:t>Refrigerated Warehouse values were not available in previous versions. Those values are not included in the workbook.</w:t>
      </w:r>
    </w:p>
    <w:p w:rsidR="001C218F" w:rsidRPr="001C218F" w:rsidRDefault="001C218F" w:rsidP="001C218F">
      <w:pPr>
        <w:pBdr>
          <w:top w:val="single" w:sz="4" w:space="1" w:color="auto"/>
          <w:left w:val="single" w:sz="4" w:space="4" w:color="auto"/>
          <w:bottom w:val="single" w:sz="4" w:space="1" w:color="auto"/>
          <w:right w:val="single" w:sz="4" w:space="4" w:color="auto"/>
          <w:bar w:val="single" w:sz="4" w:color="auto"/>
        </w:pBdr>
        <w:spacing w:after="0"/>
        <w:ind w:left="1080" w:right="1080"/>
        <w:rPr>
          <w:rFonts w:ascii="Times New Roman" w:hAnsi="Times New Roman"/>
          <w:sz w:val="20"/>
          <w:szCs w:val="20"/>
        </w:rPr>
      </w:pPr>
    </w:p>
    <w:p w:rsidR="00E62BBF" w:rsidRPr="00A873BF" w:rsidRDefault="00E15F46" w:rsidP="00E15F46">
      <w:pPr>
        <w:pStyle w:val="ListParagraph"/>
        <w:numPr>
          <w:ilvl w:val="0"/>
          <w:numId w:val="12"/>
        </w:numPr>
        <w:pBdr>
          <w:top w:val="single" w:sz="4" w:space="1" w:color="auto"/>
          <w:left w:val="single" w:sz="4" w:space="4" w:color="auto"/>
          <w:bottom w:val="single" w:sz="4" w:space="1" w:color="auto"/>
          <w:right w:val="single" w:sz="4" w:space="4" w:color="auto"/>
          <w:bar w:val="single" w:sz="4" w:color="auto"/>
        </w:pBdr>
        <w:spacing w:after="0"/>
        <w:ind w:right="1080"/>
        <w:rPr>
          <w:rFonts w:ascii="Times New Roman" w:hAnsi="Times New Roman"/>
          <w:sz w:val="20"/>
          <w:szCs w:val="20"/>
        </w:rPr>
      </w:pPr>
      <w:r w:rsidRPr="00A873BF">
        <w:rPr>
          <w:rFonts w:ascii="Times New Roman" w:hAnsi="Times New Roman"/>
          <w:sz w:val="20"/>
          <w:szCs w:val="20"/>
        </w:rPr>
        <w:t>The weighted commercial values (Com) were incorrect. The previous values were those that appeared in the DEER 2005 database for measure (</w:t>
      </w:r>
      <w:r w:rsidR="00E62BBF" w:rsidRPr="00A873BF">
        <w:rPr>
          <w:rFonts w:ascii="Times New Roman" w:hAnsi="Times New Roman"/>
          <w:sz w:val="20"/>
          <w:szCs w:val="20"/>
        </w:rPr>
        <w:t xml:space="preserve">D03-03 Occupancy Sensor Small Area &lt;200 Square Feet). The Com value for this measure consisted of weighted results for Primary School, Hospital, Hotel, Motel, Nursing Home and Small Office only. The Com results in the revised embedded workbook include are weighted to consider results for all DEER building types. These include the non-simulated results as well as the results from the DEER simulations for D03-003 (small area sensors) and D03-004 (large area sensors). Refer to Table 3 for a listing of which building types are supported by DEER simulation results and which are supported by the alternative methods incorporated into the embedded workbook. </w:t>
      </w:r>
    </w:p>
    <w:p w:rsidR="00E62BBF" w:rsidRPr="00A873BF" w:rsidRDefault="00E62BBF" w:rsidP="00E62BBF">
      <w:pPr>
        <w:pBdr>
          <w:top w:val="single" w:sz="4" w:space="1" w:color="auto"/>
          <w:left w:val="single" w:sz="4" w:space="4" w:color="auto"/>
          <w:bottom w:val="single" w:sz="4" w:space="1" w:color="auto"/>
          <w:right w:val="single" w:sz="4" w:space="4" w:color="auto"/>
          <w:bar w:val="single" w:sz="4" w:color="auto"/>
        </w:pBdr>
        <w:spacing w:after="0"/>
        <w:ind w:left="1080" w:right="1080"/>
        <w:rPr>
          <w:rFonts w:ascii="Times New Roman" w:hAnsi="Times New Roman"/>
          <w:b/>
          <w:sz w:val="20"/>
          <w:szCs w:val="20"/>
        </w:rPr>
      </w:pPr>
    </w:p>
    <w:p w:rsidR="00E15F46" w:rsidRPr="00A873BF" w:rsidRDefault="00A873BF" w:rsidP="00A873BF">
      <w:pPr>
        <w:pBdr>
          <w:top w:val="single" w:sz="4" w:space="1" w:color="auto"/>
          <w:left w:val="single" w:sz="4" w:space="4" w:color="auto"/>
          <w:bottom w:val="single" w:sz="4" w:space="1" w:color="auto"/>
          <w:right w:val="single" w:sz="4" w:space="4" w:color="auto"/>
          <w:bar w:val="single" w:sz="4" w:color="auto"/>
        </w:pBdr>
        <w:spacing w:after="0"/>
        <w:ind w:left="1440" w:right="1080" w:hanging="360"/>
        <w:rPr>
          <w:rFonts w:ascii="Times New Roman" w:hAnsi="Times New Roman"/>
          <w:sz w:val="20"/>
          <w:szCs w:val="20"/>
        </w:rPr>
      </w:pPr>
      <w:r w:rsidRPr="00A873BF">
        <w:rPr>
          <w:rFonts w:ascii="Times New Roman" w:hAnsi="Times New Roman"/>
          <w:b/>
          <w:sz w:val="20"/>
          <w:szCs w:val="20"/>
        </w:rPr>
        <w:tab/>
      </w:r>
      <w:r w:rsidR="00E62BBF" w:rsidRPr="00A873BF">
        <w:rPr>
          <w:rFonts w:ascii="Times New Roman" w:hAnsi="Times New Roman"/>
          <w:b/>
          <w:sz w:val="20"/>
          <w:szCs w:val="20"/>
        </w:rPr>
        <w:t>NOTE:</w:t>
      </w:r>
      <w:r w:rsidR="00E62BBF" w:rsidRPr="00A873BF">
        <w:rPr>
          <w:rFonts w:ascii="Times New Roman" w:hAnsi="Times New Roman"/>
          <w:sz w:val="20"/>
          <w:szCs w:val="20"/>
        </w:rPr>
        <w:t xml:space="preserve"> Savings values for individual building types have not changed from the previous versions of this disposition. Only the weighted results for the “Com” building type have changed.</w:t>
      </w:r>
      <w:r w:rsidRPr="00A873BF">
        <w:rPr>
          <w:rFonts w:ascii="Times New Roman" w:hAnsi="Times New Roman"/>
          <w:sz w:val="20"/>
          <w:szCs w:val="20"/>
        </w:rPr>
        <w:t xml:space="preserve"> Electricity (kWh) savings values for the “Com” building type in the revised workbook are between 14% and 18% less, depending on IOU, compared to the previous workbook; demand savings are 20%-24% less, and; negative gas savings are reduced 9%-11%.</w:t>
      </w:r>
      <w:r>
        <w:rPr>
          <w:rFonts w:ascii="Times New Roman" w:hAnsi="Times New Roman"/>
          <w:sz w:val="20"/>
          <w:szCs w:val="20"/>
        </w:rPr>
        <w:t xml:space="preserve"> Refer to Table</w:t>
      </w:r>
      <w:r w:rsidR="009B2596">
        <w:rPr>
          <w:rFonts w:ascii="Times New Roman" w:hAnsi="Times New Roman"/>
          <w:sz w:val="20"/>
          <w:szCs w:val="20"/>
        </w:rPr>
        <w:t xml:space="preserve"> A below for a comparison of original to revised savings for the “Com” weighted building type.</w:t>
      </w:r>
    </w:p>
    <w:p w:rsidR="005D75B8" w:rsidRDefault="005D75B8" w:rsidP="00794019"/>
    <w:p w:rsidR="009B2596" w:rsidRPr="009B2596" w:rsidRDefault="009B2596" w:rsidP="009B2596">
      <w:pPr>
        <w:pStyle w:val="Caption"/>
        <w:keepNext/>
        <w:rPr>
          <w:sz w:val="22"/>
          <w:szCs w:val="22"/>
        </w:rPr>
      </w:pPr>
      <w:r w:rsidRPr="009B2596">
        <w:rPr>
          <w:sz w:val="22"/>
          <w:szCs w:val="22"/>
        </w:rPr>
        <w:t xml:space="preserve">Table </w:t>
      </w:r>
      <w:proofErr w:type="gramStart"/>
      <w:r w:rsidRPr="009B2596">
        <w:rPr>
          <w:sz w:val="22"/>
          <w:szCs w:val="22"/>
        </w:rPr>
        <w:t>A</w:t>
      </w:r>
      <w:proofErr w:type="gramEnd"/>
      <w:r w:rsidRPr="009B2596">
        <w:rPr>
          <w:sz w:val="22"/>
          <w:szCs w:val="22"/>
        </w:rPr>
        <w:t xml:space="preserve"> - Comparison of Original to Revised Disposition</w:t>
      </w:r>
    </w:p>
    <w:p w:rsidR="009B2596" w:rsidRDefault="009B2596" w:rsidP="00794019">
      <w:r w:rsidRPr="009B2596">
        <w:rPr>
          <w:noProof/>
        </w:rPr>
        <w:drawing>
          <wp:inline distT="0" distB="0" distL="0" distR="0" wp14:anchorId="67EDB802" wp14:editId="25B91831">
            <wp:extent cx="5943600" cy="11531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1153183"/>
                    </a:xfrm>
                    <a:prstGeom prst="rect">
                      <a:avLst/>
                    </a:prstGeom>
                    <a:noFill/>
                    <a:ln>
                      <a:noFill/>
                    </a:ln>
                  </pic:spPr>
                </pic:pic>
              </a:graphicData>
            </a:graphic>
          </wp:inline>
        </w:drawing>
      </w:r>
    </w:p>
    <w:p w:rsidR="002A1DE4" w:rsidRDefault="002A1DE4" w:rsidP="00794019"/>
    <w:p w:rsidR="00F045E4" w:rsidRDefault="005740CE" w:rsidP="008C5340">
      <w:pPr>
        <w:pBdr>
          <w:top w:val="single" w:sz="4" w:space="1" w:color="auto"/>
          <w:left w:val="single" w:sz="4" w:space="4" w:color="auto"/>
          <w:bottom w:val="single" w:sz="4" w:space="1" w:color="auto"/>
          <w:right w:val="single" w:sz="4" w:space="4" w:color="auto"/>
          <w:bar w:val="single" w:sz="4" w:color="auto"/>
        </w:pBdr>
        <w:spacing w:after="120"/>
        <w:ind w:left="1080" w:right="1080"/>
        <w:rPr>
          <w:rFonts w:ascii="Times New Roman" w:hAnsi="Times New Roman"/>
          <w:sz w:val="20"/>
          <w:szCs w:val="20"/>
        </w:rPr>
      </w:pPr>
      <w:r w:rsidRPr="00A873BF">
        <w:rPr>
          <w:rFonts w:ascii="Times New Roman" w:hAnsi="Times New Roman"/>
          <w:b/>
          <w:sz w:val="20"/>
          <w:szCs w:val="20"/>
        </w:rPr>
        <w:lastRenderedPageBreak/>
        <w:t xml:space="preserve">Revision Notes, </w:t>
      </w:r>
      <w:r>
        <w:rPr>
          <w:rFonts w:ascii="Times New Roman" w:hAnsi="Times New Roman"/>
          <w:b/>
          <w:sz w:val="20"/>
          <w:szCs w:val="20"/>
        </w:rPr>
        <w:t>September 6, 2013</w:t>
      </w:r>
      <w:r w:rsidR="002A1DE4" w:rsidRPr="00A873BF">
        <w:rPr>
          <w:rFonts w:ascii="Times New Roman" w:hAnsi="Times New Roman"/>
          <w:b/>
          <w:sz w:val="20"/>
          <w:szCs w:val="20"/>
        </w:rPr>
        <w:t xml:space="preserve">: </w:t>
      </w:r>
      <w:r w:rsidR="002A1DE4" w:rsidRPr="00A873BF">
        <w:rPr>
          <w:rFonts w:ascii="Times New Roman" w:hAnsi="Times New Roman"/>
          <w:sz w:val="20"/>
          <w:szCs w:val="20"/>
        </w:rPr>
        <w:t xml:space="preserve">The embedded workbook containing savings values for all measures was revised </w:t>
      </w:r>
      <w:r w:rsidR="002A1DE4">
        <w:rPr>
          <w:rFonts w:ascii="Times New Roman" w:hAnsi="Times New Roman"/>
          <w:sz w:val="20"/>
          <w:szCs w:val="20"/>
        </w:rPr>
        <w:t xml:space="preserve">in consideration of recent input from </w:t>
      </w:r>
      <w:r w:rsidR="00F045E4">
        <w:rPr>
          <w:rFonts w:ascii="Times New Roman" w:hAnsi="Times New Roman"/>
          <w:sz w:val="20"/>
          <w:szCs w:val="20"/>
        </w:rPr>
        <w:t>utilities.</w:t>
      </w:r>
    </w:p>
    <w:p w:rsidR="00F045E4" w:rsidRPr="00F045E4" w:rsidRDefault="00F045E4" w:rsidP="002A1DE4">
      <w:pPr>
        <w:pBdr>
          <w:top w:val="single" w:sz="4" w:space="1" w:color="auto"/>
          <w:left w:val="single" w:sz="4" w:space="4" w:color="auto"/>
          <w:bottom w:val="single" w:sz="4" w:space="1" w:color="auto"/>
          <w:right w:val="single" w:sz="4" w:space="4" w:color="auto"/>
          <w:bar w:val="single" w:sz="4" w:color="auto"/>
        </w:pBdr>
        <w:spacing w:after="0"/>
        <w:ind w:left="1080" w:right="1080"/>
        <w:rPr>
          <w:rFonts w:ascii="Times New Roman" w:hAnsi="Times New Roman"/>
          <w:b/>
          <w:sz w:val="20"/>
          <w:szCs w:val="20"/>
        </w:rPr>
      </w:pPr>
      <w:r>
        <w:rPr>
          <w:rFonts w:ascii="Times New Roman" w:hAnsi="Times New Roman"/>
          <w:b/>
          <w:sz w:val="20"/>
          <w:szCs w:val="20"/>
        </w:rPr>
        <w:t>Revision to direct impact demand savings:</w:t>
      </w:r>
    </w:p>
    <w:p w:rsidR="002A1DE4" w:rsidRDefault="002A1DE4" w:rsidP="008C5340">
      <w:pPr>
        <w:pBdr>
          <w:top w:val="single" w:sz="4" w:space="1" w:color="auto"/>
          <w:left w:val="single" w:sz="4" w:space="4" w:color="auto"/>
          <w:bottom w:val="single" w:sz="4" w:space="1" w:color="auto"/>
          <w:right w:val="single" w:sz="4" w:space="4" w:color="auto"/>
          <w:bar w:val="single" w:sz="4" w:color="auto"/>
        </w:pBdr>
        <w:spacing w:after="120"/>
        <w:ind w:left="1080" w:right="1080"/>
        <w:rPr>
          <w:rFonts w:ascii="Times New Roman" w:hAnsi="Times New Roman"/>
          <w:sz w:val="20"/>
          <w:szCs w:val="20"/>
        </w:rPr>
      </w:pPr>
      <w:r>
        <w:rPr>
          <w:rFonts w:ascii="Times New Roman" w:hAnsi="Times New Roman"/>
          <w:sz w:val="20"/>
          <w:szCs w:val="20"/>
        </w:rPr>
        <w:t>The disposition calculates the direct impact demand savings</w:t>
      </w:r>
      <w:r w:rsidR="00D445C6">
        <w:rPr>
          <w:rFonts w:ascii="Times New Roman" w:hAnsi="Times New Roman"/>
          <w:sz w:val="20"/>
          <w:szCs w:val="20"/>
        </w:rPr>
        <w:t xml:space="preserve"> for buildings not covered in DEER</w:t>
      </w:r>
      <w:r>
        <w:rPr>
          <w:rFonts w:ascii="Times New Roman" w:hAnsi="Times New Roman"/>
          <w:sz w:val="20"/>
          <w:szCs w:val="20"/>
        </w:rPr>
        <w:t xml:space="preserve"> as:</w:t>
      </w:r>
    </w:p>
    <w:p w:rsidR="002A1DE4" w:rsidRDefault="002A1DE4" w:rsidP="002A1DE4">
      <w:pPr>
        <w:pBdr>
          <w:top w:val="single" w:sz="4" w:space="1" w:color="auto"/>
          <w:left w:val="single" w:sz="4" w:space="4" w:color="auto"/>
          <w:bottom w:val="single" w:sz="4" w:space="1" w:color="auto"/>
          <w:right w:val="single" w:sz="4" w:space="4" w:color="auto"/>
          <w:bar w:val="single" w:sz="4" w:color="auto"/>
        </w:pBdr>
        <w:spacing w:after="0"/>
        <w:ind w:left="1080" w:right="1080"/>
        <w:rPr>
          <w:rFonts w:ascii="Times New Roman" w:hAnsi="Times New Roman"/>
          <w:sz w:val="20"/>
          <w:szCs w:val="20"/>
        </w:rPr>
      </w:pPr>
      <w:r>
        <w:rPr>
          <w:rFonts w:ascii="Times New Roman" w:hAnsi="Times New Roman"/>
          <w:sz w:val="20"/>
          <w:szCs w:val="20"/>
        </w:rPr>
        <w:tab/>
      </w:r>
      <w:proofErr w:type="gramStart"/>
      <w:r>
        <w:rPr>
          <w:rFonts w:ascii="Times New Roman" w:hAnsi="Times New Roman"/>
          <w:sz w:val="20"/>
          <w:szCs w:val="20"/>
        </w:rPr>
        <w:t>kW/</w:t>
      </w:r>
      <w:proofErr w:type="spellStart"/>
      <w:r>
        <w:rPr>
          <w:rFonts w:ascii="Times New Roman" w:hAnsi="Times New Roman"/>
          <w:sz w:val="20"/>
          <w:szCs w:val="20"/>
        </w:rPr>
        <w:t>kW</w:t>
      </w:r>
      <w:r>
        <w:rPr>
          <w:rFonts w:ascii="Times New Roman" w:hAnsi="Times New Roman"/>
          <w:sz w:val="20"/>
          <w:szCs w:val="20"/>
          <w:vertAlign w:val="subscript"/>
        </w:rPr>
        <w:t>controlled</w:t>
      </w:r>
      <w:proofErr w:type="spellEnd"/>
      <w:proofErr w:type="gramEnd"/>
      <w:r>
        <w:rPr>
          <w:rFonts w:ascii="Times New Roman" w:hAnsi="Times New Roman"/>
          <w:sz w:val="20"/>
          <w:szCs w:val="20"/>
        </w:rPr>
        <w:t xml:space="preserve"> = CDF * Reduction Factor * Weekday Open Fraction</w:t>
      </w:r>
    </w:p>
    <w:p w:rsidR="002A1DE4" w:rsidRDefault="002A1DE4" w:rsidP="002A1DE4">
      <w:pPr>
        <w:pBdr>
          <w:top w:val="single" w:sz="4" w:space="1" w:color="auto"/>
          <w:left w:val="single" w:sz="4" w:space="4" w:color="auto"/>
          <w:bottom w:val="single" w:sz="4" w:space="1" w:color="auto"/>
          <w:right w:val="single" w:sz="4" w:space="4" w:color="auto"/>
          <w:bar w:val="single" w:sz="4" w:color="auto"/>
        </w:pBdr>
        <w:tabs>
          <w:tab w:val="left" w:pos="1620"/>
          <w:tab w:val="left" w:pos="1980"/>
        </w:tabs>
        <w:spacing w:after="0"/>
        <w:ind w:left="1080" w:right="1080"/>
        <w:rPr>
          <w:rFonts w:ascii="Times New Roman" w:hAnsi="Times New Roman"/>
          <w:sz w:val="20"/>
          <w:szCs w:val="20"/>
        </w:rPr>
      </w:pPr>
      <w:r>
        <w:rPr>
          <w:rFonts w:ascii="Times New Roman" w:hAnsi="Times New Roman"/>
          <w:sz w:val="20"/>
          <w:szCs w:val="20"/>
        </w:rPr>
        <w:tab/>
      </w:r>
      <w:proofErr w:type="gramStart"/>
      <w:r>
        <w:rPr>
          <w:rFonts w:ascii="Times New Roman" w:hAnsi="Times New Roman"/>
          <w:sz w:val="20"/>
          <w:szCs w:val="20"/>
        </w:rPr>
        <w:t>where</w:t>
      </w:r>
      <w:proofErr w:type="gramEnd"/>
      <w:r>
        <w:rPr>
          <w:rFonts w:ascii="Times New Roman" w:hAnsi="Times New Roman"/>
          <w:sz w:val="20"/>
          <w:szCs w:val="20"/>
        </w:rPr>
        <w:t>:</w:t>
      </w:r>
    </w:p>
    <w:p w:rsidR="002A1DE4" w:rsidRDefault="002A1DE4" w:rsidP="00D445C6">
      <w:pPr>
        <w:pBdr>
          <w:top w:val="single" w:sz="4" w:space="1" w:color="auto"/>
          <w:left w:val="single" w:sz="4" w:space="4" w:color="auto"/>
          <w:bottom w:val="single" w:sz="4" w:space="1" w:color="auto"/>
          <w:right w:val="single" w:sz="4" w:space="4" w:color="auto"/>
          <w:bar w:val="single" w:sz="4" w:color="auto"/>
        </w:pBdr>
        <w:tabs>
          <w:tab w:val="left" w:pos="1620"/>
          <w:tab w:val="left" w:pos="1980"/>
        </w:tabs>
        <w:spacing w:after="0"/>
        <w:ind w:left="1980" w:right="1080" w:hanging="900"/>
        <w:rPr>
          <w:rFonts w:ascii="Times New Roman" w:hAnsi="Times New Roman"/>
          <w:sz w:val="20"/>
          <w:szCs w:val="20"/>
        </w:rPr>
      </w:pPr>
      <w:r>
        <w:rPr>
          <w:rFonts w:ascii="Times New Roman" w:hAnsi="Times New Roman"/>
          <w:sz w:val="20"/>
          <w:szCs w:val="20"/>
        </w:rPr>
        <w:tab/>
      </w:r>
      <w:r>
        <w:rPr>
          <w:rFonts w:ascii="Times New Roman" w:hAnsi="Times New Roman"/>
          <w:sz w:val="20"/>
          <w:szCs w:val="20"/>
        </w:rPr>
        <w:tab/>
      </w:r>
      <w:r w:rsidRPr="002A1DE4">
        <w:rPr>
          <w:rFonts w:ascii="Times New Roman" w:hAnsi="Times New Roman"/>
          <w:i/>
          <w:sz w:val="20"/>
          <w:szCs w:val="20"/>
        </w:rPr>
        <w:t>CDF</w:t>
      </w:r>
      <w:r>
        <w:rPr>
          <w:rFonts w:ascii="Times New Roman" w:hAnsi="Times New Roman"/>
          <w:sz w:val="20"/>
          <w:szCs w:val="20"/>
        </w:rPr>
        <w:t xml:space="preserve"> is the DEER coincident demand factor</w:t>
      </w:r>
    </w:p>
    <w:p w:rsidR="002A1DE4" w:rsidRDefault="002A1DE4" w:rsidP="00D445C6">
      <w:pPr>
        <w:pBdr>
          <w:top w:val="single" w:sz="4" w:space="1" w:color="auto"/>
          <w:left w:val="single" w:sz="4" w:space="4" w:color="auto"/>
          <w:bottom w:val="single" w:sz="4" w:space="1" w:color="auto"/>
          <w:right w:val="single" w:sz="4" w:space="4" w:color="auto"/>
          <w:bar w:val="single" w:sz="4" w:color="auto"/>
        </w:pBdr>
        <w:tabs>
          <w:tab w:val="left" w:pos="1620"/>
          <w:tab w:val="left" w:pos="1980"/>
        </w:tabs>
        <w:spacing w:after="0"/>
        <w:ind w:left="1980" w:right="1080" w:hanging="900"/>
        <w:rPr>
          <w:rFonts w:ascii="Times New Roman" w:hAnsi="Times New Roman"/>
          <w:sz w:val="20"/>
          <w:szCs w:val="20"/>
        </w:rPr>
      </w:pPr>
      <w:r>
        <w:rPr>
          <w:rFonts w:ascii="Times New Roman" w:hAnsi="Times New Roman"/>
          <w:sz w:val="20"/>
          <w:szCs w:val="20"/>
        </w:rPr>
        <w:tab/>
      </w:r>
      <w:r>
        <w:rPr>
          <w:rFonts w:ascii="Times New Roman" w:hAnsi="Times New Roman"/>
          <w:sz w:val="20"/>
          <w:szCs w:val="20"/>
        </w:rPr>
        <w:tab/>
      </w:r>
      <w:r w:rsidRPr="002A1DE4">
        <w:rPr>
          <w:rFonts w:ascii="Times New Roman" w:hAnsi="Times New Roman"/>
          <w:i/>
          <w:sz w:val="20"/>
          <w:szCs w:val="20"/>
        </w:rPr>
        <w:t>Reduction Factor</w:t>
      </w:r>
      <w:r>
        <w:rPr>
          <w:rFonts w:ascii="Times New Roman" w:hAnsi="Times New Roman"/>
          <w:sz w:val="20"/>
          <w:szCs w:val="20"/>
        </w:rPr>
        <w:t xml:space="preserve"> is the DEER total hours of use reduction</w:t>
      </w:r>
      <w:r w:rsidR="00D445C6">
        <w:rPr>
          <w:rFonts w:ascii="Times New Roman" w:hAnsi="Times New Roman"/>
          <w:sz w:val="20"/>
          <w:szCs w:val="20"/>
        </w:rPr>
        <w:t>. For DEER building types not covered by the DEER measure, this reduction factor is based on Energy Division staff’s best estimate of a reduction factor for a covered building type that would be equivalent to a non-covered building type.</w:t>
      </w:r>
    </w:p>
    <w:p w:rsidR="002A1DE4" w:rsidRPr="00D445C6" w:rsidRDefault="002A1DE4" w:rsidP="008C5340">
      <w:pPr>
        <w:pBdr>
          <w:top w:val="single" w:sz="4" w:space="1" w:color="auto"/>
          <w:left w:val="single" w:sz="4" w:space="4" w:color="auto"/>
          <w:bottom w:val="single" w:sz="4" w:space="1" w:color="auto"/>
          <w:right w:val="single" w:sz="4" w:space="4" w:color="auto"/>
          <w:bar w:val="single" w:sz="4" w:color="auto"/>
        </w:pBdr>
        <w:tabs>
          <w:tab w:val="left" w:pos="1620"/>
          <w:tab w:val="left" w:pos="1980"/>
        </w:tabs>
        <w:spacing w:after="120"/>
        <w:ind w:left="1987" w:right="1080" w:hanging="907"/>
        <w:rPr>
          <w:rFonts w:ascii="Times New Roman" w:hAnsi="Times New Roman"/>
          <w:sz w:val="20"/>
          <w:szCs w:val="20"/>
        </w:rPr>
      </w:pPr>
      <w:r>
        <w:rPr>
          <w:rFonts w:ascii="Times New Roman" w:hAnsi="Times New Roman"/>
          <w:sz w:val="20"/>
          <w:szCs w:val="20"/>
        </w:rPr>
        <w:tab/>
      </w:r>
      <w:r>
        <w:rPr>
          <w:rFonts w:ascii="Times New Roman" w:hAnsi="Times New Roman"/>
          <w:sz w:val="20"/>
          <w:szCs w:val="20"/>
        </w:rPr>
        <w:tab/>
      </w:r>
      <w:r>
        <w:rPr>
          <w:rFonts w:ascii="Times New Roman" w:hAnsi="Times New Roman"/>
          <w:i/>
          <w:sz w:val="20"/>
          <w:szCs w:val="20"/>
        </w:rPr>
        <w:t>Weekday Open Fraction</w:t>
      </w:r>
      <w:r>
        <w:rPr>
          <w:rFonts w:ascii="Times New Roman" w:hAnsi="Times New Roman"/>
          <w:sz w:val="20"/>
          <w:szCs w:val="20"/>
        </w:rPr>
        <w:t xml:space="preserve"> is the DEER allocation of total usage reduction assigned to the weekday open period. The DEER methodology allocates the total usage reduction into for periods: </w:t>
      </w:r>
      <w:r>
        <w:rPr>
          <w:rFonts w:ascii="Times New Roman" w:hAnsi="Times New Roman"/>
          <w:i/>
          <w:sz w:val="20"/>
          <w:szCs w:val="20"/>
        </w:rPr>
        <w:t>Weekday Open; Weekday Closed; Weekend Open; Weekend Closed.</w:t>
      </w:r>
      <w:r w:rsidR="00D445C6">
        <w:rPr>
          <w:rFonts w:ascii="Times New Roman" w:hAnsi="Times New Roman"/>
          <w:sz w:val="20"/>
          <w:szCs w:val="20"/>
        </w:rPr>
        <w:t xml:space="preserve"> Values for non-covered building types align with the same equivalent mappings of covered building types for determination of the </w:t>
      </w:r>
      <w:r w:rsidR="00D445C6">
        <w:rPr>
          <w:rFonts w:ascii="Times New Roman" w:hAnsi="Times New Roman"/>
          <w:i/>
          <w:sz w:val="20"/>
          <w:szCs w:val="20"/>
        </w:rPr>
        <w:t>Reduction Factor</w:t>
      </w:r>
      <w:r w:rsidR="00D445C6">
        <w:rPr>
          <w:rFonts w:ascii="Times New Roman" w:hAnsi="Times New Roman"/>
          <w:sz w:val="20"/>
          <w:szCs w:val="20"/>
        </w:rPr>
        <w:t xml:space="preserve"> described above.</w:t>
      </w:r>
    </w:p>
    <w:p w:rsidR="005740CE" w:rsidRDefault="002A1DE4" w:rsidP="008C5340">
      <w:pPr>
        <w:pBdr>
          <w:top w:val="single" w:sz="4" w:space="1" w:color="auto"/>
          <w:left w:val="single" w:sz="4" w:space="4" w:color="auto"/>
          <w:bottom w:val="single" w:sz="4" w:space="1" w:color="auto"/>
          <w:right w:val="single" w:sz="4" w:space="4" w:color="auto"/>
          <w:bar w:val="single" w:sz="4" w:color="auto"/>
        </w:pBdr>
        <w:tabs>
          <w:tab w:val="left" w:pos="1620"/>
        </w:tabs>
        <w:spacing w:after="120"/>
        <w:ind w:left="1080" w:right="1080"/>
        <w:rPr>
          <w:rFonts w:ascii="Times New Roman" w:hAnsi="Times New Roman"/>
          <w:sz w:val="20"/>
          <w:szCs w:val="20"/>
        </w:rPr>
      </w:pPr>
      <w:r>
        <w:rPr>
          <w:rFonts w:ascii="Times New Roman" w:hAnsi="Times New Roman"/>
          <w:sz w:val="20"/>
          <w:szCs w:val="20"/>
        </w:rPr>
        <w:t>SCE staff recommended revising the demand sa</w:t>
      </w:r>
      <w:r w:rsidR="00D445C6">
        <w:rPr>
          <w:rFonts w:ascii="Times New Roman" w:hAnsi="Times New Roman"/>
          <w:sz w:val="20"/>
          <w:szCs w:val="20"/>
        </w:rPr>
        <w:t xml:space="preserve">vings calculation to not include the </w:t>
      </w:r>
      <w:r w:rsidR="00D445C6">
        <w:rPr>
          <w:rFonts w:ascii="Times New Roman" w:hAnsi="Times New Roman"/>
          <w:i/>
          <w:sz w:val="20"/>
          <w:szCs w:val="20"/>
        </w:rPr>
        <w:t>Weekday Open Fraction.</w:t>
      </w:r>
      <w:r w:rsidR="00D445C6">
        <w:rPr>
          <w:rFonts w:ascii="Times New Roman" w:hAnsi="Times New Roman"/>
          <w:sz w:val="20"/>
          <w:szCs w:val="20"/>
        </w:rPr>
        <w:t xml:space="preserve"> Energy Division staff had a web meeting with utility staff and agr</w:t>
      </w:r>
      <w:r w:rsidR="009E3257">
        <w:rPr>
          <w:rFonts w:ascii="Times New Roman" w:hAnsi="Times New Roman"/>
          <w:sz w:val="20"/>
          <w:szCs w:val="20"/>
        </w:rPr>
        <w:t xml:space="preserve">eed to investigate further. </w:t>
      </w:r>
      <w:r w:rsidR="00640229">
        <w:rPr>
          <w:rFonts w:ascii="Times New Roman" w:hAnsi="Times New Roman"/>
          <w:sz w:val="20"/>
          <w:szCs w:val="20"/>
        </w:rPr>
        <w:t>Staff</w:t>
      </w:r>
      <w:r w:rsidR="009E3257">
        <w:rPr>
          <w:rFonts w:ascii="Times New Roman" w:hAnsi="Times New Roman"/>
          <w:sz w:val="20"/>
          <w:szCs w:val="20"/>
        </w:rPr>
        <w:t xml:space="preserve"> believe</w:t>
      </w:r>
      <w:r w:rsidR="00F045E4">
        <w:rPr>
          <w:rFonts w:ascii="Times New Roman" w:hAnsi="Times New Roman"/>
          <w:sz w:val="20"/>
          <w:szCs w:val="20"/>
        </w:rPr>
        <w:t>s</w:t>
      </w:r>
      <w:r w:rsidR="009E3257">
        <w:rPr>
          <w:rFonts w:ascii="Times New Roman" w:hAnsi="Times New Roman"/>
          <w:sz w:val="20"/>
          <w:szCs w:val="20"/>
        </w:rPr>
        <w:t xml:space="preserve"> that removing the </w:t>
      </w:r>
      <w:r w:rsidR="009E3257">
        <w:rPr>
          <w:rFonts w:ascii="Times New Roman" w:hAnsi="Times New Roman"/>
          <w:i/>
          <w:sz w:val="20"/>
          <w:szCs w:val="20"/>
        </w:rPr>
        <w:t>Weekday Open Fraction</w:t>
      </w:r>
      <w:r w:rsidR="009E3257">
        <w:rPr>
          <w:rFonts w:ascii="Times New Roman" w:hAnsi="Times New Roman"/>
          <w:sz w:val="20"/>
          <w:szCs w:val="20"/>
        </w:rPr>
        <w:t xml:space="preserve"> would like result in overestimation of savings for the non-cove</w:t>
      </w:r>
      <w:r w:rsidR="00640229">
        <w:rPr>
          <w:rFonts w:ascii="Times New Roman" w:hAnsi="Times New Roman"/>
          <w:sz w:val="20"/>
          <w:szCs w:val="20"/>
        </w:rPr>
        <w:t xml:space="preserve">red DEER building types. Savings for the covered DEER building types were developed for the 2005 version of DEER through a modeling approach. This approach is fully described in the 2005 DEER documentation. The DEER approach assumes that, for all building types, not all areas of the building would benefit from the installation of occupancy sensors. For example, </w:t>
      </w:r>
      <w:r w:rsidR="00F045E4">
        <w:rPr>
          <w:rFonts w:ascii="Times New Roman" w:hAnsi="Times New Roman"/>
          <w:sz w:val="20"/>
          <w:szCs w:val="20"/>
        </w:rPr>
        <w:t>it is assumed for</w:t>
      </w:r>
      <w:r w:rsidR="00640229">
        <w:rPr>
          <w:rFonts w:ascii="Times New Roman" w:hAnsi="Times New Roman"/>
          <w:sz w:val="20"/>
          <w:szCs w:val="20"/>
        </w:rPr>
        <w:t xml:space="preserve"> office buildings that no savings from occupa</w:t>
      </w:r>
      <w:r w:rsidR="00F045E4">
        <w:rPr>
          <w:rFonts w:ascii="Times New Roman" w:hAnsi="Times New Roman"/>
          <w:sz w:val="20"/>
          <w:szCs w:val="20"/>
        </w:rPr>
        <w:t xml:space="preserve">ncy sensors would occur in the </w:t>
      </w:r>
      <w:r w:rsidR="00640229">
        <w:rPr>
          <w:rFonts w:ascii="Times New Roman" w:hAnsi="Times New Roman"/>
          <w:sz w:val="20"/>
          <w:szCs w:val="20"/>
        </w:rPr>
        <w:t>lobby. In schools, no savings would occur in maintenance shops, kitchens or corridors.</w:t>
      </w:r>
      <w:r w:rsidR="00F045E4">
        <w:rPr>
          <w:rFonts w:ascii="Times New Roman" w:hAnsi="Times New Roman"/>
          <w:sz w:val="20"/>
          <w:szCs w:val="20"/>
        </w:rPr>
        <w:t xml:space="preserve"> </w:t>
      </w:r>
    </w:p>
    <w:p w:rsidR="005740CE" w:rsidRDefault="005740CE" w:rsidP="008C5340">
      <w:pPr>
        <w:pBdr>
          <w:top w:val="single" w:sz="4" w:space="1" w:color="auto"/>
          <w:left w:val="single" w:sz="4" w:space="4" w:color="auto"/>
          <w:bottom w:val="single" w:sz="4" w:space="1" w:color="auto"/>
          <w:right w:val="single" w:sz="4" w:space="4" w:color="auto"/>
          <w:bar w:val="single" w:sz="4" w:color="auto"/>
        </w:pBdr>
        <w:tabs>
          <w:tab w:val="left" w:pos="1620"/>
        </w:tabs>
        <w:spacing w:after="120"/>
        <w:ind w:left="1080" w:right="1080"/>
        <w:rPr>
          <w:rFonts w:ascii="Times New Roman" w:hAnsi="Times New Roman"/>
          <w:sz w:val="20"/>
          <w:szCs w:val="20"/>
        </w:rPr>
      </w:pPr>
      <w:r>
        <w:rPr>
          <w:rFonts w:ascii="Times New Roman" w:hAnsi="Times New Roman"/>
          <w:sz w:val="20"/>
          <w:szCs w:val="20"/>
        </w:rPr>
        <w:t xml:space="preserve">In response to this concern, the </w:t>
      </w:r>
      <w:proofErr w:type="spellStart"/>
      <w:r>
        <w:rPr>
          <w:rFonts w:ascii="Times New Roman" w:hAnsi="Times New Roman"/>
          <w:sz w:val="20"/>
          <w:szCs w:val="20"/>
        </w:rPr>
        <w:t>ex ante</w:t>
      </w:r>
      <w:proofErr w:type="spellEnd"/>
      <w:r>
        <w:rPr>
          <w:rFonts w:ascii="Times New Roman" w:hAnsi="Times New Roman"/>
          <w:sz w:val="20"/>
          <w:szCs w:val="20"/>
        </w:rPr>
        <w:t xml:space="preserve"> review team developed a spreadsheet that calculates the overall building demand impact of occupancy sensors, for buildings not currently in DEER, that is similar to the approach used for DEER savings. The general approach is to weight together, across a single building type, the peak schedules and connected lighting loads, to determine a whole building peak direct impact peak reduction. The analysis shows that, for some building types, applying the “weekday open fraction” significantly underestimates peak demand impacts. However, there </w:t>
      </w:r>
      <w:proofErr w:type="gramStart"/>
      <w:r>
        <w:rPr>
          <w:rFonts w:ascii="Times New Roman" w:hAnsi="Times New Roman"/>
          <w:sz w:val="20"/>
          <w:szCs w:val="20"/>
        </w:rPr>
        <w:t>are</w:t>
      </w:r>
      <w:proofErr w:type="gramEnd"/>
      <w:r>
        <w:rPr>
          <w:rFonts w:ascii="Times New Roman" w:hAnsi="Times New Roman"/>
          <w:sz w:val="20"/>
          <w:szCs w:val="20"/>
        </w:rPr>
        <w:t xml:space="preserve"> some building types for which the new method results in lower demand impacts than were previously published in the disposition. The full development of the peak demand savings is included in the workbook “</w:t>
      </w:r>
      <w:r w:rsidRPr="00B16EB2">
        <w:rPr>
          <w:rFonts w:ascii="Times New Roman" w:hAnsi="Times New Roman"/>
          <w:sz w:val="20"/>
          <w:szCs w:val="20"/>
        </w:rPr>
        <w:t>DEER2005+2008-EFLH+CDF+OccSensor_September2013-v2a.xlsx</w:t>
      </w:r>
      <w:r>
        <w:rPr>
          <w:rFonts w:ascii="Times New Roman" w:hAnsi="Times New Roman"/>
          <w:sz w:val="20"/>
          <w:szCs w:val="20"/>
        </w:rPr>
        <w:t>”.</w:t>
      </w:r>
    </w:p>
    <w:p w:rsidR="005740CE" w:rsidRDefault="005740CE" w:rsidP="005740CE">
      <w:pPr>
        <w:pBdr>
          <w:top w:val="single" w:sz="4" w:space="1" w:color="auto"/>
          <w:left w:val="single" w:sz="4" w:space="4" w:color="auto"/>
          <w:bottom w:val="single" w:sz="4" w:space="1" w:color="auto"/>
          <w:right w:val="single" w:sz="4" w:space="4" w:color="auto"/>
          <w:bar w:val="single" w:sz="4" w:color="auto"/>
        </w:pBdr>
        <w:spacing w:after="0"/>
        <w:ind w:left="1080" w:right="1080"/>
        <w:rPr>
          <w:rFonts w:ascii="Times New Roman" w:hAnsi="Times New Roman"/>
          <w:sz w:val="20"/>
          <w:szCs w:val="20"/>
        </w:rPr>
      </w:pPr>
      <w:r>
        <w:rPr>
          <w:rFonts w:ascii="Times New Roman" w:hAnsi="Times New Roman"/>
          <w:b/>
          <w:sz w:val="20"/>
          <w:szCs w:val="20"/>
          <w:u w:val="single"/>
        </w:rPr>
        <w:t>Ex Ante Savings Table Format</w:t>
      </w:r>
    </w:p>
    <w:p w:rsidR="002A1DE4" w:rsidRPr="00A873BF" w:rsidRDefault="005740CE" w:rsidP="008C5340">
      <w:pPr>
        <w:pBdr>
          <w:top w:val="single" w:sz="4" w:space="1" w:color="auto"/>
          <w:left w:val="single" w:sz="4" w:space="4" w:color="auto"/>
          <w:bottom w:val="single" w:sz="4" w:space="1" w:color="auto"/>
          <w:right w:val="single" w:sz="4" w:space="4" w:color="auto"/>
          <w:bar w:val="single" w:sz="4" w:color="auto"/>
        </w:pBdr>
        <w:spacing w:after="0"/>
        <w:ind w:left="1080" w:right="1080"/>
        <w:rPr>
          <w:rFonts w:ascii="Times New Roman" w:hAnsi="Times New Roman"/>
          <w:sz w:val="20"/>
          <w:szCs w:val="20"/>
        </w:rPr>
      </w:pPr>
      <w:r>
        <w:rPr>
          <w:rFonts w:ascii="Times New Roman" w:hAnsi="Times New Roman"/>
          <w:sz w:val="20"/>
          <w:szCs w:val="20"/>
        </w:rPr>
        <w:t xml:space="preserve">Utilities requested that the table of energy savings ex ante values included in the disposition be revised to match the format of ex ante values included with READI. The ex ante review team has updated the savings table to match the READI format. The revised table is included in the ex ante workbook, </w:t>
      </w:r>
      <w:r>
        <w:rPr>
          <w:rFonts w:ascii="Times New Roman" w:hAnsi="Times New Roman"/>
          <w:sz w:val="20"/>
          <w:szCs w:val="20"/>
        </w:rPr>
        <w:lastRenderedPageBreak/>
        <w:t>“</w:t>
      </w:r>
      <w:r w:rsidRPr="005740CE">
        <w:rPr>
          <w:rFonts w:ascii="Times New Roman" w:hAnsi="Times New Roman"/>
          <w:sz w:val="20"/>
          <w:szCs w:val="20"/>
        </w:rPr>
        <w:t>Occ_Sens_Savings_Revised_6September2013.xlsx</w:t>
      </w:r>
      <w:r>
        <w:rPr>
          <w:rFonts w:ascii="Times New Roman" w:hAnsi="Times New Roman"/>
          <w:sz w:val="20"/>
          <w:szCs w:val="20"/>
        </w:rPr>
        <w:t>”, embedded at the end of this disposition.</w:t>
      </w:r>
    </w:p>
    <w:p w:rsidR="002A1DE4" w:rsidRPr="00E62BBF" w:rsidRDefault="002A1DE4" w:rsidP="00794019"/>
    <w:p w:rsidR="00794019" w:rsidRPr="00E534A2" w:rsidRDefault="00794019" w:rsidP="00A873BF">
      <w:pPr>
        <w:keepNext/>
      </w:pPr>
      <w:r>
        <w:t xml:space="preserve">Refer to </w:t>
      </w:r>
      <w:r w:rsidR="00275AEF">
        <w:fldChar w:fldCharType="begin"/>
      </w:r>
      <w:r>
        <w:instrText xml:space="preserve"> REF _Ref324175084 \h </w:instrText>
      </w:r>
      <w:r w:rsidR="00275AEF">
        <w:fldChar w:fldCharType="separate"/>
      </w:r>
      <w:r w:rsidRPr="00E534A2">
        <w:t xml:space="preserve">Table </w:t>
      </w:r>
      <w:r>
        <w:rPr>
          <w:noProof/>
        </w:rPr>
        <w:t>1</w:t>
      </w:r>
      <w:r w:rsidR="00275AEF">
        <w:fldChar w:fldCharType="end"/>
      </w:r>
      <w:r>
        <w:t xml:space="preserve"> for a list of currently submitted IOU </w:t>
      </w:r>
      <w:proofErr w:type="spellStart"/>
      <w:r>
        <w:t>workpapers</w:t>
      </w:r>
      <w:proofErr w:type="spellEnd"/>
      <w:r>
        <w:t xml:space="preserve"> </w:t>
      </w:r>
      <w:r w:rsidR="00FF188F">
        <w:t xml:space="preserve">that cover </w:t>
      </w:r>
      <w:r w:rsidR="00973488">
        <w:t xml:space="preserve">lighting </w:t>
      </w:r>
      <w:r w:rsidR="00D3659A">
        <w:t xml:space="preserve">occupancy sensor </w:t>
      </w:r>
      <w:r w:rsidR="00973488">
        <w:t>control</w:t>
      </w:r>
      <w:r w:rsidR="00D3659A">
        <w:t>s</w:t>
      </w:r>
      <w:r w:rsidR="00973488">
        <w:t>.</w:t>
      </w:r>
    </w:p>
    <w:p w:rsidR="00794019" w:rsidRPr="00E534A2" w:rsidRDefault="00794019" w:rsidP="00A873BF">
      <w:pPr>
        <w:pStyle w:val="Caption"/>
        <w:keepNext/>
        <w:rPr>
          <w:sz w:val="22"/>
          <w:szCs w:val="22"/>
        </w:rPr>
      </w:pPr>
      <w:bookmarkStart w:id="1" w:name="_Ref324175084"/>
      <w:r w:rsidRPr="00E534A2">
        <w:rPr>
          <w:sz w:val="22"/>
          <w:szCs w:val="22"/>
        </w:rPr>
        <w:t xml:space="preserve">Table </w:t>
      </w:r>
      <w:r w:rsidR="00275AEF">
        <w:rPr>
          <w:sz w:val="22"/>
          <w:szCs w:val="22"/>
        </w:rPr>
        <w:fldChar w:fldCharType="begin"/>
      </w:r>
      <w:r>
        <w:rPr>
          <w:sz w:val="22"/>
          <w:szCs w:val="22"/>
        </w:rPr>
        <w:instrText xml:space="preserve"> SEQ Table \* ARABIC </w:instrText>
      </w:r>
      <w:r w:rsidR="00275AEF">
        <w:rPr>
          <w:sz w:val="22"/>
          <w:szCs w:val="22"/>
        </w:rPr>
        <w:fldChar w:fldCharType="separate"/>
      </w:r>
      <w:r w:rsidR="00575351">
        <w:rPr>
          <w:noProof/>
          <w:sz w:val="22"/>
          <w:szCs w:val="22"/>
        </w:rPr>
        <w:t>1</w:t>
      </w:r>
      <w:r w:rsidR="00275AEF">
        <w:rPr>
          <w:sz w:val="22"/>
          <w:szCs w:val="22"/>
        </w:rPr>
        <w:fldChar w:fldCharType="end"/>
      </w:r>
      <w:bookmarkEnd w:id="1"/>
      <w:r w:rsidR="00B512B1">
        <w:rPr>
          <w:sz w:val="22"/>
          <w:szCs w:val="22"/>
        </w:rPr>
        <w:t xml:space="preserve"> – </w:t>
      </w:r>
      <w:r w:rsidR="00973488">
        <w:rPr>
          <w:sz w:val="22"/>
          <w:szCs w:val="22"/>
        </w:rPr>
        <w:t xml:space="preserve">Lighting Control </w:t>
      </w:r>
      <w:proofErr w:type="spellStart"/>
      <w:r w:rsidR="00973488">
        <w:rPr>
          <w:sz w:val="22"/>
          <w:szCs w:val="22"/>
        </w:rPr>
        <w:t>Workpapers</w:t>
      </w:r>
      <w:proofErr w:type="spellEnd"/>
    </w:p>
    <w:tbl>
      <w:tblPr>
        <w:tblW w:w="9285"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56"/>
        <w:gridCol w:w="5412"/>
        <w:gridCol w:w="1617"/>
      </w:tblGrid>
      <w:tr w:rsidR="00794019" w:rsidRPr="008E6B1C" w:rsidTr="00973488">
        <w:trPr>
          <w:trHeight w:val="287"/>
        </w:trPr>
        <w:tc>
          <w:tcPr>
            <w:tcW w:w="2256" w:type="dxa"/>
          </w:tcPr>
          <w:p w:rsidR="00794019" w:rsidRPr="008E6B1C" w:rsidRDefault="00794019" w:rsidP="00A873BF">
            <w:pPr>
              <w:keepNext/>
              <w:spacing w:after="0" w:line="240" w:lineRule="auto"/>
              <w:rPr>
                <w:b/>
              </w:rPr>
            </w:pPr>
            <w:r w:rsidRPr="008E6B1C">
              <w:rPr>
                <w:b/>
              </w:rPr>
              <w:t>Workpaper ID</w:t>
            </w:r>
          </w:p>
        </w:tc>
        <w:tc>
          <w:tcPr>
            <w:tcW w:w="5412" w:type="dxa"/>
          </w:tcPr>
          <w:p w:rsidR="00794019" w:rsidRPr="008E6B1C" w:rsidRDefault="00794019" w:rsidP="00A873BF">
            <w:pPr>
              <w:keepNext/>
              <w:spacing w:after="0" w:line="240" w:lineRule="auto"/>
              <w:rPr>
                <w:b/>
              </w:rPr>
            </w:pPr>
            <w:r w:rsidRPr="008E6B1C">
              <w:rPr>
                <w:b/>
              </w:rPr>
              <w:t>Workpaper Title</w:t>
            </w:r>
          </w:p>
        </w:tc>
        <w:tc>
          <w:tcPr>
            <w:tcW w:w="1617" w:type="dxa"/>
          </w:tcPr>
          <w:p w:rsidR="00794019" w:rsidRPr="008E6B1C" w:rsidRDefault="00B512B1" w:rsidP="00A873BF">
            <w:pPr>
              <w:keepNext/>
              <w:spacing w:after="0" w:line="240" w:lineRule="auto"/>
              <w:rPr>
                <w:b/>
              </w:rPr>
            </w:pPr>
            <w:r>
              <w:rPr>
                <w:b/>
              </w:rPr>
              <w:t>Date</w:t>
            </w:r>
          </w:p>
        </w:tc>
      </w:tr>
      <w:tr w:rsidR="00794019" w:rsidRPr="008E6B1C" w:rsidTr="00973488">
        <w:trPr>
          <w:trHeight w:val="276"/>
        </w:trPr>
        <w:tc>
          <w:tcPr>
            <w:tcW w:w="2256" w:type="dxa"/>
            <w:tcBorders>
              <w:right w:val="nil"/>
            </w:tcBorders>
            <w:shd w:val="pct25" w:color="auto" w:fill="auto"/>
          </w:tcPr>
          <w:p w:rsidR="00794019" w:rsidRPr="008E6B1C" w:rsidRDefault="00794019" w:rsidP="00A873BF">
            <w:pPr>
              <w:keepNext/>
              <w:spacing w:after="0" w:line="240" w:lineRule="auto"/>
              <w:rPr>
                <w:b/>
              </w:rPr>
            </w:pPr>
            <w:r w:rsidRPr="008E6B1C">
              <w:rPr>
                <w:b/>
              </w:rPr>
              <w:t>SDG&amp;E</w:t>
            </w:r>
          </w:p>
        </w:tc>
        <w:tc>
          <w:tcPr>
            <w:tcW w:w="5412" w:type="dxa"/>
            <w:tcBorders>
              <w:top w:val="single" w:sz="4" w:space="0" w:color="auto"/>
              <w:left w:val="nil"/>
              <w:right w:val="nil"/>
            </w:tcBorders>
            <w:shd w:val="pct25" w:color="auto" w:fill="auto"/>
          </w:tcPr>
          <w:p w:rsidR="00794019" w:rsidRPr="008E6B1C" w:rsidRDefault="00794019" w:rsidP="00A873BF">
            <w:pPr>
              <w:keepNext/>
              <w:spacing w:after="0" w:line="240" w:lineRule="auto"/>
            </w:pPr>
          </w:p>
        </w:tc>
        <w:tc>
          <w:tcPr>
            <w:tcW w:w="1617" w:type="dxa"/>
            <w:tcBorders>
              <w:left w:val="nil"/>
            </w:tcBorders>
            <w:shd w:val="pct25" w:color="auto" w:fill="auto"/>
          </w:tcPr>
          <w:p w:rsidR="00794019" w:rsidRPr="008E6B1C" w:rsidRDefault="00794019" w:rsidP="00A873BF">
            <w:pPr>
              <w:keepNext/>
              <w:spacing w:after="0" w:line="240" w:lineRule="auto"/>
              <w:jc w:val="right"/>
            </w:pPr>
          </w:p>
        </w:tc>
      </w:tr>
      <w:tr w:rsidR="00794019" w:rsidRPr="008E6B1C" w:rsidTr="00973488">
        <w:trPr>
          <w:trHeight w:val="296"/>
        </w:trPr>
        <w:tc>
          <w:tcPr>
            <w:tcW w:w="2256" w:type="dxa"/>
          </w:tcPr>
          <w:p w:rsidR="00794019" w:rsidRPr="008E6B1C" w:rsidRDefault="00973488" w:rsidP="00A873BF">
            <w:pPr>
              <w:keepNext/>
              <w:spacing w:after="0" w:line="240" w:lineRule="auto"/>
            </w:pPr>
            <w:r w:rsidRPr="00973488">
              <w:t>WPSCNRLG0016</w:t>
            </w:r>
          </w:p>
        </w:tc>
        <w:tc>
          <w:tcPr>
            <w:tcW w:w="5412" w:type="dxa"/>
          </w:tcPr>
          <w:p w:rsidR="00794019" w:rsidRPr="008E6B1C" w:rsidRDefault="00973488" w:rsidP="00A873BF">
            <w:pPr>
              <w:keepNext/>
              <w:spacing w:after="0" w:line="240" w:lineRule="auto"/>
            </w:pPr>
            <w:r w:rsidRPr="00973488">
              <w:t>Occupancy Sensors: Wall or Ceiling Mounted</w:t>
            </w:r>
          </w:p>
        </w:tc>
        <w:tc>
          <w:tcPr>
            <w:tcW w:w="1617" w:type="dxa"/>
          </w:tcPr>
          <w:p w:rsidR="00794019" w:rsidRPr="008E6B1C" w:rsidRDefault="00973488" w:rsidP="00A873BF">
            <w:pPr>
              <w:keepNext/>
              <w:spacing w:after="0" w:line="240" w:lineRule="auto"/>
              <w:jc w:val="right"/>
            </w:pPr>
            <w:r>
              <w:t>06/5/2012</w:t>
            </w:r>
          </w:p>
        </w:tc>
      </w:tr>
      <w:tr w:rsidR="00081C45" w:rsidRPr="008E6B1C" w:rsidTr="00973488">
        <w:trPr>
          <w:trHeight w:val="276"/>
        </w:trPr>
        <w:tc>
          <w:tcPr>
            <w:tcW w:w="2256" w:type="dxa"/>
            <w:tcBorders>
              <w:right w:val="nil"/>
            </w:tcBorders>
            <w:shd w:val="clear" w:color="auto" w:fill="BFBFBF"/>
          </w:tcPr>
          <w:p w:rsidR="00081C45" w:rsidRPr="008E6B1C" w:rsidRDefault="00081C45" w:rsidP="001E7828">
            <w:pPr>
              <w:keepNext/>
              <w:spacing w:after="0" w:line="240" w:lineRule="auto"/>
              <w:rPr>
                <w:b/>
              </w:rPr>
            </w:pPr>
            <w:r w:rsidRPr="008E6B1C">
              <w:rPr>
                <w:b/>
              </w:rPr>
              <w:t>SCE</w:t>
            </w:r>
          </w:p>
        </w:tc>
        <w:tc>
          <w:tcPr>
            <w:tcW w:w="5412" w:type="dxa"/>
            <w:tcBorders>
              <w:left w:val="nil"/>
              <w:right w:val="nil"/>
            </w:tcBorders>
            <w:shd w:val="clear" w:color="auto" w:fill="BFBFBF"/>
          </w:tcPr>
          <w:p w:rsidR="00081C45" w:rsidRPr="008E6B1C" w:rsidRDefault="00081C45" w:rsidP="001E7828">
            <w:pPr>
              <w:keepNext/>
              <w:spacing w:after="0" w:line="240" w:lineRule="auto"/>
            </w:pPr>
          </w:p>
        </w:tc>
        <w:tc>
          <w:tcPr>
            <w:tcW w:w="1617" w:type="dxa"/>
            <w:tcBorders>
              <w:left w:val="nil"/>
            </w:tcBorders>
            <w:shd w:val="clear" w:color="auto" w:fill="BFBFBF"/>
          </w:tcPr>
          <w:p w:rsidR="00081C45" w:rsidRPr="008E6B1C" w:rsidRDefault="00081C45" w:rsidP="001E7828">
            <w:pPr>
              <w:keepNext/>
              <w:spacing w:after="0" w:line="240" w:lineRule="auto"/>
            </w:pPr>
          </w:p>
        </w:tc>
      </w:tr>
      <w:tr w:rsidR="00081C45" w:rsidRPr="008E6B1C" w:rsidTr="00973488">
        <w:trPr>
          <w:trHeight w:val="276"/>
        </w:trPr>
        <w:tc>
          <w:tcPr>
            <w:tcW w:w="2256" w:type="dxa"/>
          </w:tcPr>
          <w:p w:rsidR="00081C45" w:rsidRPr="008E6B1C" w:rsidRDefault="00973488" w:rsidP="001E7828">
            <w:pPr>
              <w:keepNext/>
              <w:spacing w:after="0" w:line="240" w:lineRule="auto"/>
            </w:pPr>
            <w:r w:rsidRPr="00973488">
              <w:t>SCE13LG076</w:t>
            </w:r>
          </w:p>
        </w:tc>
        <w:tc>
          <w:tcPr>
            <w:tcW w:w="5412" w:type="dxa"/>
          </w:tcPr>
          <w:p w:rsidR="00081C45" w:rsidRPr="008E6B1C" w:rsidRDefault="00973488" w:rsidP="001E7828">
            <w:pPr>
              <w:keepNext/>
              <w:spacing w:after="0" w:line="240" w:lineRule="auto"/>
            </w:pPr>
            <w:r w:rsidRPr="00973488">
              <w:t>Integrated Linear Fluorescent Occupancy Sensor</w:t>
            </w:r>
          </w:p>
        </w:tc>
        <w:tc>
          <w:tcPr>
            <w:tcW w:w="1617" w:type="dxa"/>
          </w:tcPr>
          <w:p w:rsidR="00081C45" w:rsidRPr="008E6B1C" w:rsidRDefault="00973488" w:rsidP="001E7828">
            <w:pPr>
              <w:keepNext/>
              <w:spacing w:after="0" w:line="240" w:lineRule="auto"/>
              <w:jc w:val="right"/>
            </w:pPr>
            <w:r>
              <w:t>05/24/2012</w:t>
            </w:r>
          </w:p>
        </w:tc>
      </w:tr>
      <w:tr w:rsidR="00973488" w:rsidRPr="008E6B1C" w:rsidTr="00973488">
        <w:trPr>
          <w:trHeight w:val="276"/>
        </w:trPr>
        <w:tc>
          <w:tcPr>
            <w:tcW w:w="2256" w:type="dxa"/>
          </w:tcPr>
          <w:p w:rsidR="00973488" w:rsidRPr="00973488" w:rsidRDefault="00973488" w:rsidP="001E7828">
            <w:pPr>
              <w:keepNext/>
              <w:spacing w:after="0" w:line="240" w:lineRule="auto"/>
            </w:pPr>
            <w:r w:rsidRPr="00973488">
              <w:t>SCE13LG025</w:t>
            </w:r>
          </w:p>
        </w:tc>
        <w:tc>
          <w:tcPr>
            <w:tcW w:w="5412" w:type="dxa"/>
          </w:tcPr>
          <w:p w:rsidR="00973488" w:rsidRPr="00973488" w:rsidRDefault="00973488" w:rsidP="001E7828">
            <w:pPr>
              <w:keepNext/>
              <w:spacing w:after="0" w:line="240" w:lineRule="auto"/>
            </w:pPr>
            <w:r w:rsidRPr="00973488">
              <w:t>Occupancy Sensors, Wall or Ceiling Mounted</w:t>
            </w:r>
          </w:p>
        </w:tc>
        <w:tc>
          <w:tcPr>
            <w:tcW w:w="1617" w:type="dxa"/>
          </w:tcPr>
          <w:p w:rsidR="00973488" w:rsidRDefault="00973488" w:rsidP="001E7828">
            <w:pPr>
              <w:keepNext/>
              <w:spacing w:after="0" w:line="240" w:lineRule="auto"/>
              <w:jc w:val="right"/>
            </w:pPr>
            <w:r>
              <w:t>04/10/2012</w:t>
            </w:r>
          </w:p>
        </w:tc>
      </w:tr>
      <w:tr w:rsidR="00973488" w:rsidRPr="008E6B1C" w:rsidTr="00973488">
        <w:trPr>
          <w:trHeight w:val="276"/>
        </w:trPr>
        <w:tc>
          <w:tcPr>
            <w:tcW w:w="2256" w:type="dxa"/>
          </w:tcPr>
          <w:p w:rsidR="00973488" w:rsidRPr="00973488" w:rsidRDefault="00973488" w:rsidP="001E7828">
            <w:pPr>
              <w:keepNext/>
              <w:spacing w:after="0" w:line="240" w:lineRule="auto"/>
            </w:pPr>
            <w:r w:rsidRPr="00973488">
              <w:t>SCE13LG107</w:t>
            </w:r>
          </w:p>
        </w:tc>
        <w:tc>
          <w:tcPr>
            <w:tcW w:w="5412" w:type="dxa"/>
          </w:tcPr>
          <w:p w:rsidR="00973488" w:rsidRPr="00973488" w:rsidRDefault="00973488" w:rsidP="001E7828">
            <w:pPr>
              <w:keepNext/>
              <w:spacing w:after="0" w:line="240" w:lineRule="auto"/>
            </w:pPr>
            <w:r w:rsidRPr="00973488">
              <w:t>Battery- and Self-Powered Wireless Occupancy Sensors – Ceiling or Wall Mounted</w:t>
            </w:r>
          </w:p>
        </w:tc>
        <w:tc>
          <w:tcPr>
            <w:tcW w:w="1617" w:type="dxa"/>
          </w:tcPr>
          <w:p w:rsidR="00973488" w:rsidRDefault="00973488" w:rsidP="001E7828">
            <w:pPr>
              <w:keepNext/>
              <w:spacing w:after="0" w:line="240" w:lineRule="auto"/>
              <w:jc w:val="right"/>
            </w:pPr>
            <w:r>
              <w:t>04/12/2012</w:t>
            </w:r>
          </w:p>
        </w:tc>
      </w:tr>
      <w:tr w:rsidR="00973488" w:rsidRPr="008E6B1C" w:rsidTr="00973488">
        <w:trPr>
          <w:trHeight w:val="276"/>
        </w:trPr>
        <w:tc>
          <w:tcPr>
            <w:tcW w:w="2256" w:type="dxa"/>
          </w:tcPr>
          <w:p w:rsidR="00973488" w:rsidRPr="00973488" w:rsidRDefault="00973488" w:rsidP="001E7828">
            <w:pPr>
              <w:keepNext/>
              <w:spacing w:after="0" w:line="240" w:lineRule="auto"/>
            </w:pPr>
            <w:r w:rsidRPr="00973488">
              <w:t>SCE13LG020</w:t>
            </w:r>
          </w:p>
        </w:tc>
        <w:tc>
          <w:tcPr>
            <w:tcW w:w="5412" w:type="dxa"/>
          </w:tcPr>
          <w:p w:rsidR="00973488" w:rsidRPr="00973488" w:rsidRDefault="00973488" w:rsidP="001E7828">
            <w:pPr>
              <w:keepNext/>
              <w:spacing w:after="0" w:line="240" w:lineRule="auto"/>
            </w:pPr>
            <w:r w:rsidRPr="00973488">
              <w:t>Wall Mounted Occupancy Sensors – Multifamily and Hospitality</w:t>
            </w:r>
          </w:p>
        </w:tc>
        <w:tc>
          <w:tcPr>
            <w:tcW w:w="1617" w:type="dxa"/>
          </w:tcPr>
          <w:p w:rsidR="00973488" w:rsidRDefault="00973488" w:rsidP="001E7828">
            <w:pPr>
              <w:keepNext/>
              <w:spacing w:after="0" w:line="240" w:lineRule="auto"/>
              <w:jc w:val="right"/>
            </w:pPr>
            <w:r>
              <w:t>04/25/2012</w:t>
            </w:r>
          </w:p>
        </w:tc>
      </w:tr>
      <w:tr w:rsidR="00081C45" w:rsidRPr="008E6B1C" w:rsidTr="00973488">
        <w:trPr>
          <w:trHeight w:val="276"/>
        </w:trPr>
        <w:tc>
          <w:tcPr>
            <w:tcW w:w="2256" w:type="dxa"/>
            <w:tcBorders>
              <w:right w:val="nil"/>
            </w:tcBorders>
            <w:shd w:val="pct25" w:color="auto" w:fill="auto"/>
          </w:tcPr>
          <w:p w:rsidR="00081C45" w:rsidRPr="008E6B1C" w:rsidRDefault="00081C45" w:rsidP="001E7828">
            <w:pPr>
              <w:keepNext/>
              <w:spacing w:after="0" w:line="240" w:lineRule="auto"/>
              <w:rPr>
                <w:b/>
              </w:rPr>
            </w:pPr>
            <w:r w:rsidRPr="008E6B1C">
              <w:rPr>
                <w:b/>
              </w:rPr>
              <w:t>PG&amp;E</w:t>
            </w:r>
          </w:p>
        </w:tc>
        <w:tc>
          <w:tcPr>
            <w:tcW w:w="5412" w:type="dxa"/>
            <w:tcBorders>
              <w:left w:val="nil"/>
              <w:right w:val="nil"/>
            </w:tcBorders>
            <w:shd w:val="pct25" w:color="auto" w:fill="auto"/>
          </w:tcPr>
          <w:p w:rsidR="00081C45" w:rsidRPr="008E6B1C" w:rsidRDefault="00081C45" w:rsidP="001E7828">
            <w:pPr>
              <w:keepNext/>
              <w:spacing w:after="0" w:line="240" w:lineRule="auto"/>
            </w:pPr>
          </w:p>
        </w:tc>
        <w:tc>
          <w:tcPr>
            <w:tcW w:w="1617" w:type="dxa"/>
            <w:tcBorders>
              <w:left w:val="nil"/>
            </w:tcBorders>
            <w:shd w:val="pct25" w:color="auto" w:fill="auto"/>
          </w:tcPr>
          <w:p w:rsidR="00081C45" w:rsidRPr="008E6B1C" w:rsidRDefault="00081C45" w:rsidP="001E7828">
            <w:pPr>
              <w:keepNext/>
              <w:spacing w:after="0" w:line="240" w:lineRule="auto"/>
              <w:jc w:val="right"/>
            </w:pPr>
          </w:p>
        </w:tc>
      </w:tr>
      <w:tr w:rsidR="00081C45" w:rsidRPr="008E6B1C" w:rsidTr="00973488">
        <w:trPr>
          <w:trHeight w:val="276"/>
        </w:trPr>
        <w:tc>
          <w:tcPr>
            <w:tcW w:w="2256" w:type="dxa"/>
          </w:tcPr>
          <w:p w:rsidR="00081C45" w:rsidRPr="008E6B1C" w:rsidRDefault="00973488" w:rsidP="001E7828">
            <w:pPr>
              <w:keepNext/>
              <w:spacing w:after="0" w:line="240" w:lineRule="auto"/>
            </w:pPr>
            <w:r w:rsidRPr="00973488">
              <w:t>PGECOLTG120</w:t>
            </w:r>
          </w:p>
        </w:tc>
        <w:tc>
          <w:tcPr>
            <w:tcW w:w="5412" w:type="dxa"/>
          </w:tcPr>
          <w:p w:rsidR="00081C45" w:rsidRPr="008E6B1C" w:rsidRDefault="00973488" w:rsidP="001E7828">
            <w:pPr>
              <w:keepNext/>
              <w:spacing w:after="0" w:line="240" w:lineRule="auto"/>
            </w:pPr>
            <w:r w:rsidRPr="00973488">
              <w:t>Wall or Ceiling Occupancy Sensors</w:t>
            </w:r>
          </w:p>
        </w:tc>
        <w:tc>
          <w:tcPr>
            <w:tcW w:w="1617" w:type="dxa"/>
          </w:tcPr>
          <w:p w:rsidR="00081C45" w:rsidRPr="008E6B1C" w:rsidRDefault="00973488" w:rsidP="001E7828">
            <w:pPr>
              <w:keepNext/>
              <w:spacing w:after="0" w:line="240" w:lineRule="auto"/>
              <w:jc w:val="right"/>
            </w:pPr>
            <w:r>
              <w:t>08/28/2012</w:t>
            </w:r>
          </w:p>
        </w:tc>
      </w:tr>
      <w:tr w:rsidR="00973488" w:rsidRPr="008E6B1C" w:rsidTr="00973488">
        <w:trPr>
          <w:trHeight w:val="276"/>
        </w:trPr>
        <w:tc>
          <w:tcPr>
            <w:tcW w:w="2256" w:type="dxa"/>
          </w:tcPr>
          <w:p w:rsidR="00973488" w:rsidRPr="00973488" w:rsidRDefault="00973488" w:rsidP="001E7828">
            <w:pPr>
              <w:keepNext/>
              <w:spacing w:after="0" w:line="240" w:lineRule="auto"/>
            </w:pPr>
            <w:r w:rsidRPr="00973488">
              <w:t>PGECOLTG134</w:t>
            </w:r>
          </w:p>
        </w:tc>
        <w:tc>
          <w:tcPr>
            <w:tcW w:w="5412" w:type="dxa"/>
          </w:tcPr>
          <w:p w:rsidR="00973488" w:rsidRPr="00973488" w:rsidRDefault="00973488" w:rsidP="00973488">
            <w:pPr>
              <w:keepNext/>
              <w:spacing w:after="0" w:line="240" w:lineRule="auto"/>
            </w:pPr>
            <w:r>
              <w:t>Fixture Integrated Occupancy Sensors – Fixtures ≥ 150 W</w:t>
            </w:r>
          </w:p>
        </w:tc>
        <w:tc>
          <w:tcPr>
            <w:tcW w:w="1617" w:type="dxa"/>
          </w:tcPr>
          <w:p w:rsidR="00973488" w:rsidRDefault="00973488" w:rsidP="001E7828">
            <w:pPr>
              <w:keepNext/>
              <w:spacing w:after="0" w:line="240" w:lineRule="auto"/>
              <w:jc w:val="right"/>
            </w:pPr>
            <w:r>
              <w:t>08/28/2012</w:t>
            </w:r>
          </w:p>
        </w:tc>
      </w:tr>
      <w:tr w:rsidR="00973488" w:rsidRPr="008E6B1C" w:rsidTr="00973488">
        <w:trPr>
          <w:trHeight w:val="276"/>
        </w:trPr>
        <w:tc>
          <w:tcPr>
            <w:tcW w:w="2256" w:type="dxa"/>
          </w:tcPr>
          <w:p w:rsidR="00973488" w:rsidRPr="00973488" w:rsidRDefault="00973488" w:rsidP="001E7828">
            <w:pPr>
              <w:keepNext/>
              <w:spacing w:after="0" w:line="240" w:lineRule="auto"/>
            </w:pPr>
            <w:r w:rsidRPr="00973488">
              <w:t>PGECOLTG135</w:t>
            </w:r>
          </w:p>
        </w:tc>
        <w:tc>
          <w:tcPr>
            <w:tcW w:w="5412" w:type="dxa"/>
          </w:tcPr>
          <w:p w:rsidR="00973488" w:rsidRDefault="00973488" w:rsidP="00973488">
            <w:pPr>
              <w:keepNext/>
              <w:spacing w:after="0" w:line="240" w:lineRule="auto"/>
            </w:pPr>
            <w:r>
              <w:t xml:space="preserve">Fixture Integrated Occupancy Sensors – Fixtures &lt;150 W  </w:t>
            </w:r>
          </w:p>
        </w:tc>
        <w:tc>
          <w:tcPr>
            <w:tcW w:w="1617" w:type="dxa"/>
          </w:tcPr>
          <w:p w:rsidR="00973488" w:rsidRDefault="00973488" w:rsidP="001E7828">
            <w:pPr>
              <w:keepNext/>
              <w:spacing w:after="0" w:line="240" w:lineRule="auto"/>
              <w:jc w:val="right"/>
            </w:pPr>
            <w:r>
              <w:t>08/28/2012</w:t>
            </w:r>
          </w:p>
        </w:tc>
      </w:tr>
      <w:tr w:rsidR="00973488" w:rsidRPr="008E6B1C" w:rsidTr="00973488">
        <w:trPr>
          <w:trHeight w:val="276"/>
        </w:trPr>
        <w:tc>
          <w:tcPr>
            <w:tcW w:w="2256" w:type="dxa"/>
          </w:tcPr>
          <w:p w:rsidR="00973488" w:rsidRPr="00973488" w:rsidRDefault="00973488" w:rsidP="001E7828">
            <w:pPr>
              <w:keepNext/>
              <w:spacing w:after="0" w:line="240" w:lineRule="auto"/>
            </w:pPr>
            <w:r w:rsidRPr="00973488">
              <w:t>PGECOLTG130</w:t>
            </w:r>
          </w:p>
        </w:tc>
        <w:tc>
          <w:tcPr>
            <w:tcW w:w="5412" w:type="dxa"/>
          </w:tcPr>
          <w:p w:rsidR="00973488" w:rsidRDefault="00973488" w:rsidP="00973488">
            <w:pPr>
              <w:keepNext/>
              <w:spacing w:after="0" w:line="240" w:lineRule="auto"/>
            </w:pPr>
            <w:r w:rsidRPr="00973488">
              <w:t>Occupancy Sensors: Multifamily (Wall-box)</w:t>
            </w:r>
          </w:p>
        </w:tc>
        <w:tc>
          <w:tcPr>
            <w:tcW w:w="1617" w:type="dxa"/>
          </w:tcPr>
          <w:p w:rsidR="00973488" w:rsidRDefault="00973488" w:rsidP="00973488">
            <w:pPr>
              <w:keepNext/>
              <w:spacing w:after="0" w:line="240" w:lineRule="auto"/>
              <w:jc w:val="right"/>
            </w:pPr>
            <w:r>
              <w:t>08/28/2012</w:t>
            </w:r>
          </w:p>
        </w:tc>
      </w:tr>
      <w:tr w:rsidR="00973488" w:rsidRPr="008E6B1C" w:rsidTr="00973488">
        <w:trPr>
          <w:trHeight w:val="276"/>
        </w:trPr>
        <w:tc>
          <w:tcPr>
            <w:tcW w:w="2256" w:type="dxa"/>
          </w:tcPr>
          <w:p w:rsidR="00973488" w:rsidRPr="00973488" w:rsidRDefault="00973488" w:rsidP="001E7828">
            <w:pPr>
              <w:keepNext/>
              <w:spacing w:after="0" w:line="240" w:lineRule="auto"/>
            </w:pPr>
            <w:r w:rsidRPr="00973488">
              <w:t>PGE3PLTG187</w:t>
            </w:r>
          </w:p>
        </w:tc>
        <w:tc>
          <w:tcPr>
            <w:tcW w:w="5412" w:type="dxa"/>
          </w:tcPr>
          <w:p w:rsidR="00973488" w:rsidRDefault="00973488" w:rsidP="00973488">
            <w:pPr>
              <w:keepNext/>
              <w:spacing w:after="0" w:line="240" w:lineRule="auto"/>
            </w:pPr>
            <w:r>
              <w:t xml:space="preserve">Fixture Integrated Occupancy Sensors – Fixtures &lt;150 W,  </w:t>
            </w:r>
          </w:p>
          <w:p w:rsidR="00973488" w:rsidRPr="00973488" w:rsidRDefault="00973488" w:rsidP="00973488">
            <w:pPr>
              <w:keepNext/>
              <w:spacing w:after="0" w:line="240" w:lineRule="auto"/>
            </w:pPr>
            <w:r>
              <w:t>Direct Install</w:t>
            </w:r>
          </w:p>
        </w:tc>
        <w:tc>
          <w:tcPr>
            <w:tcW w:w="1617" w:type="dxa"/>
          </w:tcPr>
          <w:p w:rsidR="00973488" w:rsidRDefault="00973488" w:rsidP="00973488">
            <w:pPr>
              <w:keepNext/>
              <w:spacing w:after="0" w:line="240" w:lineRule="auto"/>
              <w:jc w:val="right"/>
            </w:pPr>
            <w:r>
              <w:t>08/30/2012</w:t>
            </w:r>
          </w:p>
        </w:tc>
      </w:tr>
      <w:tr w:rsidR="00973488" w:rsidRPr="008E6B1C" w:rsidTr="00973488">
        <w:trPr>
          <w:trHeight w:val="276"/>
        </w:trPr>
        <w:tc>
          <w:tcPr>
            <w:tcW w:w="2256" w:type="dxa"/>
          </w:tcPr>
          <w:p w:rsidR="00973488" w:rsidRPr="00973488" w:rsidRDefault="00973488" w:rsidP="001E7828">
            <w:pPr>
              <w:keepNext/>
              <w:spacing w:after="0" w:line="240" w:lineRule="auto"/>
            </w:pPr>
            <w:r w:rsidRPr="00973488">
              <w:t>PGE3PLTG186</w:t>
            </w:r>
          </w:p>
        </w:tc>
        <w:tc>
          <w:tcPr>
            <w:tcW w:w="5412" w:type="dxa"/>
          </w:tcPr>
          <w:p w:rsidR="00973488" w:rsidRDefault="00973488" w:rsidP="00973488">
            <w:pPr>
              <w:keepNext/>
              <w:spacing w:after="0" w:line="240" w:lineRule="auto"/>
            </w:pPr>
            <w:r>
              <w:t xml:space="preserve">Fixture Integrated Occupancy Sensors – Fixtures ≥ 150 W,  </w:t>
            </w:r>
          </w:p>
          <w:p w:rsidR="00973488" w:rsidRDefault="00973488" w:rsidP="00973488">
            <w:pPr>
              <w:keepNext/>
              <w:spacing w:after="0" w:line="240" w:lineRule="auto"/>
            </w:pPr>
            <w:r>
              <w:t>Direct Install</w:t>
            </w:r>
          </w:p>
        </w:tc>
        <w:tc>
          <w:tcPr>
            <w:tcW w:w="1617" w:type="dxa"/>
          </w:tcPr>
          <w:p w:rsidR="00973488" w:rsidRDefault="00973488" w:rsidP="00973488">
            <w:pPr>
              <w:keepNext/>
              <w:spacing w:after="0" w:line="240" w:lineRule="auto"/>
              <w:jc w:val="right"/>
            </w:pPr>
            <w:r>
              <w:t>08/30/2012</w:t>
            </w:r>
          </w:p>
        </w:tc>
      </w:tr>
    </w:tbl>
    <w:p w:rsidR="00794019" w:rsidRDefault="00794019" w:rsidP="00794019">
      <w:pPr>
        <w:tabs>
          <w:tab w:val="left" w:pos="2520"/>
        </w:tabs>
      </w:pPr>
    </w:p>
    <w:p w:rsidR="0025457E" w:rsidRPr="00973488" w:rsidRDefault="0025457E" w:rsidP="00794019">
      <w:pPr>
        <w:tabs>
          <w:tab w:val="left" w:pos="2520"/>
        </w:tabs>
        <w:rPr>
          <w:b/>
          <w:u w:val="single"/>
        </w:rPr>
      </w:pPr>
      <w:r w:rsidRPr="00973488">
        <w:rPr>
          <w:b/>
          <w:u w:val="single"/>
        </w:rPr>
        <w:t xml:space="preserve">Workpaper </w:t>
      </w:r>
      <w:r w:rsidR="00721A99" w:rsidRPr="00973488">
        <w:rPr>
          <w:b/>
          <w:u w:val="single"/>
        </w:rPr>
        <w:t>Disposition</w:t>
      </w:r>
      <w:r w:rsidRPr="00973488">
        <w:rPr>
          <w:b/>
          <w:u w:val="single"/>
        </w:rPr>
        <w:t>:</w:t>
      </w:r>
    </w:p>
    <w:p w:rsidR="00827882" w:rsidRPr="00973488" w:rsidRDefault="00827882" w:rsidP="00827882">
      <w:pPr>
        <w:tabs>
          <w:tab w:val="left" w:pos="2520"/>
        </w:tabs>
      </w:pPr>
      <w:r w:rsidRPr="00973488">
        <w:rPr>
          <w:b/>
        </w:rPr>
        <w:t>Disposition</w:t>
      </w:r>
      <w:r w:rsidR="0096429F" w:rsidRPr="00973488">
        <w:rPr>
          <w:b/>
        </w:rPr>
        <w:t xml:space="preserve"> </w:t>
      </w:r>
      <w:r w:rsidRPr="00973488">
        <w:rPr>
          <w:b/>
        </w:rPr>
        <w:t>Summary</w:t>
      </w:r>
    </w:p>
    <w:p w:rsidR="009C141F" w:rsidRDefault="00827882" w:rsidP="00973488">
      <w:r w:rsidRPr="00973488">
        <w:t xml:space="preserve">Energy Division </w:t>
      </w:r>
      <w:r w:rsidR="00F2143C" w:rsidRPr="00973488">
        <w:t>staff recommends</w:t>
      </w:r>
      <w:r w:rsidRPr="00973488">
        <w:t xml:space="preserve"> the following revisions:</w:t>
      </w:r>
    </w:p>
    <w:p w:rsidR="0078683F" w:rsidRDefault="00D3659A" w:rsidP="0078683F">
      <w:pPr>
        <w:pStyle w:val="ListParagraph"/>
        <w:numPr>
          <w:ilvl w:val="0"/>
          <w:numId w:val="11"/>
        </w:numPr>
      </w:pPr>
      <w:r>
        <w:t xml:space="preserve">Savings values for the DEER measures D03-003 or D03-004 shall be used when available. Values are not available for all building types. Savings values for other building types shall be the values </w:t>
      </w:r>
      <w:r w:rsidR="009B1F0B">
        <w:t>specified in item 2, below.</w:t>
      </w:r>
    </w:p>
    <w:p w:rsidR="0078683F" w:rsidRDefault="009B1F0B" w:rsidP="0078683F">
      <w:pPr>
        <w:pStyle w:val="ListParagraph"/>
        <w:numPr>
          <w:ilvl w:val="0"/>
          <w:numId w:val="11"/>
        </w:numPr>
      </w:pPr>
      <w:r>
        <w:t>The attached workbook contains the savings values for all building types not covered in READI by DEER measures D03-003 or D03-004.</w:t>
      </w:r>
    </w:p>
    <w:p w:rsidR="0078683F" w:rsidRDefault="0078683F" w:rsidP="0078683F">
      <w:pPr>
        <w:pStyle w:val="ListParagraph"/>
        <w:ind w:left="0"/>
      </w:pPr>
    </w:p>
    <w:p w:rsidR="0078683F" w:rsidRDefault="0078683F" w:rsidP="009B1F0B">
      <w:pPr>
        <w:pStyle w:val="ListParagraph"/>
        <w:keepNext/>
        <w:ind w:left="0"/>
        <w:rPr>
          <w:b/>
        </w:rPr>
      </w:pPr>
      <w:r w:rsidRPr="0078683F">
        <w:rPr>
          <w:b/>
        </w:rPr>
        <w:lastRenderedPageBreak/>
        <w:t>Control Savings Estimation Summary</w:t>
      </w:r>
    </w:p>
    <w:p w:rsidR="00FE1DFD" w:rsidRDefault="009B1F0B" w:rsidP="00FE1DFD">
      <w:r>
        <w:t>Where not listed in DEER, occupancy sensor savings shall be calculated according to staff direction provided to PG&amp;E in review of the Modified Lighting Calculator</w:t>
      </w:r>
      <w:r>
        <w:rPr>
          <w:rStyle w:val="FootnoteReference"/>
        </w:rPr>
        <w:footnoteReference w:id="1"/>
      </w:r>
      <w:r>
        <w:t xml:space="preserve"> </w:t>
      </w:r>
      <w:r>
        <w:rPr>
          <w:rStyle w:val="FootnoteReference"/>
        </w:rPr>
        <w:footnoteReference w:id="2"/>
      </w:r>
      <w:r>
        <w:t>. This review document has been embedded in this disposition at the end of the document.</w:t>
      </w:r>
      <w:r w:rsidR="00AA662A">
        <w:t xml:space="preserve"> </w:t>
      </w:r>
      <w:r w:rsidR="00275AEF">
        <w:fldChar w:fldCharType="begin"/>
      </w:r>
      <w:r w:rsidR="00FE1DFD">
        <w:instrText xml:space="preserve"> REF _Ref349645795 \h </w:instrText>
      </w:r>
      <w:r w:rsidR="00275AEF">
        <w:fldChar w:fldCharType="separate"/>
      </w:r>
      <w:r w:rsidR="00575351">
        <w:t xml:space="preserve">Table </w:t>
      </w:r>
      <w:r w:rsidR="00575351">
        <w:rPr>
          <w:noProof/>
        </w:rPr>
        <w:t>3</w:t>
      </w:r>
      <w:r w:rsidR="00275AEF">
        <w:fldChar w:fldCharType="end"/>
      </w:r>
      <w:r w:rsidR="008D1477">
        <w:fldChar w:fldCharType="begin"/>
      </w:r>
      <w:r w:rsidR="008D1477">
        <w:instrText xml:space="preserve"> REF _Ref340769486  \* MERGEFORMAT </w:instrText>
      </w:r>
      <w:r w:rsidR="008D1477">
        <w:fldChar w:fldCharType="end"/>
      </w:r>
      <w:r w:rsidR="00FE1DFD" w:rsidRPr="00FE1DFD">
        <w:t xml:space="preserve"> </w:t>
      </w:r>
      <w:r w:rsidR="00AA662A">
        <w:t xml:space="preserve">is taken from the Modified Lighting Calculator Disposition and </w:t>
      </w:r>
      <w:r w:rsidR="00FE1DFD" w:rsidRPr="00FE1DFD">
        <w:t>list</w:t>
      </w:r>
      <w:r w:rsidR="00AA662A">
        <w:t>s</w:t>
      </w:r>
      <w:r w:rsidR="00FE1DFD" w:rsidRPr="00FE1DFD">
        <w:t xml:space="preserve"> </w:t>
      </w:r>
      <w:r w:rsidR="00AA662A">
        <w:t xml:space="preserve">the </w:t>
      </w:r>
      <w:r w:rsidR="00FE1DFD" w:rsidRPr="00FE1DFD">
        <w:t xml:space="preserve">DEER space types that are covered in the DEER occupancy sensor measures along with their lighting use reduction factors. </w:t>
      </w:r>
      <w:r w:rsidR="00275AEF">
        <w:fldChar w:fldCharType="begin"/>
      </w:r>
      <w:r w:rsidR="00FE1DFD">
        <w:instrText xml:space="preserve"> REF _Ref349645795 \h </w:instrText>
      </w:r>
      <w:r w:rsidR="00275AEF">
        <w:fldChar w:fldCharType="separate"/>
      </w:r>
      <w:r w:rsidR="00575351">
        <w:t xml:space="preserve">Table </w:t>
      </w:r>
      <w:r w:rsidR="00575351">
        <w:rPr>
          <w:noProof/>
        </w:rPr>
        <w:t>3</w:t>
      </w:r>
      <w:r w:rsidR="00275AEF">
        <w:fldChar w:fldCharType="end"/>
      </w:r>
      <w:r w:rsidR="00575351">
        <w:t xml:space="preserve"> </w:t>
      </w:r>
      <w:r w:rsidR="00AA662A">
        <w:t xml:space="preserve"> also includes </w:t>
      </w:r>
      <w:r w:rsidR="00FE1DFD" w:rsidRPr="00FE1DFD">
        <w:t xml:space="preserve">acceptable reduction factors for all other space types not covered by DEER. </w:t>
      </w:r>
    </w:p>
    <w:p w:rsidR="00FE1DFD" w:rsidRPr="00FE1DFD" w:rsidRDefault="00FE1DFD" w:rsidP="00FE1DFD">
      <w:r w:rsidRPr="00FE1DFD">
        <w:t xml:space="preserve">Demand direct impact reductions </w:t>
      </w:r>
      <w:r w:rsidR="00C946B4">
        <w:t>have been</w:t>
      </w:r>
      <w:r w:rsidRPr="00FE1DFD">
        <w:t xml:space="preserve"> determined by multiplying together the total usage reduction, the fraction of that reduction that occurs during the peak demand period and the DEER coincident demand factor for the DEER building type. </w:t>
      </w:r>
    </w:p>
    <w:p w:rsidR="00FE1DFD" w:rsidRDefault="00FE1DFD" w:rsidP="0078683F">
      <w:pPr>
        <w:pStyle w:val="ListParagraph"/>
        <w:ind w:left="0"/>
      </w:pPr>
      <w:r w:rsidRPr="00FE1DFD">
        <w:t>Occupancy sensor measures do have HVAC interactive effects, but DEER does not include interactive effects for occupancy sensor measures at this time. At this time, occupancy sensor measures shall use the DEER HVAC interactive effects for lighting power reductions.</w:t>
      </w:r>
    </w:p>
    <w:p w:rsidR="00575351" w:rsidRDefault="00575351" w:rsidP="0078683F">
      <w:pPr>
        <w:pStyle w:val="ListParagraph"/>
        <w:ind w:left="0"/>
      </w:pPr>
    </w:p>
    <w:p w:rsidR="00575351" w:rsidRDefault="00575351" w:rsidP="00575351">
      <w:pPr>
        <w:pStyle w:val="ListParagraph"/>
        <w:ind w:left="0"/>
        <w:rPr>
          <w:b/>
        </w:rPr>
      </w:pPr>
      <w:r w:rsidRPr="00575351">
        <w:rPr>
          <w:b/>
        </w:rPr>
        <w:t>NTG review</w:t>
      </w:r>
    </w:p>
    <w:p w:rsidR="00575351" w:rsidRDefault="00575351" w:rsidP="00575351">
      <w:pPr>
        <w:pStyle w:val="ListParagraph"/>
        <w:ind w:left="0"/>
        <w:rPr>
          <w:b/>
        </w:rPr>
      </w:pPr>
    </w:p>
    <w:p w:rsidR="00575351" w:rsidRDefault="00575351" w:rsidP="00575351">
      <w:pPr>
        <w:pStyle w:val="ListParagraph"/>
        <w:ind w:left="0"/>
      </w:pPr>
      <w:r>
        <w:t xml:space="preserve">The NTG ratios </w:t>
      </w:r>
      <w:r w:rsidR="003B7AD9">
        <w:t>of</w:t>
      </w:r>
      <w:r>
        <w:t xml:space="preserve"> the </w:t>
      </w:r>
      <w:proofErr w:type="spellStart"/>
      <w:r>
        <w:t>workpaper</w:t>
      </w:r>
      <w:r w:rsidR="003B7AD9">
        <w:t>s</w:t>
      </w:r>
      <w:proofErr w:type="spellEnd"/>
      <w:r w:rsidR="003B7AD9">
        <w:t xml:space="preserve"> </w:t>
      </w:r>
      <w:r>
        <w:t xml:space="preserve">of </w:t>
      </w:r>
      <w:r w:rsidR="00275AEF">
        <w:fldChar w:fldCharType="begin"/>
      </w:r>
      <w:r>
        <w:instrText xml:space="preserve"> REF _Ref324175084 \h </w:instrText>
      </w:r>
      <w:r w:rsidR="00275AEF">
        <w:fldChar w:fldCharType="separate"/>
      </w:r>
      <w:r w:rsidRPr="00E534A2">
        <w:t xml:space="preserve">Table </w:t>
      </w:r>
      <w:r>
        <w:rPr>
          <w:noProof/>
        </w:rPr>
        <w:t>1</w:t>
      </w:r>
      <w:r w:rsidR="00275AEF">
        <w:fldChar w:fldCharType="end"/>
      </w:r>
      <w:r>
        <w:t xml:space="preserve"> present some </w:t>
      </w:r>
      <w:r w:rsidR="000B7C7E" w:rsidRPr="000B7C7E">
        <w:t>inconsistencies</w:t>
      </w:r>
      <w:r>
        <w:t xml:space="preserve">. </w:t>
      </w:r>
      <w:r w:rsidR="003B7AD9">
        <w:t>Energy Division staff wish to remind that t</w:t>
      </w:r>
      <w:r>
        <w:t xml:space="preserve">he NTG ratios to be used by all IOUs are the ratios available in the READI database. They are presented in </w:t>
      </w:r>
      <w:r w:rsidR="00275AEF">
        <w:fldChar w:fldCharType="begin"/>
      </w:r>
      <w:r>
        <w:instrText xml:space="preserve"> REF _Ref349651809 \h </w:instrText>
      </w:r>
      <w:r w:rsidR="00275AEF">
        <w:fldChar w:fldCharType="separate"/>
      </w:r>
      <w:r>
        <w:t xml:space="preserve">Table </w:t>
      </w:r>
      <w:r>
        <w:rPr>
          <w:noProof/>
        </w:rPr>
        <w:t>2</w:t>
      </w:r>
      <w:r w:rsidR="00275AEF">
        <w:fldChar w:fldCharType="end"/>
      </w:r>
      <w:r>
        <w:t>.</w:t>
      </w:r>
      <w:r w:rsidR="00E37872">
        <w:t xml:space="preserve"> In the case of a “Direct Install” measure ED recommends to use the “</w:t>
      </w:r>
      <w:r w:rsidR="00E37872" w:rsidRPr="00E37872">
        <w:t>Com-Default&gt;2yrs</w:t>
      </w:r>
      <w:r w:rsidR="00E37872">
        <w:t>” ratio and not the “</w:t>
      </w:r>
      <w:proofErr w:type="spellStart"/>
      <w:r w:rsidR="00E37872" w:rsidRPr="00575351">
        <w:t>NonRes-sAll-mLtgCtrl-htr</w:t>
      </w:r>
      <w:proofErr w:type="spellEnd"/>
      <w:r w:rsidR="00E37872">
        <w:t>” which is for a hard to reach market.</w:t>
      </w:r>
    </w:p>
    <w:p w:rsidR="00575351" w:rsidRDefault="00575351" w:rsidP="00575351">
      <w:pPr>
        <w:pStyle w:val="Caption"/>
        <w:keepNext/>
      </w:pPr>
      <w:bookmarkStart w:id="2" w:name="_Ref349651809"/>
      <w:r>
        <w:t xml:space="preserve">Table </w:t>
      </w:r>
      <w:fldSimple w:instr=" SEQ Table \* ARABIC ">
        <w:r>
          <w:rPr>
            <w:noProof/>
          </w:rPr>
          <w:t>2</w:t>
        </w:r>
      </w:fldSimple>
      <w:bookmarkEnd w:id="2"/>
      <w:r>
        <w:t xml:space="preserve"> - NTG Ratios from READI</w:t>
      </w:r>
    </w:p>
    <w:tbl>
      <w:tblPr>
        <w:tblStyle w:val="LightShading"/>
        <w:tblW w:w="8967" w:type="dxa"/>
        <w:jc w:val="center"/>
        <w:tblInd w:w="-1641" w:type="dxa"/>
        <w:tblLook w:val="0620" w:firstRow="1" w:lastRow="0" w:firstColumn="0" w:lastColumn="0" w:noHBand="1" w:noVBand="1"/>
      </w:tblPr>
      <w:tblGrid>
        <w:gridCol w:w="2729"/>
        <w:gridCol w:w="3619"/>
        <w:gridCol w:w="720"/>
        <w:gridCol w:w="1899"/>
      </w:tblGrid>
      <w:tr w:rsidR="00FE3DA2" w:rsidTr="00FE3DA2">
        <w:trPr>
          <w:cnfStyle w:val="100000000000" w:firstRow="1" w:lastRow="0" w:firstColumn="0" w:lastColumn="0" w:oddVBand="0" w:evenVBand="0" w:oddHBand="0" w:evenHBand="0" w:firstRowFirstColumn="0" w:firstRowLastColumn="0" w:lastRowFirstColumn="0" w:lastRowLastColumn="0"/>
          <w:jc w:val="center"/>
        </w:trPr>
        <w:tc>
          <w:tcPr>
            <w:tcW w:w="2729" w:type="dxa"/>
          </w:tcPr>
          <w:p w:rsidR="00575351" w:rsidRDefault="00575351" w:rsidP="00575351">
            <w:pPr>
              <w:pStyle w:val="ListParagraph"/>
              <w:ind w:left="0"/>
            </w:pPr>
            <w:r>
              <w:t>NTG ID</w:t>
            </w:r>
          </w:p>
        </w:tc>
        <w:tc>
          <w:tcPr>
            <w:tcW w:w="3619" w:type="dxa"/>
          </w:tcPr>
          <w:p w:rsidR="00575351" w:rsidRDefault="00575351" w:rsidP="00575351">
            <w:pPr>
              <w:pStyle w:val="ListParagraph"/>
              <w:ind w:left="0"/>
            </w:pPr>
            <w:r>
              <w:t>Measure Type</w:t>
            </w:r>
          </w:p>
        </w:tc>
        <w:tc>
          <w:tcPr>
            <w:tcW w:w="720" w:type="dxa"/>
          </w:tcPr>
          <w:p w:rsidR="00575351" w:rsidRDefault="00575351" w:rsidP="00575351">
            <w:pPr>
              <w:pStyle w:val="ListParagraph"/>
              <w:ind w:left="0"/>
            </w:pPr>
            <w:r>
              <w:t>NTG</w:t>
            </w:r>
          </w:p>
        </w:tc>
        <w:tc>
          <w:tcPr>
            <w:tcW w:w="1899" w:type="dxa"/>
          </w:tcPr>
          <w:p w:rsidR="00575351" w:rsidRDefault="00575351" w:rsidP="00575351">
            <w:pPr>
              <w:pStyle w:val="ListParagraph"/>
              <w:ind w:left="0"/>
            </w:pPr>
            <w:r>
              <w:t>Measure delivery mechanism</w:t>
            </w:r>
          </w:p>
        </w:tc>
      </w:tr>
      <w:tr w:rsidR="00FE3DA2" w:rsidTr="00FE3DA2">
        <w:trPr>
          <w:jc w:val="center"/>
        </w:trPr>
        <w:tc>
          <w:tcPr>
            <w:tcW w:w="2729" w:type="dxa"/>
          </w:tcPr>
          <w:p w:rsidR="00575351" w:rsidRDefault="00575351" w:rsidP="00575351">
            <w:pPr>
              <w:pStyle w:val="ListParagraph"/>
              <w:ind w:left="0"/>
            </w:pPr>
            <w:proofErr w:type="spellStart"/>
            <w:r w:rsidRPr="00575351">
              <w:t>NonRes-sAll-mLtgCtrl</w:t>
            </w:r>
            <w:proofErr w:type="spellEnd"/>
          </w:p>
        </w:tc>
        <w:tc>
          <w:tcPr>
            <w:tcW w:w="3619" w:type="dxa"/>
          </w:tcPr>
          <w:p w:rsidR="00575351" w:rsidRDefault="00575351" w:rsidP="00575351">
            <w:pPr>
              <w:pStyle w:val="ListParagraph"/>
              <w:ind w:left="0"/>
            </w:pPr>
            <w:r w:rsidRPr="00575351">
              <w:t>Lighting controls</w:t>
            </w:r>
          </w:p>
        </w:tc>
        <w:tc>
          <w:tcPr>
            <w:tcW w:w="720" w:type="dxa"/>
          </w:tcPr>
          <w:p w:rsidR="00575351" w:rsidRDefault="00575351" w:rsidP="00575351">
            <w:pPr>
              <w:pStyle w:val="ListParagraph"/>
              <w:ind w:left="0"/>
              <w:jc w:val="center"/>
            </w:pPr>
            <w:r>
              <w:t>0.6</w:t>
            </w:r>
          </w:p>
        </w:tc>
        <w:tc>
          <w:tcPr>
            <w:tcW w:w="1899" w:type="dxa"/>
          </w:tcPr>
          <w:p w:rsidR="00575351" w:rsidRDefault="00575351" w:rsidP="00575351">
            <w:pPr>
              <w:pStyle w:val="ListParagraph"/>
              <w:ind w:left="0"/>
            </w:pPr>
            <w:proofErr w:type="spellStart"/>
            <w:r w:rsidRPr="00575351">
              <w:t>PreRebDown</w:t>
            </w:r>
            <w:proofErr w:type="spellEnd"/>
          </w:p>
        </w:tc>
      </w:tr>
      <w:tr w:rsidR="00FE3DA2" w:rsidTr="00FE3DA2">
        <w:trPr>
          <w:jc w:val="center"/>
        </w:trPr>
        <w:tc>
          <w:tcPr>
            <w:tcW w:w="2729" w:type="dxa"/>
          </w:tcPr>
          <w:p w:rsidR="00575351" w:rsidRDefault="00575351" w:rsidP="00575351">
            <w:pPr>
              <w:pStyle w:val="ListParagraph"/>
              <w:ind w:left="0"/>
            </w:pPr>
            <w:proofErr w:type="spellStart"/>
            <w:r w:rsidRPr="00575351">
              <w:t>NonRes-sAll-mLtgCtrl-htr</w:t>
            </w:r>
            <w:proofErr w:type="spellEnd"/>
          </w:p>
        </w:tc>
        <w:tc>
          <w:tcPr>
            <w:tcW w:w="3619" w:type="dxa"/>
          </w:tcPr>
          <w:p w:rsidR="00575351" w:rsidRDefault="00575351" w:rsidP="00575351">
            <w:pPr>
              <w:pStyle w:val="ListParagraph"/>
              <w:ind w:left="0"/>
            </w:pPr>
            <w:r w:rsidRPr="00575351">
              <w:t>Lighting controls</w:t>
            </w:r>
          </w:p>
        </w:tc>
        <w:tc>
          <w:tcPr>
            <w:tcW w:w="720" w:type="dxa"/>
          </w:tcPr>
          <w:p w:rsidR="00575351" w:rsidRDefault="00575351" w:rsidP="00575351">
            <w:pPr>
              <w:pStyle w:val="ListParagraph"/>
              <w:ind w:left="0"/>
              <w:jc w:val="center"/>
            </w:pPr>
            <w:r>
              <w:t>0.89</w:t>
            </w:r>
          </w:p>
        </w:tc>
        <w:tc>
          <w:tcPr>
            <w:tcW w:w="1899" w:type="dxa"/>
          </w:tcPr>
          <w:p w:rsidR="00575351" w:rsidRDefault="00575351" w:rsidP="00575351">
            <w:pPr>
              <w:pStyle w:val="ListParagraph"/>
              <w:ind w:left="0"/>
            </w:pPr>
            <w:proofErr w:type="spellStart"/>
            <w:r w:rsidRPr="00575351">
              <w:t>DirInstall</w:t>
            </w:r>
            <w:proofErr w:type="spellEnd"/>
          </w:p>
        </w:tc>
      </w:tr>
      <w:tr w:rsidR="00FE3DA2" w:rsidTr="00FE3DA2">
        <w:trPr>
          <w:jc w:val="center"/>
        </w:trPr>
        <w:tc>
          <w:tcPr>
            <w:tcW w:w="2729" w:type="dxa"/>
          </w:tcPr>
          <w:p w:rsidR="00575351" w:rsidRDefault="00575351" w:rsidP="00575351">
            <w:pPr>
              <w:pStyle w:val="ListParagraph"/>
              <w:ind w:left="0"/>
            </w:pPr>
            <w:proofErr w:type="spellStart"/>
            <w:r w:rsidRPr="00575351">
              <w:t>NonRes-sAll-mOccSens</w:t>
            </w:r>
            <w:proofErr w:type="spellEnd"/>
          </w:p>
        </w:tc>
        <w:tc>
          <w:tcPr>
            <w:tcW w:w="3619" w:type="dxa"/>
          </w:tcPr>
          <w:p w:rsidR="00575351" w:rsidRDefault="00575351" w:rsidP="00575351">
            <w:pPr>
              <w:pStyle w:val="ListParagraph"/>
              <w:ind w:left="0"/>
            </w:pPr>
            <w:r w:rsidRPr="00575351">
              <w:t>Occupancy Sensors</w:t>
            </w:r>
          </w:p>
        </w:tc>
        <w:tc>
          <w:tcPr>
            <w:tcW w:w="720" w:type="dxa"/>
          </w:tcPr>
          <w:p w:rsidR="00575351" w:rsidRDefault="00575351" w:rsidP="00575351">
            <w:pPr>
              <w:pStyle w:val="ListParagraph"/>
              <w:ind w:left="0"/>
              <w:jc w:val="center"/>
            </w:pPr>
            <w:r w:rsidRPr="00575351">
              <w:t>0.6</w:t>
            </w:r>
          </w:p>
        </w:tc>
        <w:tc>
          <w:tcPr>
            <w:tcW w:w="1899" w:type="dxa"/>
          </w:tcPr>
          <w:p w:rsidR="00575351" w:rsidRDefault="00575351" w:rsidP="00575351">
            <w:pPr>
              <w:pStyle w:val="ListParagraph"/>
              <w:ind w:left="0"/>
            </w:pPr>
            <w:proofErr w:type="spellStart"/>
            <w:r w:rsidRPr="00575351">
              <w:t>PreRebDown</w:t>
            </w:r>
            <w:proofErr w:type="spellEnd"/>
          </w:p>
        </w:tc>
      </w:tr>
      <w:tr w:rsidR="00E37872" w:rsidTr="00FE3DA2">
        <w:trPr>
          <w:jc w:val="center"/>
        </w:trPr>
        <w:tc>
          <w:tcPr>
            <w:tcW w:w="2729" w:type="dxa"/>
          </w:tcPr>
          <w:p w:rsidR="00E37872" w:rsidRPr="00FE3DA2" w:rsidRDefault="00E37872" w:rsidP="00575351">
            <w:pPr>
              <w:pStyle w:val="ListParagraph"/>
              <w:ind w:left="0"/>
            </w:pPr>
            <w:r w:rsidRPr="00E37872">
              <w:t>Com-Default&gt;2yrs</w:t>
            </w:r>
          </w:p>
        </w:tc>
        <w:tc>
          <w:tcPr>
            <w:tcW w:w="3619" w:type="dxa"/>
          </w:tcPr>
          <w:p w:rsidR="00E37872" w:rsidRPr="00FE3DA2" w:rsidRDefault="00E37872" w:rsidP="00575351">
            <w:pPr>
              <w:pStyle w:val="ListParagraph"/>
              <w:ind w:left="0"/>
            </w:pPr>
            <w:r w:rsidRPr="00E37872">
              <w:t>All other EEMs with no evaluated NTGR; existing EEM in programs with same delivery mechanism for more than 2 years</w:t>
            </w:r>
          </w:p>
        </w:tc>
        <w:tc>
          <w:tcPr>
            <w:tcW w:w="720" w:type="dxa"/>
          </w:tcPr>
          <w:p w:rsidR="00E37872" w:rsidRPr="00FE3DA2" w:rsidRDefault="00E37872" w:rsidP="00575351">
            <w:pPr>
              <w:pStyle w:val="ListParagraph"/>
              <w:ind w:left="0"/>
              <w:jc w:val="center"/>
            </w:pPr>
            <w:r>
              <w:t>0.6</w:t>
            </w:r>
          </w:p>
        </w:tc>
        <w:tc>
          <w:tcPr>
            <w:tcW w:w="1899" w:type="dxa"/>
          </w:tcPr>
          <w:p w:rsidR="00E37872" w:rsidRPr="00FE3DA2" w:rsidRDefault="00E37872" w:rsidP="00575351">
            <w:pPr>
              <w:pStyle w:val="ListParagraph"/>
              <w:ind w:left="0"/>
            </w:pPr>
            <w:r>
              <w:t>All</w:t>
            </w:r>
          </w:p>
        </w:tc>
      </w:tr>
      <w:tr w:rsidR="00FE3DA2" w:rsidTr="00FE3DA2">
        <w:trPr>
          <w:jc w:val="center"/>
        </w:trPr>
        <w:tc>
          <w:tcPr>
            <w:tcW w:w="2729" w:type="dxa"/>
          </w:tcPr>
          <w:p w:rsidR="00FE3DA2" w:rsidRPr="00575351" w:rsidRDefault="00FE3DA2" w:rsidP="00575351">
            <w:pPr>
              <w:pStyle w:val="ListParagraph"/>
              <w:ind w:left="0"/>
            </w:pPr>
            <w:r w:rsidRPr="00FE3DA2">
              <w:t>Res-Default&gt;2</w:t>
            </w:r>
          </w:p>
        </w:tc>
        <w:tc>
          <w:tcPr>
            <w:tcW w:w="3619" w:type="dxa"/>
          </w:tcPr>
          <w:p w:rsidR="00FE3DA2" w:rsidRPr="00575351" w:rsidRDefault="00FE3DA2" w:rsidP="00575351">
            <w:pPr>
              <w:pStyle w:val="ListParagraph"/>
              <w:ind w:left="0"/>
            </w:pPr>
            <w:r w:rsidRPr="00FE3DA2">
              <w:t>All other EEM with no evaluated NTGR; existing EEM with same delivery mechanism for more than 2 years</w:t>
            </w:r>
          </w:p>
        </w:tc>
        <w:tc>
          <w:tcPr>
            <w:tcW w:w="720" w:type="dxa"/>
          </w:tcPr>
          <w:p w:rsidR="00FE3DA2" w:rsidRPr="00575351" w:rsidRDefault="00FE3DA2" w:rsidP="00575351">
            <w:pPr>
              <w:pStyle w:val="ListParagraph"/>
              <w:ind w:left="0"/>
              <w:jc w:val="center"/>
            </w:pPr>
            <w:r w:rsidRPr="00FE3DA2">
              <w:t>0.55</w:t>
            </w:r>
          </w:p>
        </w:tc>
        <w:tc>
          <w:tcPr>
            <w:tcW w:w="1899" w:type="dxa"/>
          </w:tcPr>
          <w:p w:rsidR="00FE3DA2" w:rsidRPr="00575351" w:rsidRDefault="00FE3DA2" w:rsidP="00575351">
            <w:pPr>
              <w:pStyle w:val="ListParagraph"/>
              <w:ind w:left="0"/>
            </w:pPr>
            <w:r w:rsidRPr="00FE3DA2">
              <w:t>All</w:t>
            </w:r>
          </w:p>
        </w:tc>
      </w:tr>
    </w:tbl>
    <w:p w:rsidR="00FE1DFD" w:rsidRDefault="00FE1DFD" w:rsidP="00575351">
      <w:pPr>
        <w:pStyle w:val="ListParagraph"/>
        <w:ind w:left="0"/>
        <w:sectPr w:rsidR="00FE1DFD" w:rsidSect="00FE1DFD">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144" w:gutter="0"/>
          <w:cols w:space="720"/>
          <w:titlePg/>
          <w:docGrid w:linePitch="360"/>
        </w:sectPr>
      </w:pPr>
      <w:r>
        <w:br w:type="page"/>
      </w:r>
    </w:p>
    <w:p w:rsidR="00FE1DFD" w:rsidRDefault="00FE1DFD" w:rsidP="00FE1DFD">
      <w:pPr>
        <w:pStyle w:val="Caption"/>
        <w:keepNext/>
      </w:pPr>
      <w:bookmarkStart w:id="4" w:name="_Ref349645795"/>
      <w:bookmarkStart w:id="5" w:name="_Ref349645787"/>
      <w:r>
        <w:lastRenderedPageBreak/>
        <w:t xml:space="preserve">Table </w:t>
      </w:r>
      <w:fldSimple w:instr=" SEQ Table \* ARABIC ">
        <w:r w:rsidR="00575351">
          <w:rPr>
            <w:noProof/>
          </w:rPr>
          <w:t>3</w:t>
        </w:r>
      </w:fldSimple>
      <w:bookmarkEnd w:id="4"/>
      <w:r>
        <w:t xml:space="preserve"> - Lighting Use Reduction Factors for Occupancy Sensor</w:t>
      </w:r>
      <w:bookmarkEnd w:id="5"/>
    </w:p>
    <w:tbl>
      <w:tblPr>
        <w:tblW w:w="13170" w:type="dxa"/>
        <w:tblInd w:w="78" w:type="dxa"/>
        <w:tblLayout w:type="fixed"/>
        <w:tblLook w:val="0000" w:firstRow="0" w:lastRow="0" w:firstColumn="0" w:lastColumn="0" w:noHBand="0" w:noVBand="0"/>
      </w:tblPr>
      <w:tblGrid>
        <w:gridCol w:w="2820"/>
        <w:gridCol w:w="2790"/>
        <w:gridCol w:w="1080"/>
        <w:gridCol w:w="2799"/>
        <w:gridCol w:w="2691"/>
        <w:gridCol w:w="990"/>
      </w:tblGrid>
      <w:tr w:rsidR="00FE1DFD" w:rsidTr="003B7AD9">
        <w:trPr>
          <w:trHeight w:val="634"/>
          <w:tblHeader/>
        </w:trPr>
        <w:tc>
          <w:tcPr>
            <w:tcW w:w="2820" w:type="dxa"/>
            <w:tcBorders>
              <w:top w:val="single" w:sz="4" w:space="0" w:color="auto"/>
              <w:left w:val="single" w:sz="6" w:space="0" w:color="auto"/>
              <w:bottom w:val="single" w:sz="4"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b/>
                <w:bCs/>
                <w:color w:val="000000"/>
                <w:sz w:val="18"/>
                <w:szCs w:val="18"/>
              </w:rPr>
            </w:pPr>
            <w:r w:rsidRPr="006F73B9">
              <w:rPr>
                <w:rFonts w:cs="Calibri"/>
                <w:b/>
                <w:bCs/>
                <w:color w:val="000000"/>
                <w:sz w:val="18"/>
                <w:szCs w:val="18"/>
              </w:rPr>
              <w:t>DEER Building Type</w:t>
            </w:r>
          </w:p>
        </w:tc>
        <w:tc>
          <w:tcPr>
            <w:tcW w:w="2790" w:type="dxa"/>
            <w:tcBorders>
              <w:top w:val="single" w:sz="4" w:space="0" w:color="auto"/>
              <w:left w:val="single" w:sz="2" w:space="0" w:color="auto"/>
              <w:bottom w:val="single" w:sz="4"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b/>
                <w:bCs/>
                <w:color w:val="000000"/>
                <w:sz w:val="18"/>
                <w:szCs w:val="18"/>
              </w:rPr>
            </w:pPr>
            <w:r w:rsidRPr="006F73B9">
              <w:rPr>
                <w:rFonts w:cs="Calibri"/>
                <w:b/>
                <w:bCs/>
                <w:color w:val="000000"/>
                <w:sz w:val="18"/>
                <w:szCs w:val="18"/>
              </w:rPr>
              <w:t>Activity Area Type</w:t>
            </w:r>
          </w:p>
        </w:tc>
        <w:tc>
          <w:tcPr>
            <w:tcW w:w="1080" w:type="dxa"/>
            <w:tcBorders>
              <w:top w:val="single" w:sz="4" w:space="0" w:color="auto"/>
              <w:left w:val="single" w:sz="2" w:space="0" w:color="auto"/>
              <w:bottom w:val="single" w:sz="4"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b/>
                <w:bCs/>
                <w:color w:val="000000"/>
                <w:sz w:val="18"/>
                <w:szCs w:val="18"/>
              </w:rPr>
            </w:pPr>
            <w:r w:rsidRPr="006F73B9">
              <w:rPr>
                <w:rFonts w:cs="Calibri"/>
                <w:b/>
                <w:bCs/>
                <w:color w:val="000000"/>
                <w:sz w:val="18"/>
                <w:szCs w:val="18"/>
              </w:rPr>
              <w:t>DEER Occupancy Sensor?</w:t>
            </w:r>
          </w:p>
        </w:tc>
        <w:tc>
          <w:tcPr>
            <w:tcW w:w="2799" w:type="dxa"/>
            <w:tcBorders>
              <w:top w:val="single" w:sz="4" w:space="0" w:color="auto"/>
              <w:left w:val="single" w:sz="2" w:space="0" w:color="auto"/>
              <w:bottom w:val="single" w:sz="4" w:space="0" w:color="auto"/>
              <w:right w:val="single" w:sz="2" w:space="0" w:color="auto"/>
            </w:tcBorders>
          </w:tcPr>
          <w:p w:rsidR="00FE1DFD" w:rsidRDefault="00FE1DFD" w:rsidP="003B7AD9">
            <w:pPr>
              <w:autoSpaceDE w:val="0"/>
              <w:autoSpaceDN w:val="0"/>
              <w:adjustRightInd w:val="0"/>
              <w:spacing w:after="0" w:line="240" w:lineRule="auto"/>
              <w:jc w:val="center"/>
              <w:rPr>
                <w:rFonts w:cs="Calibri"/>
                <w:b/>
                <w:bCs/>
                <w:color w:val="000000"/>
                <w:sz w:val="18"/>
                <w:szCs w:val="18"/>
              </w:rPr>
            </w:pPr>
            <w:r>
              <w:rPr>
                <w:rFonts w:cs="Calibri"/>
                <w:b/>
                <w:bCs/>
                <w:color w:val="000000"/>
                <w:sz w:val="18"/>
                <w:szCs w:val="18"/>
              </w:rPr>
              <w:t xml:space="preserve">Non-DEER </w:t>
            </w:r>
            <w:r w:rsidRPr="006F73B9">
              <w:rPr>
                <w:rFonts w:cs="Calibri"/>
                <w:b/>
                <w:bCs/>
                <w:color w:val="000000"/>
                <w:sz w:val="18"/>
                <w:szCs w:val="18"/>
              </w:rPr>
              <w:t xml:space="preserve">Reference </w:t>
            </w:r>
          </w:p>
          <w:p w:rsidR="00FE1DFD" w:rsidRPr="006F73B9" w:rsidRDefault="00FE1DFD" w:rsidP="003B7AD9">
            <w:pPr>
              <w:autoSpaceDE w:val="0"/>
              <w:autoSpaceDN w:val="0"/>
              <w:adjustRightInd w:val="0"/>
              <w:spacing w:after="0" w:line="240" w:lineRule="auto"/>
              <w:jc w:val="center"/>
              <w:rPr>
                <w:rFonts w:cs="Calibri"/>
                <w:b/>
                <w:bCs/>
                <w:color w:val="000000"/>
                <w:sz w:val="18"/>
                <w:szCs w:val="18"/>
              </w:rPr>
            </w:pPr>
            <w:r w:rsidRPr="006F73B9">
              <w:rPr>
                <w:rFonts w:cs="Calibri"/>
                <w:b/>
                <w:bCs/>
                <w:color w:val="000000"/>
                <w:sz w:val="18"/>
                <w:szCs w:val="18"/>
              </w:rPr>
              <w:t>Building Type</w:t>
            </w:r>
          </w:p>
        </w:tc>
        <w:tc>
          <w:tcPr>
            <w:tcW w:w="2691" w:type="dxa"/>
            <w:tcBorders>
              <w:top w:val="single" w:sz="4" w:space="0" w:color="auto"/>
              <w:left w:val="single" w:sz="2" w:space="0" w:color="auto"/>
              <w:bottom w:val="single" w:sz="4" w:space="0" w:color="auto"/>
              <w:right w:val="single" w:sz="2" w:space="0" w:color="auto"/>
            </w:tcBorders>
          </w:tcPr>
          <w:p w:rsidR="00FE1DFD" w:rsidRDefault="00FE1DFD" w:rsidP="003B7AD9">
            <w:pPr>
              <w:autoSpaceDE w:val="0"/>
              <w:autoSpaceDN w:val="0"/>
              <w:adjustRightInd w:val="0"/>
              <w:spacing w:after="0" w:line="240" w:lineRule="auto"/>
              <w:jc w:val="center"/>
              <w:rPr>
                <w:rFonts w:cs="Calibri"/>
                <w:b/>
                <w:bCs/>
                <w:color w:val="000000"/>
                <w:sz w:val="18"/>
                <w:szCs w:val="18"/>
              </w:rPr>
            </w:pPr>
            <w:r>
              <w:rPr>
                <w:rFonts w:cs="Calibri"/>
                <w:b/>
                <w:bCs/>
                <w:color w:val="000000"/>
                <w:sz w:val="18"/>
                <w:szCs w:val="18"/>
              </w:rPr>
              <w:t xml:space="preserve">Non-DEER </w:t>
            </w:r>
            <w:r w:rsidRPr="006F73B9">
              <w:rPr>
                <w:rFonts w:cs="Calibri"/>
                <w:b/>
                <w:bCs/>
                <w:color w:val="000000"/>
                <w:sz w:val="18"/>
                <w:szCs w:val="18"/>
              </w:rPr>
              <w:t>Reference</w:t>
            </w:r>
          </w:p>
          <w:p w:rsidR="00FE1DFD" w:rsidRPr="006F73B9" w:rsidRDefault="00FE1DFD" w:rsidP="003B7AD9">
            <w:pPr>
              <w:autoSpaceDE w:val="0"/>
              <w:autoSpaceDN w:val="0"/>
              <w:adjustRightInd w:val="0"/>
              <w:spacing w:after="0" w:line="240" w:lineRule="auto"/>
              <w:jc w:val="center"/>
              <w:rPr>
                <w:rFonts w:cs="Calibri"/>
                <w:b/>
                <w:bCs/>
                <w:color w:val="000000"/>
                <w:sz w:val="18"/>
                <w:szCs w:val="18"/>
              </w:rPr>
            </w:pPr>
            <w:r w:rsidRPr="006F73B9">
              <w:rPr>
                <w:rFonts w:cs="Calibri"/>
                <w:b/>
                <w:bCs/>
                <w:color w:val="000000"/>
                <w:sz w:val="18"/>
                <w:szCs w:val="18"/>
              </w:rPr>
              <w:t>Activity Area</w:t>
            </w:r>
            <w:r>
              <w:rPr>
                <w:rFonts w:cs="Calibri"/>
                <w:b/>
                <w:bCs/>
                <w:color w:val="000000"/>
                <w:sz w:val="18"/>
                <w:szCs w:val="18"/>
              </w:rPr>
              <w:t xml:space="preserve"> Type</w:t>
            </w:r>
          </w:p>
        </w:tc>
        <w:tc>
          <w:tcPr>
            <w:tcW w:w="990" w:type="dxa"/>
            <w:tcBorders>
              <w:top w:val="single" w:sz="4" w:space="0" w:color="auto"/>
              <w:left w:val="single" w:sz="2" w:space="0" w:color="auto"/>
              <w:bottom w:val="single" w:sz="4"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b/>
                <w:bCs/>
                <w:color w:val="000000"/>
                <w:sz w:val="18"/>
                <w:szCs w:val="18"/>
              </w:rPr>
            </w:pPr>
            <w:r w:rsidRPr="006F73B9">
              <w:rPr>
                <w:rFonts w:cs="Calibri"/>
                <w:b/>
                <w:bCs/>
                <w:color w:val="000000"/>
                <w:sz w:val="18"/>
                <w:szCs w:val="18"/>
              </w:rPr>
              <w:t>Reduction</w:t>
            </w:r>
          </w:p>
        </w:tc>
      </w:tr>
      <w:tr w:rsidR="00FE1DFD" w:rsidTr="003B7AD9">
        <w:trPr>
          <w:cantSplit/>
          <w:trHeight w:val="211"/>
        </w:trPr>
        <w:tc>
          <w:tcPr>
            <w:tcW w:w="2820" w:type="dxa"/>
            <w:tcBorders>
              <w:top w:val="single" w:sz="4"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Assembly</w:t>
            </w:r>
          </w:p>
        </w:tc>
        <w:tc>
          <w:tcPr>
            <w:tcW w:w="2790" w:type="dxa"/>
            <w:tcBorders>
              <w:top w:val="single" w:sz="4"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Auditorium</w:t>
            </w:r>
          </w:p>
        </w:tc>
        <w:tc>
          <w:tcPr>
            <w:tcW w:w="1080" w:type="dxa"/>
            <w:tcBorders>
              <w:top w:val="single" w:sz="4"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4"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Secondary School</w:t>
            </w:r>
          </w:p>
        </w:tc>
        <w:tc>
          <w:tcPr>
            <w:tcW w:w="2691" w:type="dxa"/>
            <w:tcBorders>
              <w:top w:val="single" w:sz="4"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Classroom/Lecture</w:t>
            </w:r>
          </w:p>
        </w:tc>
        <w:tc>
          <w:tcPr>
            <w:tcW w:w="990" w:type="dxa"/>
            <w:tcBorders>
              <w:top w:val="single" w:sz="4"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Assembly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Community College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Assembly</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Community College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Primary School</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Classroom/Lecture</w:t>
            </w:r>
          </w:p>
        </w:tc>
        <w:tc>
          <w:tcPr>
            <w:tcW w:w="108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Primary School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Primary School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Exercising Centers and Gymnasium</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Primary School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Primary School</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Community College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Secondary School</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Classroom/Lecture</w:t>
            </w:r>
          </w:p>
        </w:tc>
        <w:tc>
          <w:tcPr>
            <w:tcW w:w="108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Secondary School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Computer Room (Instructional/PC Lab)</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Secondary School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Secondary School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Exercising Centers and Gymnasium</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Secondary School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Secondary School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Community College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Secondary School</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Community College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Community College</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Classroom/Lecture</w:t>
            </w:r>
          </w:p>
        </w:tc>
        <w:tc>
          <w:tcPr>
            <w:tcW w:w="108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Community College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Computer Room (Instructional/PC Lab)</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Community College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Community College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Community College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Education - Community College</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Community College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Education </w:t>
            </w:r>
            <w:r>
              <w:rPr>
                <w:rFonts w:cs="Calibri"/>
                <w:color w:val="000000"/>
                <w:sz w:val="18"/>
                <w:szCs w:val="18"/>
              </w:rPr>
              <w:t>–</w:t>
            </w:r>
            <w:r w:rsidRPr="006F73B9">
              <w:rPr>
                <w:rFonts w:cs="Calibri"/>
                <w:color w:val="000000"/>
                <w:sz w:val="18"/>
                <w:szCs w:val="18"/>
              </w:rPr>
              <w:t xml:space="preserve"> University</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Classroom/Lecture</w:t>
            </w:r>
          </w:p>
        </w:tc>
        <w:tc>
          <w:tcPr>
            <w:tcW w:w="108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Education </w:t>
            </w:r>
            <w:r>
              <w:rPr>
                <w:rFonts w:cs="Calibri"/>
                <w:color w:val="C0C0C0"/>
                <w:sz w:val="18"/>
                <w:szCs w:val="18"/>
              </w:rPr>
              <w:t>–</w:t>
            </w:r>
            <w:r w:rsidRPr="006F73B9">
              <w:rPr>
                <w:rFonts w:cs="Calibri"/>
                <w:color w:val="C0C0C0"/>
                <w:sz w:val="18"/>
                <w:szCs w:val="18"/>
              </w:rPr>
              <w:t xml:space="preserve"> University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proofErr w:type="spellStart"/>
            <w:r w:rsidRPr="006F73B9">
              <w:rPr>
                <w:rFonts w:cs="Calibri"/>
                <w:color w:val="000000"/>
                <w:sz w:val="18"/>
                <w:szCs w:val="18"/>
              </w:rPr>
              <w:t>Comm</w:t>
            </w:r>
            <w:proofErr w:type="spellEnd"/>
            <w:r w:rsidRPr="006F73B9">
              <w:rPr>
                <w:rFonts w:cs="Calibri"/>
                <w:color w:val="000000"/>
                <w:sz w:val="18"/>
                <w:szCs w:val="18"/>
              </w:rPr>
              <w:t>/</w:t>
            </w:r>
            <w:proofErr w:type="spellStart"/>
            <w:r w:rsidRPr="006F73B9">
              <w:rPr>
                <w:rFonts w:cs="Calibri"/>
                <w:color w:val="000000"/>
                <w:sz w:val="18"/>
                <w:szCs w:val="18"/>
              </w:rPr>
              <w:t>Ind</w:t>
            </w:r>
            <w:proofErr w:type="spellEnd"/>
            <w:r w:rsidRPr="006F73B9">
              <w:rPr>
                <w:rFonts w:cs="Calibri"/>
                <w:color w:val="000000"/>
                <w:sz w:val="18"/>
                <w:szCs w:val="18"/>
              </w:rPr>
              <w:t xml:space="preserve"> Work (General Low Bay)</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Education - Community College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Education </w:t>
            </w:r>
            <w:r>
              <w:rPr>
                <w:rFonts w:cs="Calibri"/>
                <w:color w:val="C0C0C0"/>
                <w:sz w:val="18"/>
                <w:szCs w:val="18"/>
              </w:rPr>
              <w:t>–</w:t>
            </w:r>
            <w:r w:rsidRPr="006F73B9">
              <w:rPr>
                <w:rFonts w:cs="Calibri"/>
                <w:color w:val="C0C0C0"/>
                <w:sz w:val="18"/>
                <w:szCs w:val="18"/>
              </w:rPr>
              <w:t xml:space="preserve"> University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Computer Room (Instructional/PC Lab)</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Education </w:t>
            </w:r>
            <w:r>
              <w:rPr>
                <w:rFonts w:cs="Calibri"/>
                <w:color w:val="C0C0C0"/>
                <w:sz w:val="18"/>
                <w:szCs w:val="18"/>
              </w:rPr>
              <w:t>–</w:t>
            </w:r>
            <w:r w:rsidRPr="006F73B9">
              <w:rPr>
                <w:rFonts w:cs="Calibri"/>
                <w:color w:val="C0C0C0"/>
                <w:sz w:val="18"/>
                <w:szCs w:val="18"/>
              </w:rPr>
              <w:t xml:space="preserve"> University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 (Dormitory)</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Education </w:t>
            </w:r>
            <w:r>
              <w:rPr>
                <w:rFonts w:cs="Calibri"/>
                <w:color w:val="C0C0C0"/>
                <w:sz w:val="18"/>
                <w:szCs w:val="18"/>
              </w:rPr>
              <w:t>–</w:t>
            </w:r>
            <w:r w:rsidRPr="006F73B9">
              <w:rPr>
                <w:rFonts w:cs="Calibri"/>
                <w:color w:val="C0C0C0"/>
                <w:sz w:val="18"/>
                <w:szCs w:val="18"/>
              </w:rPr>
              <w:t xml:space="preserve"> University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Education </w:t>
            </w:r>
            <w:r>
              <w:rPr>
                <w:rFonts w:cs="Calibri"/>
                <w:color w:val="C0C0C0"/>
                <w:sz w:val="18"/>
                <w:szCs w:val="18"/>
              </w:rPr>
              <w:t>–</w:t>
            </w:r>
            <w:r w:rsidRPr="006F73B9">
              <w:rPr>
                <w:rFonts w:cs="Calibri"/>
                <w:color w:val="C0C0C0"/>
                <w:sz w:val="18"/>
                <w:szCs w:val="18"/>
              </w:rPr>
              <w:t xml:space="preserve"> University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Hotel/Motel Guest Room (Dormitory)</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sidR="00AA662A">
              <w:rPr>
                <w:rFonts w:cs="Calibri"/>
                <w:color w:val="000000"/>
                <w:sz w:val="18"/>
                <w:szCs w:val="18"/>
              </w:rPr>
              <w:t>–</w:t>
            </w:r>
            <w:r w:rsidRPr="006F73B9">
              <w:rPr>
                <w:rFonts w:cs="Calibri"/>
                <w:color w:val="000000"/>
                <w:sz w:val="18"/>
                <w:szCs w:val="18"/>
              </w:rPr>
              <w:t xml:space="preserve"> Hotel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Hotel/Motel Guest Room (incl. toilets)</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Education </w:t>
            </w:r>
            <w:r>
              <w:rPr>
                <w:rFonts w:cs="Calibri"/>
                <w:color w:val="C0C0C0"/>
                <w:sz w:val="18"/>
                <w:szCs w:val="18"/>
              </w:rPr>
              <w:t>–</w:t>
            </w:r>
            <w:r w:rsidRPr="006F73B9">
              <w:rPr>
                <w:rFonts w:cs="Calibri"/>
                <w:color w:val="C0C0C0"/>
                <w:sz w:val="18"/>
                <w:szCs w:val="18"/>
              </w:rPr>
              <w:t xml:space="preserve"> University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Education </w:t>
            </w:r>
            <w:r>
              <w:rPr>
                <w:rFonts w:cs="Calibri"/>
                <w:color w:val="C0C0C0"/>
                <w:sz w:val="18"/>
                <w:szCs w:val="18"/>
              </w:rPr>
              <w:t>–</w:t>
            </w:r>
            <w:r w:rsidRPr="006F73B9">
              <w:rPr>
                <w:rFonts w:cs="Calibri"/>
                <w:color w:val="C0C0C0"/>
                <w:sz w:val="18"/>
                <w:szCs w:val="18"/>
              </w:rPr>
              <w:t xml:space="preserve"> University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Education </w:t>
            </w:r>
            <w:r>
              <w:rPr>
                <w:rFonts w:cs="Calibri"/>
                <w:color w:val="C0C0C0"/>
                <w:sz w:val="18"/>
                <w:szCs w:val="18"/>
              </w:rPr>
              <w:t>–</w:t>
            </w:r>
            <w:r w:rsidRPr="006F73B9">
              <w:rPr>
                <w:rFonts w:cs="Calibri"/>
                <w:color w:val="C0C0C0"/>
                <w:sz w:val="18"/>
                <w:szCs w:val="18"/>
              </w:rPr>
              <w:t xml:space="preserve"> University</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Education </w:t>
            </w:r>
            <w:r w:rsidR="00AA662A">
              <w:rPr>
                <w:rFonts w:cs="Calibri"/>
                <w:color w:val="000000"/>
                <w:sz w:val="18"/>
                <w:szCs w:val="18"/>
              </w:rPr>
              <w:t>–</w:t>
            </w:r>
            <w:r w:rsidRPr="006F73B9">
              <w:rPr>
                <w:rFonts w:cs="Calibri"/>
                <w:color w:val="000000"/>
                <w:sz w:val="18"/>
                <w:szCs w:val="18"/>
              </w:rPr>
              <w:t xml:space="preserve"> University</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Education - </w:t>
            </w:r>
            <w:proofErr w:type="spellStart"/>
            <w:r w:rsidRPr="006F73B9">
              <w:rPr>
                <w:rFonts w:cs="Calibri"/>
                <w:color w:val="000000"/>
                <w:sz w:val="18"/>
                <w:szCs w:val="18"/>
              </w:rPr>
              <w:t>Relocatable</w:t>
            </w:r>
            <w:proofErr w:type="spellEnd"/>
            <w:r w:rsidRPr="006F73B9">
              <w:rPr>
                <w:rFonts w:cs="Calibri"/>
                <w:color w:val="000000"/>
                <w:sz w:val="18"/>
                <w:szCs w:val="18"/>
              </w:rPr>
              <w:t xml:space="preserve"> Classroom</w:t>
            </w:r>
          </w:p>
        </w:tc>
        <w:tc>
          <w:tcPr>
            <w:tcW w:w="2790"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Classroom/Lecture</w:t>
            </w:r>
          </w:p>
        </w:tc>
        <w:tc>
          <w:tcPr>
            <w:tcW w:w="1080"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6"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0.20</w:t>
            </w:r>
          </w:p>
        </w:tc>
      </w:tr>
      <w:tr w:rsidR="00FE1DFD" w:rsidTr="003B7AD9">
        <w:trPr>
          <w:cantSplit/>
          <w:trHeight w:val="211"/>
        </w:trPr>
        <w:tc>
          <w:tcPr>
            <w:tcW w:w="2820" w:type="dxa"/>
            <w:tcBorders>
              <w:top w:val="nil"/>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lastRenderedPageBreak/>
              <w:t>Grocery</w:t>
            </w:r>
          </w:p>
        </w:tc>
        <w:tc>
          <w:tcPr>
            <w:tcW w:w="2790" w:type="dxa"/>
            <w:tcBorders>
              <w:top w:val="nil"/>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proofErr w:type="spellStart"/>
            <w:r w:rsidRPr="006F73B9">
              <w:rPr>
                <w:rFonts w:cs="Calibri"/>
                <w:color w:val="000000"/>
                <w:sz w:val="18"/>
                <w:szCs w:val="18"/>
              </w:rPr>
              <w:t>Comm</w:t>
            </w:r>
            <w:proofErr w:type="spellEnd"/>
            <w:r w:rsidRPr="006F73B9">
              <w:rPr>
                <w:rFonts w:cs="Calibri"/>
                <w:color w:val="000000"/>
                <w:sz w:val="18"/>
                <w:szCs w:val="18"/>
              </w:rPr>
              <w:t>/</w:t>
            </w:r>
            <w:proofErr w:type="spellStart"/>
            <w:r w:rsidRPr="006F73B9">
              <w:rPr>
                <w:rFonts w:cs="Calibri"/>
                <w:color w:val="000000"/>
                <w:sz w:val="18"/>
                <w:szCs w:val="18"/>
              </w:rPr>
              <w:t>Ind</w:t>
            </w:r>
            <w:proofErr w:type="spellEnd"/>
            <w:r w:rsidRPr="006F73B9">
              <w:rPr>
                <w:rFonts w:cs="Calibri"/>
                <w:color w:val="000000"/>
                <w:sz w:val="18"/>
                <w:szCs w:val="18"/>
              </w:rPr>
              <w:t xml:space="preserve"> Work (Loading Dock)</w:t>
            </w:r>
          </w:p>
        </w:tc>
        <w:tc>
          <w:tcPr>
            <w:tcW w:w="1080" w:type="dxa"/>
            <w:tcBorders>
              <w:top w:val="nil"/>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nil"/>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nil"/>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990" w:type="dxa"/>
            <w:tcBorders>
              <w:top w:val="nil"/>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Grocery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(Executive/Private)</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0.30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Grocery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Refrigerated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Grocery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Refrigerated (Walk-in Cooler)</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Grocery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Refrigerated (Walk-in Freezer)</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Grocery</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Retail Sales Grocery</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0.00</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Grocery</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Health/Medical </w:t>
            </w:r>
            <w:r>
              <w:rPr>
                <w:rFonts w:cs="Calibri"/>
                <w:color w:val="000000"/>
                <w:sz w:val="18"/>
                <w:szCs w:val="18"/>
              </w:rPr>
              <w:t>–</w:t>
            </w:r>
            <w:r w:rsidRPr="006F73B9">
              <w:rPr>
                <w:rFonts w:cs="Calibri"/>
                <w:color w:val="000000"/>
                <w:sz w:val="18"/>
                <w:szCs w:val="18"/>
              </w:rPr>
              <w:t xml:space="preserve"> Hospital</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Health/Medical </w:t>
            </w:r>
            <w:r>
              <w:rPr>
                <w:rFonts w:cs="Calibri"/>
                <w:color w:val="C0C0C0"/>
                <w:sz w:val="18"/>
                <w:szCs w:val="18"/>
              </w:rPr>
              <w:t>–</w:t>
            </w:r>
            <w:r w:rsidRPr="006F73B9">
              <w:rPr>
                <w:rFonts w:cs="Calibri"/>
                <w:color w:val="C0C0C0"/>
                <w:sz w:val="18"/>
                <w:szCs w:val="18"/>
              </w:rPr>
              <w:t xml:space="preserve"> Hospital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Health/Medical </w:t>
            </w:r>
            <w:r w:rsidR="00AA662A">
              <w:rPr>
                <w:rFonts w:cs="Calibri"/>
                <w:color w:val="000000"/>
                <w:sz w:val="18"/>
                <w:szCs w:val="18"/>
              </w:rPr>
              <w:t>–</w:t>
            </w:r>
            <w:r w:rsidRPr="006F73B9">
              <w:rPr>
                <w:rFonts w:cs="Calibri"/>
                <w:color w:val="000000"/>
                <w:sz w:val="18"/>
                <w:szCs w:val="18"/>
              </w:rPr>
              <w:t xml:space="preserve"> Hospital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Health/Medical </w:t>
            </w:r>
            <w:r>
              <w:rPr>
                <w:rFonts w:cs="Calibri"/>
                <w:color w:val="C0C0C0"/>
                <w:sz w:val="18"/>
                <w:szCs w:val="18"/>
              </w:rPr>
              <w:t>–</w:t>
            </w:r>
            <w:r w:rsidRPr="006F73B9">
              <w:rPr>
                <w:rFonts w:cs="Calibri"/>
                <w:color w:val="C0C0C0"/>
                <w:sz w:val="18"/>
                <w:szCs w:val="18"/>
              </w:rPr>
              <w:t xml:space="preserve"> Hospital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Laboratory Medical</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Health/Medical </w:t>
            </w:r>
            <w:r w:rsidR="00AA662A">
              <w:rPr>
                <w:rFonts w:cs="Calibri"/>
                <w:color w:val="000000"/>
                <w:sz w:val="18"/>
                <w:szCs w:val="18"/>
              </w:rPr>
              <w:t>–</w:t>
            </w:r>
            <w:r w:rsidRPr="006F73B9">
              <w:rPr>
                <w:rFonts w:cs="Calibri"/>
                <w:color w:val="000000"/>
                <w:sz w:val="18"/>
                <w:szCs w:val="18"/>
              </w:rPr>
              <w:t xml:space="preserve"> Hospital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Health/Medical </w:t>
            </w:r>
            <w:r>
              <w:rPr>
                <w:rFonts w:cs="Calibri"/>
                <w:color w:val="C0C0C0"/>
                <w:sz w:val="18"/>
                <w:szCs w:val="18"/>
              </w:rPr>
              <w:t>–</w:t>
            </w:r>
            <w:r w:rsidRPr="006F73B9">
              <w:rPr>
                <w:rFonts w:cs="Calibri"/>
                <w:color w:val="C0C0C0"/>
                <w:sz w:val="18"/>
                <w:szCs w:val="18"/>
              </w:rPr>
              <w:t xml:space="preserve"> Hospital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Medical and Clinical Care (12 </w:t>
            </w:r>
            <w:proofErr w:type="spellStart"/>
            <w:r w:rsidRPr="006F73B9">
              <w:rPr>
                <w:rFonts w:cs="Calibri"/>
                <w:color w:val="000000"/>
                <w:sz w:val="18"/>
                <w:szCs w:val="18"/>
              </w:rPr>
              <w:t>Hr</w:t>
            </w:r>
            <w:proofErr w:type="spellEnd"/>
            <w:r w:rsidRPr="006F73B9">
              <w:rPr>
                <w:rFonts w:cs="Calibri"/>
                <w:color w:val="000000"/>
                <w:sz w:val="18"/>
                <w:szCs w:val="18"/>
              </w:rPr>
              <w:t>)</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Health/Medical </w:t>
            </w:r>
            <w:r w:rsidR="00AA662A">
              <w:rPr>
                <w:rFonts w:cs="Calibri"/>
                <w:color w:val="000000"/>
                <w:sz w:val="18"/>
                <w:szCs w:val="18"/>
              </w:rPr>
              <w:t>–</w:t>
            </w:r>
            <w:r w:rsidRPr="006F73B9">
              <w:rPr>
                <w:rFonts w:cs="Calibri"/>
                <w:color w:val="000000"/>
                <w:sz w:val="18"/>
                <w:szCs w:val="18"/>
              </w:rPr>
              <w:t xml:space="preserve"> Hospital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Health/Medical </w:t>
            </w:r>
            <w:r>
              <w:rPr>
                <w:rFonts w:cs="Calibri"/>
                <w:color w:val="C0C0C0"/>
                <w:sz w:val="18"/>
                <w:szCs w:val="18"/>
              </w:rPr>
              <w:t>–</w:t>
            </w:r>
            <w:r w:rsidRPr="006F73B9">
              <w:rPr>
                <w:rFonts w:cs="Calibri"/>
                <w:color w:val="C0C0C0"/>
                <w:sz w:val="18"/>
                <w:szCs w:val="18"/>
              </w:rPr>
              <w:t xml:space="preserve"> Hospital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Medical and Clinical Care (24 </w:t>
            </w:r>
            <w:proofErr w:type="spellStart"/>
            <w:r w:rsidRPr="006F73B9">
              <w:rPr>
                <w:rFonts w:cs="Calibri"/>
                <w:color w:val="000000"/>
                <w:sz w:val="18"/>
                <w:szCs w:val="18"/>
              </w:rPr>
              <w:t>Hr</w:t>
            </w:r>
            <w:proofErr w:type="spellEnd"/>
            <w:r w:rsidRPr="006F73B9">
              <w:rPr>
                <w:rFonts w:cs="Calibri"/>
                <w:color w:val="000000"/>
                <w:sz w:val="18"/>
                <w:szCs w:val="18"/>
              </w:rPr>
              <w:t>)</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Health/Medical </w:t>
            </w:r>
            <w:r w:rsidR="00AA662A">
              <w:rPr>
                <w:rFonts w:cs="Calibri"/>
                <w:color w:val="000000"/>
                <w:sz w:val="18"/>
                <w:szCs w:val="18"/>
              </w:rPr>
              <w:t>–</w:t>
            </w:r>
            <w:r w:rsidRPr="006F73B9">
              <w:rPr>
                <w:rFonts w:cs="Calibri"/>
                <w:color w:val="000000"/>
                <w:sz w:val="18"/>
                <w:szCs w:val="18"/>
              </w:rPr>
              <w:t xml:space="preserve"> Hospital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Health/Medical </w:t>
            </w:r>
            <w:r>
              <w:rPr>
                <w:rFonts w:cs="Calibri"/>
                <w:color w:val="C0C0C0"/>
                <w:sz w:val="18"/>
                <w:szCs w:val="18"/>
              </w:rPr>
              <w:t>–</w:t>
            </w:r>
            <w:r w:rsidRPr="006F73B9">
              <w:rPr>
                <w:rFonts w:cs="Calibri"/>
                <w:color w:val="C0C0C0"/>
                <w:sz w:val="18"/>
                <w:szCs w:val="18"/>
              </w:rPr>
              <w:t xml:space="preserve"> Hospital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Patient Rooms</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0.00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Health/Medical </w:t>
            </w:r>
            <w:r>
              <w:rPr>
                <w:rFonts w:cs="Calibri"/>
                <w:color w:val="C0C0C0"/>
                <w:sz w:val="18"/>
                <w:szCs w:val="18"/>
              </w:rPr>
              <w:t>–</w:t>
            </w:r>
            <w:r w:rsidRPr="006F73B9">
              <w:rPr>
                <w:rFonts w:cs="Calibri"/>
                <w:color w:val="C0C0C0"/>
                <w:sz w:val="18"/>
                <w:szCs w:val="18"/>
              </w:rPr>
              <w:t xml:space="preserve"> Hospital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Health/Medical </w:t>
            </w:r>
            <w:r>
              <w:rPr>
                <w:rFonts w:cs="Calibri"/>
                <w:color w:val="C0C0C0"/>
                <w:sz w:val="18"/>
                <w:szCs w:val="18"/>
              </w:rPr>
              <w:t>–</w:t>
            </w:r>
            <w:r w:rsidRPr="006F73B9">
              <w:rPr>
                <w:rFonts w:cs="Calibri"/>
                <w:color w:val="C0C0C0"/>
                <w:sz w:val="18"/>
                <w:szCs w:val="18"/>
              </w:rPr>
              <w:t xml:space="preserve"> Hospital</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Health/Medical </w:t>
            </w:r>
            <w:r w:rsidR="00AA662A">
              <w:rPr>
                <w:rFonts w:cs="Calibri"/>
                <w:color w:val="000000"/>
                <w:sz w:val="18"/>
                <w:szCs w:val="18"/>
              </w:rPr>
              <w:t>–</w:t>
            </w:r>
            <w:r w:rsidRPr="006F73B9">
              <w:rPr>
                <w:rFonts w:cs="Calibri"/>
                <w:color w:val="000000"/>
                <w:sz w:val="18"/>
                <w:szCs w:val="18"/>
              </w:rPr>
              <w:t xml:space="preserve"> Hospital</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108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Health/Medical - Nursing Home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Health/Medical - Nursing Home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Patient Room</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0.00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Health/Medical - Nursing Home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Health/Medical - Nursing Home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Health/Medical - Nursing Home</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Health/Medical - Nursing Home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Pr>
                <w:rFonts w:cs="Calibri"/>
                <w:color w:val="000000"/>
                <w:sz w:val="18"/>
                <w:szCs w:val="18"/>
              </w:rPr>
              <w:t>–</w:t>
            </w:r>
            <w:r w:rsidRPr="006F73B9">
              <w:rPr>
                <w:rFonts w:cs="Calibri"/>
                <w:color w:val="000000"/>
                <w:sz w:val="18"/>
                <w:szCs w:val="18"/>
              </w:rPr>
              <w:t xml:space="preserve"> Hotel</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Bar Cocktail Lounge</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sidR="00AA662A">
              <w:rPr>
                <w:rFonts w:cs="Calibri"/>
                <w:color w:val="000000"/>
                <w:sz w:val="18"/>
                <w:szCs w:val="18"/>
              </w:rPr>
              <w:t>–</w:t>
            </w:r>
            <w:r w:rsidRPr="006F73B9">
              <w:rPr>
                <w:rFonts w:cs="Calibri"/>
                <w:color w:val="000000"/>
                <w:sz w:val="18"/>
                <w:szCs w:val="18"/>
              </w:rPr>
              <w:t xml:space="preserve"> Hotel</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Hotel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Hotel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sidR="00AA662A">
              <w:rPr>
                <w:rFonts w:cs="Calibri"/>
                <w:color w:val="000000"/>
                <w:sz w:val="18"/>
                <w:szCs w:val="18"/>
              </w:rPr>
              <w:t>–</w:t>
            </w:r>
            <w:r w:rsidRPr="006F73B9">
              <w:rPr>
                <w:rFonts w:cs="Calibri"/>
                <w:color w:val="000000"/>
                <w:sz w:val="18"/>
                <w:szCs w:val="18"/>
              </w:rPr>
              <w:t xml:space="preserve"> Hotel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Hotel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Hotel/Motel Guest Room (incl. toilets)</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Hotel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sidR="00AA662A">
              <w:rPr>
                <w:rFonts w:cs="Calibri"/>
                <w:color w:val="000000"/>
                <w:sz w:val="18"/>
                <w:szCs w:val="18"/>
              </w:rPr>
              <w:t>–</w:t>
            </w:r>
            <w:r w:rsidRPr="006F73B9">
              <w:rPr>
                <w:rFonts w:cs="Calibri"/>
                <w:color w:val="000000"/>
                <w:sz w:val="18"/>
                <w:szCs w:val="18"/>
              </w:rPr>
              <w:t xml:space="preserve"> Hotel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Hotel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Laundry</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sidR="00AA662A">
              <w:rPr>
                <w:rFonts w:cs="Calibri"/>
                <w:color w:val="000000"/>
                <w:sz w:val="18"/>
                <w:szCs w:val="18"/>
              </w:rPr>
              <w:t>–</w:t>
            </w:r>
            <w:r w:rsidRPr="006F73B9">
              <w:rPr>
                <w:rFonts w:cs="Calibri"/>
                <w:color w:val="000000"/>
                <w:sz w:val="18"/>
                <w:szCs w:val="18"/>
              </w:rPr>
              <w:t xml:space="preserve"> Hotel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Hotel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Lobby (Hotel)</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sidR="00AA662A">
              <w:rPr>
                <w:rFonts w:cs="Calibri"/>
                <w:color w:val="000000"/>
                <w:sz w:val="18"/>
                <w:szCs w:val="18"/>
              </w:rPr>
              <w:t>–</w:t>
            </w:r>
            <w:r w:rsidRPr="006F73B9">
              <w:rPr>
                <w:rFonts w:cs="Calibri"/>
                <w:color w:val="000000"/>
                <w:sz w:val="18"/>
                <w:szCs w:val="18"/>
              </w:rPr>
              <w:t xml:space="preserve"> Hotel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Hotel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Hotel</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sidR="00AA662A">
              <w:rPr>
                <w:rFonts w:cs="Calibri"/>
                <w:color w:val="000000"/>
                <w:sz w:val="18"/>
                <w:szCs w:val="18"/>
              </w:rPr>
              <w:t>–</w:t>
            </w:r>
            <w:r w:rsidRPr="006F73B9">
              <w:rPr>
                <w:rFonts w:cs="Calibri"/>
                <w:color w:val="000000"/>
                <w:sz w:val="18"/>
                <w:szCs w:val="18"/>
              </w:rPr>
              <w:t xml:space="preserve"> Hotel</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Pr>
                <w:rFonts w:cs="Calibri"/>
                <w:color w:val="000000"/>
                <w:sz w:val="18"/>
                <w:szCs w:val="18"/>
              </w:rPr>
              <w:t>–</w:t>
            </w:r>
            <w:r w:rsidRPr="006F73B9">
              <w:rPr>
                <w:rFonts w:cs="Calibri"/>
                <w:color w:val="000000"/>
                <w:sz w:val="18"/>
                <w:szCs w:val="18"/>
              </w:rPr>
              <w:t xml:space="preserve"> Motel</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108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Motel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Hotel/Motel Guest Room (incl. toilets)</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Motel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Laundry</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sidR="00AA662A">
              <w:rPr>
                <w:rFonts w:cs="Calibri"/>
                <w:color w:val="000000"/>
                <w:sz w:val="18"/>
                <w:szCs w:val="18"/>
              </w:rPr>
              <w:t>–</w:t>
            </w:r>
            <w:r w:rsidRPr="006F73B9">
              <w:rPr>
                <w:rFonts w:cs="Calibri"/>
                <w:color w:val="000000"/>
                <w:sz w:val="18"/>
                <w:szCs w:val="18"/>
              </w:rPr>
              <w:t xml:space="preserve"> Motel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Motel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Lodging </w:t>
            </w:r>
            <w:r>
              <w:rPr>
                <w:rFonts w:cs="Calibri"/>
                <w:color w:val="C0C0C0"/>
                <w:sz w:val="18"/>
                <w:szCs w:val="18"/>
              </w:rPr>
              <w:t>–</w:t>
            </w:r>
            <w:r w:rsidRPr="006F73B9">
              <w:rPr>
                <w:rFonts w:cs="Calibri"/>
                <w:color w:val="C0C0C0"/>
                <w:sz w:val="18"/>
                <w:szCs w:val="18"/>
              </w:rPr>
              <w:t xml:space="preserve"> Motel</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Lodging </w:t>
            </w:r>
            <w:r w:rsidR="00AA662A">
              <w:rPr>
                <w:rFonts w:cs="Calibri"/>
                <w:color w:val="000000"/>
                <w:sz w:val="18"/>
                <w:szCs w:val="18"/>
              </w:rPr>
              <w:t>–</w:t>
            </w:r>
            <w:r w:rsidRPr="006F73B9">
              <w:rPr>
                <w:rFonts w:cs="Calibri"/>
                <w:color w:val="000000"/>
                <w:sz w:val="18"/>
                <w:szCs w:val="18"/>
              </w:rPr>
              <w:t xml:space="preserve"> Motel</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lastRenderedPageBreak/>
              <w:t>Manufacturing - Bio/Tech</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proofErr w:type="spellStart"/>
            <w:r w:rsidRPr="006F73B9">
              <w:rPr>
                <w:rFonts w:cs="Calibri"/>
                <w:color w:val="000000"/>
                <w:sz w:val="18"/>
                <w:szCs w:val="18"/>
              </w:rPr>
              <w:t>Comm</w:t>
            </w:r>
            <w:proofErr w:type="spellEnd"/>
            <w:r w:rsidRPr="006F73B9">
              <w:rPr>
                <w:rFonts w:cs="Calibri"/>
                <w:color w:val="000000"/>
                <w:sz w:val="18"/>
                <w:szCs w:val="18"/>
              </w:rPr>
              <w:t>/</w:t>
            </w:r>
            <w:proofErr w:type="spellStart"/>
            <w:r w:rsidRPr="006F73B9">
              <w:rPr>
                <w:rFonts w:cs="Calibri"/>
                <w:color w:val="000000"/>
                <w:sz w:val="18"/>
                <w:szCs w:val="18"/>
              </w:rPr>
              <w:t>Ind</w:t>
            </w:r>
            <w:proofErr w:type="spellEnd"/>
            <w:r w:rsidRPr="006F73B9">
              <w:rPr>
                <w:rFonts w:cs="Calibri"/>
                <w:color w:val="000000"/>
                <w:sz w:val="18"/>
                <w:szCs w:val="18"/>
              </w:rPr>
              <w:t xml:space="preserve"> Work (High Tech Bio Tech Lab)</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Manufacturing - Bio/Tech</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Computer Room (Mainframe/Server)</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Manufacturing - Bio/Tech</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Conference Room</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Conference Room</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Manufacturing - Bio/Tech</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Manufacturing - Bio/Tech</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Manufacturing - Bio/Tech</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Manufacturing - Bio/Tech</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Manufacturing - Bio/Tech</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Manufacturing - Light Industrial</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proofErr w:type="spellStart"/>
            <w:r w:rsidRPr="006F73B9">
              <w:rPr>
                <w:rFonts w:cs="Calibri"/>
                <w:color w:val="000000"/>
                <w:sz w:val="18"/>
                <w:szCs w:val="18"/>
              </w:rPr>
              <w:t>Comm</w:t>
            </w:r>
            <w:proofErr w:type="spellEnd"/>
            <w:r w:rsidRPr="006F73B9">
              <w:rPr>
                <w:rFonts w:cs="Calibri"/>
                <w:color w:val="000000"/>
                <w:sz w:val="18"/>
                <w:szCs w:val="18"/>
              </w:rPr>
              <w:t>/</w:t>
            </w:r>
            <w:proofErr w:type="spellStart"/>
            <w:r w:rsidRPr="006F73B9">
              <w:rPr>
                <w:rFonts w:cs="Calibri"/>
                <w:color w:val="000000"/>
                <w:sz w:val="18"/>
                <w:szCs w:val="18"/>
              </w:rPr>
              <w:t>Ind</w:t>
            </w:r>
            <w:proofErr w:type="spellEnd"/>
            <w:r w:rsidRPr="006F73B9">
              <w:rPr>
                <w:rFonts w:cs="Calibri"/>
                <w:color w:val="000000"/>
                <w:sz w:val="18"/>
                <w:szCs w:val="18"/>
              </w:rPr>
              <w:t xml:space="preserve"> Work (General High Bay)</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Manufacturing - Light Industrial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Storage (Unconditioned)</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Small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Manufacturing - Light Industrial</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Conference Room</w:t>
            </w:r>
          </w:p>
        </w:tc>
        <w:tc>
          <w:tcPr>
            <w:tcW w:w="108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Copy Room (photocopying equipment)</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Lobby(Office Reception/Waiting)</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(Executive/Private)</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0.30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Restrooms</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Large</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Small</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Conference Room</w:t>
            </w:r>
          </w:p>
        </w:tc>
        <w:tc>
          <w:tcPr>
            <w:tcW w:w="108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Small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Copy Room (photocopying equipment)</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Small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Small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Lobby (Office Reception/Waiting)</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Small</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Corridor</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Small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Small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(Executive/Private)</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0.30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Small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Restrooms</w:t>
            </w:r>
          </w:p>
        </w:tc>
        <w:tc>
          <w:tcPr>
            <w:tcW w:w="108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YES</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jc w:val="right"/>
              <w:rPr>
                <w:rFonts w:cs="Calibri"/>
                <w:color w:val="000000"/>
                <w:sz w:val="18"/>
                <w:szCs w:val="18"/>
              </w:rPr>
            </w:pP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0.10</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Office </w:t>
            </w:r>
            <w:r>
              <w:rPr>
                <w:rFonts w:cs="Calibri"/>
                <w:color w:val="C0C0C0"/>
                <w:sz w:val="18"/>
                <w:szCs w:val="18"/>
              </w:rPr>
              <w:t>–</w:t>
            </w:r>
            <w:r w:rsidRPr="006F73B9">
              <w:rPr>
                <w:rFonts w:cs="Calibri"/>
                <w:color w:val="C0C0C0"/>
                <w:sz w:val="18"/>
                <w:szCs w:val="18"/>
              </w:rPr>
              <w:t xml:space="preserve"> Small</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Restaurant - Sit-Down</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Restaurant - Sit-Down</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Restaurant - Sit-Down</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Lobby (Main Entry and Assembly)</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Restaurant - Sit-Down</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Restrooms</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Restrooms</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lastRenderedPageBreak/>
              <w:t>Restaurant - Sit-Down</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Restaurant - Fast-Food</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Dining Area</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Restaurant - Fast-Food</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Restaurant - Fast-Food</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Lobby (Main Entry and Assembly)</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Restaurant - Fast-Food</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Restrooms</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Restaurant - Fast-Food</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Restrooms</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0.26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Retail - 3-Story Large</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Retail - 3-Story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Retail Sales and Wholesale Showroom</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0.00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Retail - 3-Story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Storage (Conditioned)</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Retail - 3-Story Large</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Retail - Single-Story Large</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Auto Repair Workshop</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0.00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Retail - Single-Story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Kitchen and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Retail - Single-Story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(General)</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Retail - Single-Story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Retail Sales and Wholesale Showroom</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0.00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Retail - Single-Story Large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Storage (Conditioned)</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Retail - Single-Story Large</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Retail </w:t>
            </w:r>
            <w:r>
              <w:rPr>
                <w:rFonts w:cs="Calibri"/>
                <w:color w:val="000000"/>
                <w:sz w:val="18"/>
                <w:szCs w:val="18"/>
              </w:rPr>
              <w:t>–</w:t>
            </w:r>
            <w:r w:rsidRPr="006F73B9">
              <w:rPr>
                <w:rFonts w:cs="Calibri"/>
                <w:color w:val="000000"/>
                <w:sz w:val="18"/>
                <w:szCs w:val="18"/>
              </w:rPr>
              <w:t xml:space="preserve"> Small</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Retail Sales and Wholesale Showroom</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0.00</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Retail </w:t>
            </w:r>
            <w:r>
              <w:rPr>
                <w:rFonts w:cs="Calibri"/>
                <w:color w:val="C0C0C0"/>
                <w:sz w:val="18"/>
                <w:szCs w:val="18"/>
              </w:rPr>
              <w:t>–</w:t>
            </w:r>
            <w:r w:rsidRPr="006F73B9">
              <w:rPr>
                <w:rFonts w:cs="Calibri"/>
                <w:color w:val="C0C0C0"/>
                <w:sz w:val="18"/>
                <w:szCs w:val="18"/>
              </w:rPr>
              <w:t xml:space="preserve"> Small</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Storage (Conditioned)</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 xml:space="preserve">Retail </w:t>
            </w:r>
            <w:r>
              <w:rPr>
                <w:rFonts w:cs="Calibri"/>
                <w:color w:val="C0C0C0"/>
                <w:sz w:val="18"/>
                <w:szCs w:val="18"/>
              </w:rPr>
              <w:t>–</w:t>
            </w:r>
            <w:r w:rsidRPr="006F73B9">
              <w:rPr>
                <w:rFonts w:cs="Calibri"/>
                <w:color w:val="C0C0C0"/>
                <w:sz w:val="18"/>
                <w:szCs w:val="18"/>
              </w:rPr>
              <w:t xml:space="preserve"> Small</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6"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Storage </w:t>
            </w:r>
            <w:r>
              <w:rPr>
                <w:rFonts w:cs="Calibri"/>
                <w:color w:val="000000"/>
                <w:sz w:val="18"/>
                <w:szCs w:val="18"/>
              </w:rPr>
              <w:t>–</w:t>
            </w:r>
            <w:r w:rsidRPr="006F73B9">
              <w:rPr>
                <w:rFonts w:cs="Calibri"/>
                <w:color w:val="000000"/>
                <w:sz w:val="18"/>
                <w:szCs w:val="18"/>
              </w:rPr>
              <w:t xml:space="preserve"> Conditioned</w:t>
            </w:r>
          </w:p>
        </w:tc>
        <w:tc>
          <w:tcPr>
            <w:tcW w:w="2790"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Storage (Conditioned)</w:t>
            </w:r>
          </w:p>
        </w:tc>
        <w:tc>
          <w:tcPr>
            <w:tcW w:w="1080" w:type="dxa"/>
            <w:tcBorders>
              <w:top w:val="single" w:sz="6"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990" w:type="dxa"/>
            <w:tcBorders>
              <w:top w:val="single" w:sz="6"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Storage </w:t>
            </w:r>
            <w:r w:rsidR="00D3659A">
              <w:rPr>
                <w:rFonts w:cs="Calibri"/>
                <w:color w:val="000000"/>
                <w:sz w:val="18"/>
                <w:szCs w:val="18"/>
              </w:rPr>
              <w:t>–</w:t>
            </w:r>
            <w:r w:rsidRPr="006F73B9">
              <w:rPr>
                <w:rFonts w:cs="Calibri"/>
                <w:color w:val="000000"/>
                <w:sz w:val="18"/>
                <w:szCs w:val="18"/>
              </w:rPr>
              <w:t xml:space="preserve"> Unconditioned</w:t>
            </w:r>
          </w:p>
        </w:tc>
        <w:tc>
          <w:tcPr>
            <w:tcW w:w="2790"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Storage (Unconditioned)</w:t>
            </w:r>
          </w:p>
        </w:tc>
        <w:tc>
          <w:tcPr>
            <w:tcW w:w="1080" w:type="dxa"/>
            <w:tcBorders>
              <w:top w:val="single" w:sz="6"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Mechanical/Electrical Room</w:t>
            </w:r>
          </w:p>
        </w:tc>
        <w:tc>
          <w:tcPr>
            <w:tcW w:w="990" w:type="dxa"/>
            <w:tcBorders>
              <w:top w:val="single" w:sz="6"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0.16</w:t>
            </w:r>
          </w:p>
        </w:tc>
      </w:tr>
      <w:tr w:rsidR="00FE1DFD" w:rsidTr="003B7AD9">
        <w:trPr>
          <w:cantSplit/>
          <w:trHeight w:val="211"/>
        </w:trPr>
        <w:tc>
          <w:tcPr>
            <w:tcW w:w="2820" w:type="dxa"/>
            <w:tcBorders>
              <w:top w:val="single" w:sz="6"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Storage - Refrigerated Warehouse</w:t>
            </w:r>
          </w:p>
        </w:tc>
        <w:tc>
          <w:tcPr>
            <w:tcW w:w="2790"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proofErr w:type="spellStart"/>
            <w:r w:rsidRPr="006F73B9">
              <w:rPr>
                <w:rFonts w:cs="Calibri"/>
                <w:color w:val="000000"/>
                <w:sz w:val="18"/>
                <w:szCs w:val="18"/>
              </w:rPr>
              <w:t>Comm</w:t>
            </w:r>
            <w:proofErr w:type="spellEnd"/>
            <w:r w:rsidRPr="006F73B9">
              <w:rPr>
                <w:rFonts w:cs="Calibri"/>
                <w:color w:val="000000"/>
                <w:sz w:val="18"/>
                <w:szCs w:val="18"/>
              </w:rPr>
              <w:t>/</w:t>
            </w:r>
            <w:proofErr w:type="spellStart"/>
            <w:r w:rsidRPr="006F73B9">
              <w:rPr>
                <w:rFonts w:cs="Calibri"/>
                <w:color w:val="000000"/>
                <w:sz w:val="18"/>
                <w:szCs w:val="18"/>
              </w:rPr>
              <w:t>Ind</w:t>
            </w:r>
            <w:proofErr w:type="spellEnd"/>
            <w:r w:rsidRPr="006F73B9">
              <w:rPr>
                <w:rFonts w:cs="Calibri"/>
                <w:color w:val="000000"/>
                <w:sz w:val="18"/>
                <w:szCs w:val="18"/>
              </w:rPr>
              <w:t xml:space="preserve"> Work (Loading Dock)</w:t>
            </w:r>
          </w:p>
        </w:tc>
        <w:tc>
          <w:tcPr>
            <w:tcW w:w="1080" w:type="dxa"/>
            <w:tcBorders>
              <w:top w:val="single" w:sz="6"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6"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6"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Storage - Refrigerated Warehouse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(Executive/Private)</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Storage - Refrigerated Warehouse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Refrigerated (Cooled Storage)</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Storage - Refrigerated Warehouse</w:t>
            </w:r>
          </w:p>
        </w:tc>
        <w:tc>
          <w:tcPr>
            <w:tcW w:w="2790"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Refrigerated (Food Preparation)</w:t>
            </w:r>
          </w:p>
        </w:tc>
        <w:tc>
          <w:tcPr>
            <w:tcW w:w="1080" w:type="dxa"/>
            <w:tcBorders>
              <w:top w:val="single" w:sz="2" w:space="0" w:color="auto"/>
              <w:left w:val="single" w:sz="2" w:space="0" w:color="auto"/>
              <w:bottom w:val="single" w:sz="2"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2"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2"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2"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C0C0C0"/>
                <w:sz w:val="18"/>
                <w:szCs w:val="18"/>
              </w:rPr>
            </w:pPr>
            <w:r w:rsidRPr="006F73B9">
              <w:rPr>
                <w:rFonts w:cs="Calibri"/>
                <w:color w:val="C0C0C0"/>
                <w:sz w:val="18"/>
                <w:szCs w:val="18"/>
              </w:rPr>
              <w:t>Storage - Refrigerated Warehouse</w:t>
            </w:r>
          </w:p>
        </w:tc>
        <w:tc>
          <w:tcPr>
            <w:tcW w:w="2790"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Other</w:t>
            </w:r>
          </w:p>
        </w:tc>
        <w:tc>
          <w:tcPr>
            <w:tcW w:w="1080" w:type="dxa"/>
            <w:tcBorders>
              <w:top w:val="single" w:sz="2"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xml:space="preserve">Office </w:t>
            </w:r>
            <w:r>
              <w:rPr>
                <w:rFonts w:cs="Calibri"/>
                <w:color w:val="000000"/>
                <w:sz w:val="18"/>
                <w:szCs w:val="18"/>
              </w:rPr>
              <w:t>–</w:t>
            </w:r>
            <w:r w:rsidRPr="006F73B9">
              <w:rPr>
                <w:rFonts w:cs="Calibri"/>
                <w:color w:val="000000"/>
                <w:sz w:val="18"/>
                <w:szCs w:val="18"/>
              </w:rPr>
              <w:t xml:space="preserve"> Large</w:t>
            </w:r>
          </w:p>
        </w:tc>
        <w:tc>
          <w:tcPr>
            <w:tcW w:w="2691" w:type="dxa"/>
            <w:tcBorders>
              <w:top w:val="single" w:sz="2"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Office (Open Plan)</w:t>
            </w:r>
          </w:p>
        </w:tc>
        <w:tc>
          <w:tcPr>
            <w:tcW w:w="990" w:type="dxa"/>
            <w:tcBorders>
              <w:top w:val="single" w:sz="2"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r w:rsidR="00FE1DFD" w:rsidTr="003B7AD9">
        <w:trPr>
          <w:cantSplit/>
          <w:trHeight w:val="211"/>
        </w:trPr>
        <w:tc>
          <w:tcPr>
            <w:tcW w:w="2820" w:type="dxa"/>
            <w:tcBorders>
              <w:top w:val="single" w:sz="6" w:space="0" w:color="auto"/>
              <w:left w:val="single" w:sz="6"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Non-DEER</w:t>
            </w:r>
          </w:p>
        </w:tc>
        <w:tc>
          <w:tcPr>
            <w:tcW w:w="2790"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All Non-DEER</w:t>
            </w:r>
          </w:p>
        </w:tc>
        <w:tc>
          <w:tcPr>
            <w:tcW w:w="1080" w:type="dxa"/>
            <w:tcBorders>
              <w:top w:val="single" w:sz="6" w:space="0" w:color="auto"/>
              <w:left w:val="single" w:sz="2" w:space="0" w:color="auto"/>
              <w:bottom w:val="single" w:sz="6" w:space="0" w:color="auto"/>
              <w:right w:val="single" w:sz="2" w:space="0" w:color="auto"/>
            </w:tcBorders>
            <w:shd w:val="solid" w:color="FF99CC" w:fill="auto"/>
          </w:tcPr>
          <w:p w:rsidR="00FE1DFD" w:rsidRPr="006F73B9" w:rsidRDefault="00FE1DFD" w:rsidP="003B7AD9">
            <w:pPr>
              <w:autoSpaceDE w:val="0"/>
              <w:autoSpaceDN w:val="0"/>
              <w:adjustRightInd w:val="0"/>
              <w:spacing w:after="0" w:line="240" w:lineRule="auto"/>
              <w:jc w:val="center"/>
              <w:rPr>
                <w:rFonts w:cs="Calibri"/>
                <w:color w:val="800080"/>
                <w:sz w:val="18"/>
                <w:szCs w:val="18"/>
              </w:rPr>
            </w:pPr>
            <w:r w:rsidRPr="006F73B9">
              <w:rPr>
                <w:rFonts w:cs="Calibri"/>
                <w:color w:val="800080"/>
                <w:sz w:val="18"/>
                <w:szCs w:val="18"/>
              </w:rPr>
              <w:t>NO</w:t>
            </w:r>
          </w:p>
        </w:tc>
        <w:tc>
          <w:tcPr>
            <w:tcW w:w="2799"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2691" w:type="dxa"/>
            <w:tcBorders>
              <w:top w:val="single" w:sz="6" w:space="0" w:color="auto"/>
              <w:left w:val="single" w:sz="2" w:space="0" w:color="auto"/>
              <w:bottom w:val="single" w:sz="6" w:space="0" w:color="auto"/>
              <w:right w:val="single" w:sz="2" w:space="0" w:color="auto"/>
            </w:tcBorders>
          </w:tcPr>
          <w:p w:rsidR="00FE1DFD" w:rsidRPr="006F73B9" w:rsidRDefault="00FE1DFD" w:rsidP="003B7AD9">
            <w:pPr>
              <w:autoSpaceDE w:val="0"/>
              <w:autoSpaceDN w:val="0"/>
              <w:adjustRightInd w:val="0"/>
              <w:spacing w:after="0" w:line="240" w:lineRule="auto"/>
              <w:rPr>
                <w:rFonts w:cs="Calibri"/>
                <w:color w:val="000000"/>
                <w:sz w:val="18"/>
                <w:szCs w:val="18"/>
              </w:rPr>
            </w:pPr>
            <w:r w:rsidRPr="006F73B9">
              <w:rPr>
                <w:rFonts w:cs="Calibri"/>
                <w:color w:val="000000"/>
                <w:sz w:val="18"/>
                <w:szCs w:val="18"/>
              </w:rPr>
              <w:t>- none -</w:t>
            </w:r>
          </w:p>
        </w:tc>
        <w:tc>
          <w:tcPr>
            <w:tcW w:w="990" w:type="dxa"/>
            <w:tcBorders>
              <w:top w:val="single" w:sz="6" w:space="0" w:color="auto"/>
              <w:left w:val="single" w:sz="2" w:space="0" w:color="auto"/>
              <w:bottom w:val="single" w:sz="6" w:space="0" w:color="auto"/>
              <w:right w:val="single" w:sz="6" w:space="0" w:color="auto"/>
            </w:tcBorders>
          </w:tcPr>
          <w:p w:rsidR="00FE1DFD" w:rsidRPr="006F73B9" w:rsidRDefault="00FE1DFD" w:rsidP="003B7AD9">
            <w:pPr>
              <w:autoSpaceDE w:val="0"/>
              <w:autoSpaceDN w:val="0"/>
              <w:adjustRightInd w:val="0"/>
              <w:spacing w:after="0" w:line="240" w:lineRule="auto"/>
              <w:jc w:val="center"/>
              <w:rPr>
                <w:rFonts w:cs="Calibri"/>
                <w:color w:val="000000"/>
                <w:sz w:val="18"/>
                <w:szCs w:val="18"/>
              </w:rPr>
            </w:pPr>
            <w:r w:rsidRPr="006F73B9">
              <w:rPr>
                <w:rFonts w:cs="Calibri"/>
                <w:color w:val="000000"/>
                <w:sz w:val="18"/>
                <w:szCs w:val="18"/>
              </w:rPr>
              <w:t>0.15</w:t>
            </w:r>
          </w:p>
        </w:tc>
      </w:tr>
    </w:tbl>
    <w:p w:rsidR="00FE1DFD" w:rsidRDefault="00FE1DFD" w:rsidP="0078683F">
      <w:pPr>
        <w:pStyle w:val="ListParagraph"/>
        <w:ind w:left="0"/>
      </w:pPr>
    </w:p>
    <w:p w:rsidR="00FE1DFD" w:rsidRDefault="00FE1DFD">
      <w:pPr>
        <w:sectPr w:rsidR="00FE1DFD" w:rsidSect="00FE1DFD">
          <w:pgSz w:w="15840" w:h="12240" w:orient="landscape"/>
          <w:pgMar w:top="1440" w:right="1440" w:bottom="1440" w:left="1440" w:header="720" w:footer="144" w:gutter="0"/>
          <w:cols w:space="720"/>
          <w:titlePg/>
          <w:docGrid w:linePitch="360"/>
        </w:sectPr>
      </w:pPr>
    </w:p>
    <w:p w:rsidR="00411964" w:rsidRDefault="00275AEF" w:rsidP="00084ED8">
      <w:pPr>
        <w:pStyle w:val="ListParagraph"/>
        <w:ind w:left="0"/>
        <w:rPr>
          <w:b/>
          <w:u w:val="single"/>
        </w:rPr>
      </w:pPr>
      <w:r w:rsidRPr="00084ED8">
        <w:rPr>
          <w:b/>
          <w:u w:val="single"/>
        </w:rPr>
        <w:lastRenderedPageBreak/>
        <w:t>Reference</w:t>
      </w:r>
      <w:r w:rsidR="001D0C47">
        <w:rPr>
          <w:b/>
          <w:u w:val="single"/>
        </w:rPr>
        <w:t>(s):</w:t>
      </w:r>
    </w:p>
    <w:p w:rsidR="0078683F" w:rsidRDefault="002A1DE4" w:rsidP="0078683F">
      <w:pPr>
        <w:pStyle w:val="Caption"/>
        <w:keepNext/>
      </w:pPr>
      <w:fldSimple w:instr=" SEQ Figure \* ARABIC ">
        <w:r w:rsidR="005740CE">
          <w:rPr>
            <w:noProof/>
          </w:rPr>
          <w:t>1</w:t>
        </w:r>
      </w:fldSimple>
      <w:r w:rsidR="0078683F">
        <w:rPr>
          <w:noProof/>
        </w:rPr>
        <w:t xml:space="preserve"> </w:t>
      </w:r>
      <w:bookmarkStart w:id="6" w:name="_Ref349645237"/>
      <w:r w:rsidR="0078683F">
        <w:rPr>
          <w:noProof/>
        </w:rPr>
        <w:t>- Control Savings Calculator</w:t>
      </w:r>
      <w:bookmarkEnd w:id="6"/>
      <w:r w:rsidR="007314EC">
        <w:rPr>
          <w:noProof/>
        </w:rPr>
        <w:t xml:space="preserve"> (Revised </w:t>
      </w:r>
      <w:r w:rsidR="005740CE">
        <w:rPr>
          <w:noProof/>
        </w:rPr>
        <w:t>September 6</w:t>
      </w:r>
      <w:r w:rsidR="00221F57">
        <w:rPr>
          <w:noProof/>
        </w:rPr>
        <w:t>, 2013</w:t>
      </w:r>
      <w:r w:rsidR="007314EC">
        <w:rPr>
          <w:noProof/>
        </w:rPr>
        <w:t>)</w:t>
      </w:r>
    </w:p>
    <w:p w:rsidR="00411964" w:rsidRDefault="005740CE" w:rsidP="00084ED8">
      <w:r>
        <w:object w:dxaOrig="1513" w:dyaOrig="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7pt;height:48.15pt" o:ole="">
            <v:imagedata r:id="rId16" o:title=""/>
          </v:shape>
          <o:OLEObject Type="Embed" ProgID="Excel.Sheet.12" ShapeID="_x0000_i1026" DrawAspect="Icon" ObjectID="_1439983476" r:id="rId17"/>
        </w:object>
      </w:r>
    </w:p>
    <w:p w:rsidR="005740CE" w:rsidRDefault="005740CE" w:rsidP="005740CE">
      <w:pPr>
        <w:pStyle w:val="Caption"/>
        <w:keepNext/>
        <w:rPr>
          <w:noProof/>
        </w:rPr>
      </w:pPr>
      <w:r>
        <w:fldChar w:fldCharType="begin"/>
      </w:r>
      <w:r>
        <w:instrText xml:space="preserve"> SEQ Figure \* ARABIC </w:instrText>
      </w:r>
      <w:r>
        <w:fldChar w:fldCharType="separate"/>
      </w:r>
      <w:r>
        <w:rPr>
          <w:noProof/>
        </w:rPr>
        <w:t>2</w:t>
      </w:r>
      <w:r>
        <w:rPr>
          <w:noProof/>
        </w:rPr>
        <w:fldChar w:fldCharType="end"/>
      </w:r>
      <w:r>
        <w:rPr>
          <w:noProof/>
        </w:rPr>
        <w:t xml:space="preserve"> </w:t>
      </w:r>
      <w:r>
        <w:rPr>
          <w:noProof/>
        </w:rPr>
        <w:t>–</w:t>
      </w:r>
      <w:r>
        <w:rPr>
          <w:noProof/>
        </w:rPr>
        <w:t xml:space="preserve"> </w:t>
      </w:r>
      <w:r>
        <w:rPr>
          <w:noProof/>
        </w:rPr>
        <w:t>Occupancy Savings Demand Impact Calculations</w:t>
      </w:r>
    </w:p>
    <w:p w:rsidR="005740CE" w:rsidRPr="005740CE" w:rsidRDefault="005740CE" w:rsidP="005740CE">
      <w:r>
        <w:object w:dxaOrig="1513" w:dyaOrig="960">
          <v:shape id="_x0000_i1027" type="#_x0000_t75" style="width:75.7pt;height:48.15pt" o:ole="">
            <v:imagedata r:id="rId18" o:title=""/>
          </v:shape>
          <o:OLEObject Type="Embed" ProgID="Excel.Sheet.12" ShapeID="_x0000_i1027" DrawAspect="Icon" ObjectID="_1439983477" r:id="rId19"/>
        </w:object>
      </w:r>
    </w:p>
    <w:p w:rsidR="00AA662A" w:rsidRDefault="002A1DE4" w:rsidP="00AA662A">
      <w:pPr>
        <w:pStyle w:val="Caption"/>
        <w:keepNext/>
      </w:pPr>
      <w:fldSimple w:instr=" SEQ Figure \* ARABIC ">
        <w:r w:rsidR="009B2596">
          <w:rPr>
            <w:noProof/>
          </w:rPr>
          <w:t>3</w:t>
        </w:r>
      </w:fldSimple>
      <w:r w:rsidR="00AA662A">
        <w:rPr>
          <w:noProof/>
        </w:rPr>
        <w:t xml:space="preserve"> - Modified Lighting Calculator Preliminary Disposition</w:t>
      </w:r>
    </w:p>
    <w:bookmarkStart w:id="7" w:name="_MON_1423558073"/>
    <w:bookmarkEnd w:id="7"/>
    <w:p w:rsidR="00411964" w:rsidRDefault="00AA662A" w:rsidP="00084ED8">
      <w:pPr>
        <w:rPr>
          <w:b/>
          <w:u w:val="single"/>
        </w:rPr>
      </w:pPr>
      <w:r>
        <w:object w:dxaOrig="1513" w:dyaOrig="960">
          <v:shape id="_x0000_i1025" type="#_x0000_t75" style="width:76.1pt;height:47.75pt" o:ole="">
            <v:imagedata r:id="rId20" o:title=""/>
          </v:shape>
          <o:OLEObject Type="Embed" ProgID="Word.Document.12" ShapeID="_x0000_i1025" DrawAspect="Icon" ObjectID="_1439983478" r:id="rId21">
            <o:FieldCodes>\s</o:FieldCodes>
          </o:OLEObject>
        </w:object>
      </w:r>
    </w:p>
    <w:p w:rsidR="005B6E1F" w:rsidRPr="00084ED8" w:rsidRDefault="005B6E1F" w:rsidP="00084ED8">
      <w:pPr>
        <w:rPr>
          <w:b/>
          <w:u w:val="single"/>
        </w:rPr>
      </w:pPr>
    </w:p>
    <w:sectPr w:rsidR="005B6E1F" w:rsidRPr="00084ED8" w:rsidSect="00FE1DFD">
      <w:pgSz w:w="12240" w:h="15840"/>
      <w:pgMar w:top="1440" w:right="1440" w:bottom="1440" w:left="1440" w:header="720" w:footer="144"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793F" w:rsidRDefault="00F9793F" w:rsidP="0025457E">
      <w:pPr>
        <w:spacing w:after="0" w:line="240" w:lineRule="auto"/>
      </w:pPr>
      <w:r>
        <w:separator/>
      </w:r>
    </w:p>
  </w:endnote>
  <w:endnote w:type="continuationSeparator" w:id="0">
    <w:p w:rsidR="00F9793F" w:rsidRDefault="00F9793F" w:rsidP="002545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5340" w:rsidRDefault="008C534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5053143"/>
      <w:docPartObj>
        <w:docPartGallery w:val="Page Numbers (Top of Page)"/>
        <w:docPartUnique/>
      </w:docPartObj>
    </w:sdtPr>
    <w:sdtContent>
      <w:p w:rsidR="005D75B8" w:rsidRPr="00721A99" w:rsidRDefault="005D75B8" w:rsidP="0025457E">
        <w:pPr>
          <w:pStyle w:val="Header"/>
          <w:jc w:val="center"/>
        </w:pPr>
        <w:r>
          <w:t>Page</w:t>
        </w:r>
        <w:r w:rsidRPr="0025457E">
          <w:t xml:space="preserve"> </w:t>
        </w:r>
        <w:r>
          <w:fldChar w:fldCharType="begin"/>
        </w:r>
        <w:r>
          <w:instrText xml:space="preserve"> PAGE </w:instrText>
        </w:r>
        <w:r>
          <w:fldChar w:fldCharType="separate"/>
        </w:r>
        <w:r w:rsidR="008C5340">
          <w:rPr>
            <w:noProof/>
          </w:rPr>
          <w:t>8</w:t>
        </w:r>
        <w:r>
          <w:rPr>
            <w:noProof/>
          </w:rPr>
          <w:fldChar w:fldCharType="end"/>
        </w:r>
        <w:r w:rsidRPr="0025457E">
          <w:t xml:space="preserve"> of </w:t>
        </w:r>
        <w:fldSimple w:instr=" NUMPAGES  ">
          <w:r w:rsidR="008C5340">
            <w:rPr>
              <w:noProof/>
            </w:rPr>
            <w:t>9</w:t>
          </w:r>
        </w:fldSimple>
      </w:p>
    </w:sdtContent>
  </w:sdt>
  <w:p w:rsidR="005D75B8" w:rsidRDefault="005D75B8">
    <w:pPr>
      <w:pStyle w:val="Footer"/>
    </w:pPr>
  </w:p>
  <w:p w:rsidR="005D75B8" w:rsidRDefault="005D75B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0870189"/>
      <w:docPartObj>
        <w:docPartGallery w:val="Page Numbers (Top of Page)"/>
        <w:docPartUnique/>
      </w:docPartObj>
    </w:sdtPr>
    <w:sdtContent>
      <w:p w:rsidR="008C5340" w:rsidRDefault="008C5340" w:rsidP="008C5340">
        <w:pPr>
          <w:pStyle w:val="Header"/>
          <w:jc w:val="center"/>
          <w:rPr>
            <w:noProof/>
          </w:rPr>
        </w:pPr>
        <w:r>
          <w:t>Page</w:t>
        </w:r>
        <w:r w:rsidRPr="0025457E">
          <w:t xml:space="preserve"> </w:t>
        </w:r>
        <w:r>
          <w:fldChar w:fldCharType="begin"/>
        </w:r>
        <w:r>
          <w:instrText xml:space="preserve"> PAGE </w:instrText>
        </w:r>
        <w:r>
          <w:fldChar w:fldCharType="separate"/>
        </w:r>
        <w:r>
          <w:rPr>
            <w:noProof/>
          </w:rPr>
          <w:t>9</w:t>
        </w:r>
        <w:r>
          <w:rPr>
            <w:noProof/>
          </w:rPr>
          <w:fldChar w:fldCharType="end"/>
        </w:r>
        <w:r w:rsidRPr="0025457E">
          <w:t xml:space="preserve"> of </w:t>
        </w:r>
        <w:r>
          <w:fldChar w:fldCharType="begin"/>
        </w:r>
        <w:r>
          <w:instrText xml:space="preserve"> NUMPAGES  </w:instrText>
        </w:r>
        <w:r>
          <w:fldChar w:fldCharType="separate"/>
        </w:r>
        <w:r>
          <w:rPr>
            <w:noProof/>
          </w:rPr>
          <w:t>9</w:t>
        </w:r>
        <w:r>
          <w:rPr>
            <w:noProof/>
          </w:rPr>
          <w:fldChar w:fldCharType="end"/>
        </w:r>
      </w:p>
      <w:p w:rsidR="008C5340" w:rsidRPr="008C5340" w:rsidRDefault="008C5340" w:rsidP="008C5340">
        <w:pPr>
          <w:pStyle w:val="Header"/>
          <w:jc w:val="cente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793F" w:rsidRDefault="00F9793F" w:rsidP="0025457E">
      <w:pPr>
        <w:spacing w:after="0" w:line="240" w:lineRule="auto"/>
      </w:pPr>
      <w:r>
        <w:separator/>
      </w:r>
    </w:p>
  </w:footnote>
  <w:footnote w:type="continuationSeparator" w:id="0">
    <w:p w:rsidR="00F9793F" w:rsidRDefault="00F9793F" w:rsidP="0025457E">
      <w:pPr>
        <w:spacing w:after="0" w:line="240" w:lineRule="auto"/>
      </w:pPr>
      <w:r>
        <w:continuationSeparator/>
      </w:r>
    </w:p>
  </w:footnote>
  <w:footnote w:id="1">
    <w:p w:rsidR="005D75B8" w:rsidRDefault="005D75B8">
      <w:pPr>
        <w:pStyle w:val="FootnoteText"/>
      </w:pPr>
      <w:r>
        <w:rPr>
          <w:rStyle w:val="FootnoteReference"/>
        </w:rPr>
        <w:footnoteRef/>
      </w:r>
      <w:r>
        <w:t xml:space="preserve"> </w:t>
      </w:r>
      <w:r w:rsidRPr="009B1F0B">
        <w:t>MODIFIED_LIGHTING_CALCULATOR_V2 7.xlsx</w:t>
      </w:r>
      <w:r>
        <w:t xml:space="preserve"> submitted by PG&amp;E in September 2012</w:t>
      </w:r>
    </w:p>
  </w:footnote>
  <w:footnote w:id="2">
    <w:p w:rsidR="005D75B8" w:rsidRDefault="005D75B8" w:rsidP="009B1F0B">
      <w:pPr>
        <w:pStyle w:val="FootnoteText"/>
      </w:pPr>
      <w:r>
        <w:rPr>
          <w:rStyle w:val="FootnoteReference"/>
        </w:rPr>
        <w:footnoteRef/>
      </w:r>
      <w:r>
        <w:t xml:space="preserve"> PRELIMINARY REVIEW DISPOSITION FOR “Modified Lighting Calculator”, CPUC, November 2012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5340" w:rsidRDefault="008C534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5B8" w:rsidRPr="007B4BBF" w:rsidRDefault="005D75B8" w:rsidP="0025457E">
    <w:pPr>
      <w:pStyle w:val="Header"/>
      <w:rPr>
        <w:sz w:val="18"/>
        <w:szCs w:val="18"/>
      </w:rPr>
    </w:pPr>
    <w:r w:rsidRPr="007B4BBF">
      <w:rPr>
        <w:sz w:val="18"/>
        <w:szCs w:val="18"/>
      </w:rPr>
      <w:t xml:space="preserve">WORKPAPER DISPOSITION FOR </w:t>
    </w:r>
    <w:r>
      <w:rPr>
        <w:sz w:val="18"/>
        <w:szCs w:val="18"/>
      </w:rPr>
      <w:t>LIGHTING CONTROL</w:t>
    </w:r>
  </w:p>
  <w:p w:rsidR="005D75B8" w:rsidRDefault="005D75B8" w:rsidP="0025457E">
    <w:pPr>
      <w:pStyle w:val="Header"/>
      <w:rPr>
        <w:sz w:val="18"/>
        <w:szCs w:val="18"/>
      </w:rPr>
    </w:pPr>
    <w:r w:rsidRPr="007B4BBF">
      <w:rPr>
        <w:sz w:val="18"/>
        <w:szCs w:val="18"/>
      </w:rPr>
      <w:t>California Public Utilities Commission, Energy Division</w:t>
    </w:r>
  </w:p>
  <w:p w:rsidR="005D75B8" w:rsidRDefault="005740CE" w:rsidP="0025457E">
    <w:pPr>
      <w:pStyle w:val="Header"/>
      <w:rPr>
        <w:sz w:val="18"/>
        <w:szCs w:val="18"/>
      </w:rPr>
    </w:pPr>
    <w:r>
      <w:rPr>
        <w:sz w:val="18"/>
        <w:szCs w:val="18"/>
      </w:rPr>
      <w:t>September 6</w:t>
    </w:r>
    <w:r w:rsidR="005D75B8">
      <w:rPr>
        <w:sz w:val="18"/>
        <w:szCs w:val="18"/>
      </w:rPr>
      <w:t>, 2013 (revised)</w:t>
    </w:r>
  </w:p>
  <w:p w:rsidR="005D75B8" w:rsidRDefault="005D75B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5340" w:rsidRDefault="008C5340">
    <w:pPr>
      <w:pStyle w:val="Header"/>
    </w:pPr>
    <w:bookmarkStart w:id="3" w:name="_GoBack"/>
    <w:bookmarkEnd w:id="3"/>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8207D"/>
    <w:multiLevelType w:val="hybridMultilevel"/>
    <w:tmpl w:val="7A7674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FB47F1"/>
    <w:multiLevelType w:val="hybridMultilevel"/>
    <w:tmpl w:val="7868AF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28194A"/>
    <w:multiLevelType w:val="hybridMultilevel"/>
    <w:tmpl w:val="BCFEF0B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39B4CD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31570578"/>
    <w:multiLevelType w:val="hybridMultilevel"/>
    <w:tmpl w:val="D51661F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15B0C71"/>
    <w:multiLevelType w:val="hybridMultilevel"/>
    <w:tmpl w:val="E396B6D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BEA2038"/>
    <w:multiLevelType w:val="hybridMultilevel"/>
    <w:tmpl w:val="08E6C1F4"/>
    <w:lvl w:ilvl="0" w:tplc="84261B2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676B3205"/>
    <w:multiLevelType w:val="hybridMultilevel"/>
    <w:tmpl w:val="42B6CD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BD05411"/>
    <w:multiLevelType w:val="hybridMultilevel"/>
    <w:tmpl w:val="975AED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34436F9"/>
    <w:multiLevelType w:val="hybridMultilevel"/>
    <w:tmpl w:val="E8AA69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76AF6968"/>
    <w:multiLevelType w:val="hybridMultilevel"/>
    <w:tmpl w:val="ACFCDE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FFD584F"/>
    <w:multiLevelType w:val="hybridMultilevel"/>
    <w:tmpl w:val="15A83C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
  </w:num>
  <w:num w:numId="3">
    <w:abstractNumId w:val="5"/>
  </w:num>
  <w:num w:numId="4">
    <w:abstractNumId w:val="4"/>
  </w:num>
  <w:num w:numId="5">
    <w:abstractNumId w:val="9"/>
  </w:num>
  <w:num w:numId="6">
    <w:abstractNumId w:val="2"/>
  </w:num>
  <w:num w:numId="7">
    <w:abstractNumId w:val="11"/>
  </w:num>
  <w:num w:numId="8">
    <w:abstractNumId w:val="1"/>
  </w:num>
  <w:num w:numId="9">
    <w:abstractNumId w:val="8"/>
  </w:num>
  <w:num w:numId="10">
    <w:abstractNumId w:val="10"/>
  </w:num>
  <w:num w:numId="11">
    <w:abstractNumId w:val="0"/>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6"/>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94019"/>
    <w:rsid w:val="000252A1"/>
    <w:rsid w:val="0003429C"/>
    <w:rsid w:val="00063103"/>
    <w:rsid w:val="00065F55"/>
    <w:rsid w:val="00071DF4"/>
    <w:rsid w:val="00081C45"/>
    <w:rsid w:val="00084ED8"/>
    <w:rsid w:val="000B7532"/>
    <w:rsid w:val="000B7C7E"/>
    <w:rsid w:val="000B7EC0"/>
    <w:rsid w:val="000C3508"/>
    <w:rsid w:val="00117089"/>
    <w:rsid w:val="001414AC"/>
    <w:rsid w:val="00170E4D"/>
    <w:rsid w:val="001803F1"/>
    <w:rsid w:val="00190DA8"/>
    <w:rsid w:val="001C218F"/>
    <w:rsid w:val="001D0C47"/>
    <w:rsid w:val="001D469D"/>
    <w:rsid w:val="001E7828"/>
    <w:rsid w:val="002156AD"/>
    <w:rsid w:val="00221F57"/>
    <w:rsid w:val="00223828"/>
    <w:rsid w:val="00230D9D"/>
    <w:rsid w:val="00234064"/>
    <w:rsid w:val="0025457E"/>
    <w:rsid w:val="00274F32"/>
    <w:rsid w:val="00275AEF"/>
    <w:rsid w:val="002A1DE4"/>
    <w:rsid w:val="002D0E7D"/>
    <w:rsid w:val="002E6DBE"/>
    <w:rsid w:val="002F7B93"/>
    <w:rsid w:val="003221C5"/>
    <w:rsid w:val="00325F38"/>
    <w:rsid w:val="00327EBF"/>
    <w:rsid w:val="00331616"/>
    <w:rsid w:val="003452F0"/>
    <w:rsid w:val="00350F59"/>
    <w:rsid w:val="00353686"/>
    <w:rsid w:val="00366E10"/>
    <w:rsid w:val="003A04EE"/>
    <w:rsid w:val="003B7AD9"/>
    <w:rsid w:val="003C79A4"/>
    <w:rsid w:val="003D496F"/>
    <w:rsid w:val="003E374B"/>
    <w:rsid w:val="003F34F0"/>
    <w:rsid w:val="00405FD0"/>
    <w:rsid w:val="00411964"/>
    <w:rsid w:val="00416BB9"/>
    <w:rsid w:val="00416EE1"/>
    <w:rsid w:val="0041734A"/>
    <w:rsid w:val="004A37BB"/>
    <w:rsid w:val="004A7CAA"/>
    <w:rsid w:val="004C2315"/>
    <w:rsid w:val="004D7A34"/>
    <w:rsid w:val="00510566"/>
    <w:rsid w:val="00513C11"/>
    <w:rsid w:val="00520702"/>
    <w:rsid w:val="005478D6"/>
    <w:rsid w:val="005740CE"/>
    <w:rsid w:val="00575351"/>
    <w:rsid w:val="005A04A5"/>
    <w:rsid w:val="005A330C"/>
    <w:rsid w:val="005B5AB5"/>
    <w:rsid w:val="005B6E1F"/>
    <w:rsid w:val="005C4F21"/>
    <w:rsid w:val="005C6062"/>
    <w:rsid w:val="005D4B8F"/>
    <w:rsid w:val="005D75B8"/>
    <w:rsid w:val="005E3AC7"/>
    <w:rsid w:val="00640229"/>
    <w:rsid w:val="006420CB"/>
    <w:rsid w:val="00656A56"/>
    <w:rsid w:val="006A3158"/>
    <w:rsid w:val="006D0161"/>
    <w:rsid w:val="006D25BE"/>
    <w:rsid w:val="006E5E1D"/>
    <w:rsid w:val="00711EBC"/>
    <w:rsid w:val="007164C6"/>
    <w:rsid w:val="00721A99"/>
    <w:rsid w:val="007314EC"/>
    <w:rsid w:val="00755F94"/>
    <w:rsid w:val="00761DFD"/>
    <w:rsid w:val="00772A59"/>
    <w:rsid w:val="00776CB2"/>
    <w:rsid w:val="00777DA1"/>
    <w:rsid w:val="0078683F"/>
    <w:rsid w:val="00794019"/>
    <w:rsid w:val="007956EC"/>
    <w:rsid w:val="00796487"/>
    <w:rsid w:val="007C6070"/>
    <w:rsid w:val="007E3478"/>
    <w:rsid w:val="007E73B5"/>
    <w:rsid w:val="007E7CD1"/>
    <w:rsid w:val="008033A9"/>
    <w:rsid w:val="00805835"/>
    <w:rsid w:val="008201EC"/>
    <w:rsid w:val="00827882"/>
    <w:rsid w:val="00872A4A"/>
    <w:rsid w:val="00896DB4"/>
    <w:rsid w:val="008C5340"/>
    <w:rsid w:val="008C6920"/>
    <w:rsid w:val="008D1477"/>
    <w:rsid w:val="008D2B20"/>
    <w:rsid w:val="008E6FBA"/>
    <w:rsid w:val="00917A46"/>
    <w:rsid w:val="009434A5"/>
    <w:rsid w:val="00950D47"/>
    <w:rsid w:val="0096429F"/>
    <w:rsid w:val="00973488"/>
    <w:rsid w:val="009929D3"/>
    <w:rsid w:val="009B1F0B"/>
    <w:rsid w:val="009B2596"/>
    <w:rsid w:val="009C109D"/>
    <w:rsid w:val="009C141F"/>
    <w:rsid w:val="009C1E63"/>
    <w:rsid w:val="009E3257"/>
    <w:rsid w:val="00A106D2"/>
    <w:rsid w:val="00A43172"/>
    <w:rsid w:val="00A54C9F"/>
    <w:rsid w:val="00A873BF"/>
    <w:rsid w:val="00A921C7"/>
    <w:rsid w:val="00AA662A"/>
    <w:rsid w:val="00B14858"/>
    <w:rsid w:val="00B16EB2"/>
    <w:rsid w:val="00B512B1"/>
    <w:rsid w:val="00B54BF7"/>
    <w:rsid w:val="00B55811"/>
    <w:rsid w:val="00B62C38"/>
    <w:rsid w:val="00B95D4D"/>
    <w:rsid w:val="00BB2FCA"/>
    <w:rsid w:val="00BB325F"/>
    <w:rsid w:val="00BB6B2D"/>
    <w:rsid w:val="00BD47E4"/>
    <w:rsid w:val="00BE4ABD"/>
    <w:rsid w:val="00BE644F"/>
    <w:rsid w:val="00C70A1D"/>
    <w:rsid w:val="00C93B14"/>
    <w:rsid w:val="00C946B4"/>
    <w:rsid w:val="00CA067B"/>
    <w:rsid w:val="00CA69E5"/>
    <w:rsid w:val="00CB553D"/>
    <w:rsid w:val="00CD744A"/>
    <w:rsid w:val="00CF55AA"/>
    <w:rsid w:val="00D11B82"/>
    <w:rsid w:val="00D12534"/>
    <w:rsid w:val="00D3659A"/>
    <w:rsid w:val="00D445C6"/>
    <w:rsid w:val="00D4624D"/>
    <w:rsid w:val="00D82901"/>
    <w:rsid w:val="00DB4B22"/>
    <w:rsid w:val="00DD2871"/>
    <w:rsid w:val="00E10613"/>
    <w:rsid w:val="00E15F46"/>
    <w:rsid w:val="00E262CC"/>
    <w:rsid w:val="00E37872"/>
    <w:rsid w:val="00E62BBF"/>
    <w:rsid w:val="00E82489"/>
    <w:rsid w:val="00E85652"/>
    <w:rsid w:val="00EF4122"/>
    <w:rsid w:val="00F037FC"/>
    <w:rsid w:val="00F045E4"/>
    <w:rsid w:val="00F20BA4"/>
    <w:rsid w:val="00F2143C"/>
    <w:rsid w:val="00F52C82"/>
    <w:rsid w:val="00F7747B"/>
    <w:rsid w:val="00F9793F"/>
    <w:rsid w:val="00FC1D97"/>
    <w:rsid w:val="00FE1DFD"/>
    <w:rsid w:val="00FE3DA2"/>
    <w:rsid w:val="00FE4A00"/>
    <w:rsid w:val="00FF18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4019"/>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qFormat/>
    <w:rsid w:val="00794019"/>
    <w:pPr>
      <w:spacing w:line="240" w:lineRule="auto"/>
    </w:pPr>
    <w:rPr>
      <w:b/>
      <w:bCs/>
      <w:color w:val="4F81BD"/>
      <w:sz w:val="18"/>
      <w:szCs w:val="18"/>
    </w:rPr>
  </w:style>
  <w:style w:type="paragraph" w:styleId="Header">
    <w:name w:val="header"/>
    <w:basedOn w:val="Normal"/>
    <w:link w:val="HeaderChar"/>
    <w:uiPriority w:val="99"/>
    <w:unhideWhenUsed/>
    <w:rsid w:val="002545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5457E"/>
    <w:rPr>
      <w:rFonts w:ascii="Calibri" w:eastAsia="Times New Roman" w:hAnsi="Calibri" w:cs="Times New Roman"/>
    </w:rPr>
  </w:style>
  <w:style w:type="paragraph" w:styleId="Footer">
    <w:name w:val="footer"/>
    <w:basedOn w:val="Normal"/>
    <w:link w:val="FooterChar"/>
    <w:uiPriority w:val="99"/>
    <w:unhideWhenUsed/>
    <w:rsid w:val="002545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5457E"/>
    <w:rPr>
      <w:rFonts w:ascii="Calibri" w:eastAsia="Times New Roman" w:hAnsi="Calibri" w:cs="Times New Roman"/>
    </w:rPr>
  </w:style>
  <w:style w:type="paragraph" w:styleId="BalloonText">
    <w:name w:val="Balloon Text"/>
    <w:basedOn w:val="Normal"/>
    <w:link w:val="BalloonTextChar"/>
    <w:uiPriority w:val="99"/>
    <w:semiHidden/>
    <w:unhideWhenUsed/>
    <w:rsid w:val="002545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457E"/>
    <w:rPr>
      <w:rFonts w:ascii="Tahoma" w:eastAsia="Times New Roman" w:hAnsi="Tahoma" w:cs="Tahoma"/>
      <w:sz w:val="16"/>
      <w:szCs w:val="16"/>
    </w:rPr>
  </w:style>
  <w:style w:type="paragraph" w:styleId="ListParagraph">
    <w:name w:val="List Paragraph"/>
    <w:basedOn w:val="Normal"/>
    <w:uiPriority w:val="34"/>
    <w:qFormat/>
    <w:rsid w:val="002156AD"/>
    <w:pPr>
      <w:ind w:left="720"/>
      <w:contextualSpacing/>
    </w:pPr>
  </w:style>
  <w:style w:type="paragraph" w:styleId="FootnoteText">
    <w:name w:val="footnote text"/>
    <w:basedOn w:val="Normal"/>
    <w:link w:val="FootnoteTextChar"/>
    <w:uiPriority w:val="99"/>
    <w:semiHidden/>
    <w:unhideWhenUsed/>
    <w:rsid w:val="0079648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96487"/>
    <w:rPr>
      <w:rFonts w:ascii="Calibri" w:eastAsia="Times New Roman" w:hAnsi="Calibri" w:cs="Times New Roman"/>
      <w:sz w:val="20"/>
      <w:szCs w:val="20"/>
    </w:rPr>
  </w:style>
  <w:style w:type="character" w:styleId="FootnoteReference">
    <w:name w:val="footnote reference"/>
    <w:basedOn w:val="DefaultParagraphFont"/>
    <w:uiPriority w:val="99"/>
    <w:semiHidden/>
    <w:unhideWhenUsed/>
    <w:rsid w:val="00796487"/>
    <w:rPr>
      <w:vertAlign w:val="superscript"/>
    </w:rPr>
  </w:style>
  <w:style w:type="paragraph" w:styleId="EndnoteText">
    <w:name w:val="endnote text"/>
    <w:basedOn w:val="Normal"/>
    <w:link w:val="EndnoteTextChar"/>
    <w:uiPriority w:val="99"/>
    <w:semiHidden/>
    <w:unhideWhenUsed/>
    <w:rsid w:val="00E8248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82489"/>
    <w:rPr>
      <w:rFonts w:ascii="Calibri" w:eastAsia="Times New Roman" w:hAnsi="Calibri" w:cs="Times New Roman"/>
      <w:sz w:val="20"/>
      <w:szCs w:val="20"/>
    </w:rPr>
  </w:style>
  <w:style w:type="character" w:styleId="EndnoteReference">
    <w:name w:val="endnote reference"/>
    <w:basedOn w:val="DefaultParagraphFont"/>
    <w:uiPriority w:val="99"/>
    <w:semiHidden/>
    <w:unhideWhenUsed/>
    <w:rsid w:val="00E82489"/>
    <w:rPr>
      <w:vertAlign w:val="superscript"/>
    </w:rPr>
  </w:style>
  <w:style w:type="character" w:styleId="Hyperlink">
    <w:name w:val="Hyperlink"/>
    <w:basedOn w:val="DefaultParagraphFont"/>
    <w:uiPriority w:val="99"/>
    <w:unhideWhenUsed/>
    <w:rsid w:val="001D0C47"/>
    <w:rPr>
      <w:color w:val="0000FF" w:themeColor="hyperlink"/>
      <w:u w:val="single"/>
    </w:rPr>
  </w:style>
  <w:style w:type="paragraph" w:styleId="NoSpacing">
    <w:name w:val="No Spacing"/>
    <w:uiPriority w:val="1"/>
    <w:qFormat/>
    <w:rsid w:val="00F7747B"/>
    <w:pPr>
      <w:spacing w:after="0" w:line="240" w:lineRule="auto"/>
    </w:pPr>
    <w:rPr>
      <w:rFonts w:ascii="Calibri" w:eastAsia="Times New Roman" w:hAnsi="Calibri" w:cs="Times New Roman"/>
    </w:rPr>
  </w:style>
  <w:style w:type="table" w:styleId="TableGrid">
    <w:name w:val="Table Grid"/>
    <w:basedOn w:val="TableNormal"/>
    <w:uiPriority w:val="59"/>
    <w:rsid w:val="007E7C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1">
    <w:name w:val="Light Shading Accent 1"/>
    <w:basedOn w:val="TableNormal"/>
    <w:uiPriority w:val="60"/>
    <w:rsid w:val="00575351"/>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
    <w:name w:val="Light Shading"/>
    <w:basedOn w:val="TableNormal"/>
    <w:uiPriority w:val="60"/>
    <w:rsid w:val="008E6FBA"/>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520600">
      <w:bodyDiv w:val="1"/>
      <w:marLeft w:val="0"/>
      <w:marRight w:val="0"/>
      <w:marTop w:val="0"/>
      <w:marBottom w:val="0"/>
      <w:divBdr>
        <w:top w:val="none" w:sz="0" w:space="0" w:color="auto"/>
        <w:left w:val="none" w:sz="0" w:space="0" w:color="auto"/>
        <w:bottom w:val="none" w:sz="0" w:space="0" w:color="auto"/>
        <w:right w:val="none" w:sz="0" w:space="0" w:color="auto"/>
      </w:divBdr>
    </w:div>
    <w:div w:id="99224206">
      <w:bodyDiv w:val="1"/>
      <w:marLeft w:val="0"/>
      <w:marRight w:val="0"/>
      <w:marTop w:val="0"/>
      <w:marBottom w:val="0"/>
      <w:divBdr>
        <w:top w:val="none" w:sz="0" w:space="0" w:color="auto"/>
        <w:left w:val="none" w:sz="0" w:space="0" w:color="auto"/>
        <w:bottom w:val="none" w:sz="0" w:space="0" w:color="auto"/>
        <w:right w:val="none" w:sz="0" w:space="0" w:color="auto"/>
      </w:divBdr>
    </w:div>
    <w:div w:id="112947143">
      <w:bodyDiv w:val="1"/>
      <w:marLeft w:val="0"/>
      <w:marRight w:val="0"/>
      <w:marTop w:val="0"/>
      <w:marBottom w:val="0"/>
      <w:divBdr>
        <w:top w:val="none" w:sz="0" w:space="0" w:color="auto"/>
        <w:left w:val="none" w:sz="0" w:space="0" w:color="auto"/>
        <w:bottom w:val="none" w:sz="0" w:space="0" w:color="auto"/>
        <w:right w:val="none" w:sz="0" w:space="0" w:color="auto"/>
      </w:divBdr>
    </w:div>
    <w:div w:id="119807986">
      <w:bodyDiv w:val="1"/>
      <w:marLeft w:val="0"/>
      <w:marRight w:val="0"/>
      <w:marTop w:val="0"/>
      <w:marBottom w:val="0"/>
      <w:divBdr>
        <w:top w:val="none" w:sz="0" w:space="0" w:color="auto"/>
        <w:left w:val="none" w:sz="0" w:space="0" w:color="auto"/>
        <w:bottom w:val="none" w:sz="0" w:space="0" w:color="auto"/>
        <w:right w:val="none" w:sz="0" w:space="0" w:color="auto"/>
      </w:divBdr>
    </w:div>
    <w:div w:id="137185733">
      <w:bodyDiv w:val="1"/>
      <w:marLeft w:val="0"/>
      <w:marRight w:val="0"/>
      <w:marTop w:val="0"/>
      <w:marBottom w:val="0"/>
      <w:divBdr>
        <w:top w:val="none" w:sz="0" w:space="0" w:color="auto"/>
        <w:left w:val="none" w:sz="0" w:space="0" w:color="auto"/>
        <w:bottom w:val="none" w:sz="0" w:space="0" w:color="auto"/>
        <w:right w:val="none" w:sz="0" w:space="0" w:color="auto"/>
      </w:divBdr>
    </w:div>
    <w:div w:id="203639795">
      <w:bodyDiv w:val="1"/>
      <w:marLeft w:val="0"/>
      <w:marRight w:val="0"/>
      <w:marTop w:val="0"/>
      <w:marBottom w:val="0"/>
      <w:divBdr>
        <w:top w:val="none" w:sz="0" w:space="0" w:color="auto"/>
        <w:left w:val="none" w:sz="0" w:space="0" w:color="auto"/>
        <w:bottom w:val="none" w:sz="0" w:space="0" w:color="auto"/>
        <w:right w:val="none" w:sz="0" w:space="0" w:color="auto"/>
      </w:divBdr>
    </w:div>
    <w:div w:id="208805889">
      <w:bodyDiv w:val="1"/>
      <w:marLeft w:val="0"/>
      <w:marRight w:val="0"/>
      <w:marTop w:val="0"/>
      <w:marBottom w:val="0"/>
      <w:divBdr>
        <w:top w:val="none" w:sz="0" w:space="0" w:color="auto"/>
        <w:left w:val="none" w:sz="0" w:space="0" w:color="auto"/>
        <w:bottom w:val="none" w:sz="0" w:space="0" w:color="auto"/>
        <w:right w:val="none" w:sz="0" w:space="0" w:color="auto"/>
      </w:divBdr>
    </w:div>
    <w:div w:id="209734669">
      <w:bodyDiv w:val="1"/>
      <w:marLeft w:val="0"/>
      <w:marRight w:val="0"/>
      <w:marTop w:val="0"/>
      <w:marBottom w:val="0"/>
      <w:divBdr>
        <w:top w:val="none" w:sz="0" w:space="0" w:color="auto"/>
        <w:left w:val="none" w:sz="0" w:space="0" w:color="auto"/>
        <w:bottom w:val="none" w:sz="0" w:space="0" w:color="auto"/>
        <w:right w:val="none" w:sz="0" w:space="0" w:color="auto"/>
      </w:divBdr>
    </w:div>
    <w:div w:id="229270069">
      <w:bodyDiv w:val="1"/>
      <w:marLeft w:val="0"/>
      <w:marRight w:val="0"/>
      <w:marTop w:val="0"/>
      <w:marBottom w:val="0"/>
      <w:divBdr>
        <w:top w:val="none" w:sz="0" w:space="0" w:color="auto"/>
        <w:left w:val="none" w:sz="0" w:space="0" w:color="auto"/>
        <w:bottom w:val="none" w:sz="0" w:space="0" w:color="auto"/>
        <w:right w:val="none" w:sz="0" w:space="0" w:color="auto"/>
      </w:divBdr>
    </w:div>
    <w:div w:id="232861700">
      <w:bodyDiv w:val="1"/>
      <w:marLeft w:val="0"/>
      <w:marRight w:val="0"/>
      <w:marTop w:val="0"/>
      <w:marBottom w:val="0"/>
      <w:divBdr>
        <w:top w:val="none" w:sz="0" w:space="0" w:color="auto"/>
        <w:left w:val="none" w:sz="0" w:space="0" w:color="auto"/>
        <w:bottom w:val="none" w:sz="0" w:space="0" w:color="auto"/>
        <w:right w:val="none" w:sz="0" w:space="0" w:color="auto"/>
      </w:divBdr>
    </w:div>
    <w:div w:id="234365179">
      <w:bodyDiv w:val="1"/>
      <w:marLeft w:val="0"/>
      <w:marRight w:val="0"/>
      <w:marTop w:val="0"/>
      <w:marBottom w:val="0"/>
      <w:divBdr>
        <w:top w:val="none" w:sz="0" w:space="0" w:color="auto"/>
        <w:left w:val="none" w:sz="0" w:space="0" w:color="auto"/>
        <w:bottom w:val="none" w:sz="0" w:space="0" w:color="auto"/>
        <w:right w:val="none" w:sz="0" w:space="0" w:color="auto"/>
      </w:divBdr>
    </w:div>
    <w:div w:id="322124818">
      <w:bodyDiv w:val="1"/>
      <w:marLeft w:val="0"/>
      <w:marRight w:val="0"/>
      <w:marTop w:val="0"/>
      <w:marBottom w:val="0"/>
      <w:divBdr>
        <w:top w:val="none" w:sz="0" w:space="0" w:color="auto"/>
        <w:left w:val="none" w:sz="0" w:space="0" w:color="auto"/>
        <w:bottom w:val="none" w:sz="0" w:space="0" w:color="auto"/>
        <w:right w:val="none" w:sz="0" w:space="0" w:color="auto"/>
      </w:divBdr>
    </w:div>
    <w:div w:id="346445454">
      <w:bodyDiv w:val="1"/>
      <w:marLeft w:val="0"/>
      <w:marRight w:val="0"/>
      <w:marTop w:val="0"/>
      <w:marBottom w:val="0"/>
      <w:divBdr>
        <w:top w:val="none" w:sz="0" w:space="0" w:color="auto"/>
        <w:left w:val="none" w:sz="0" w:space="0" w:color="auto"/>
        <w:bottom w:val="none" w:sz="0" w:space="0" w:color="auto"/>
        <w:right w:val="none" w:sz="0" w:space="0" w:color="auto"/>
      </w:divBdr>
    </w:div>
    <w:div w:id="349378683">
      <w:bodyDiv w:val="1"/>
      <w:marLeft w:val="0"/>
      <w:marRight w:val="0"/>
      <w:marTop w:val="0"/>
      <w:marBottom w:val="0"/>
      <w:divBdr>
        <w:top w:val="none" w:sz="0" w:space="0" w:color="auto"/>
        <w:left w:val="none" w:sz="0" w:space="0" w:color="auto"/>
        <w:bottom w:val="none" w:sz="0" w:space="0" w:color="auto"/>
        <w:right w:val="none" w:sz="0" w:space="0" w:color="auto"/>
      </w:divBdr>
    </w:div>
    <w:div w:id="357437516">
      <w:bodyDiv w:val="1"/>
      <w:marLeft w:val="0"/>
      <w:marRight w:val="0"/>
      <w:marTop w:val="0"/>
      <w:marBottom w:val="0"/>
      <w:divBdr>
        <w:top w:val="none" w:sz="0" w:space="0" w:color="auto"/>
        <w:left w:val="none" w:sz="0" w:space="0" w:color="auto"/>
        <w:bottom w:val="none" w:sz="0" w:space="0" w:color="auto"/>
        <w:right w:val="none" w:sz="0" w:space="0" w:color="auto"/>
      </w:divBdr>
    </w:div>
    <w:div w:id="398405581">
      <w:bodyDiv w:val="1"/>
      <w:marLeft w:val="0"/>
      <w:marRight w:val="0"/>
      <w:marTop w:val="0"/>
      <w:marBottom w:val="0"/>
      <w:divBdr>
        <w:top w:val="none" w:sz="0" w:space="0" w:color="auto"/>
        <w:left w:val="none" w:sz="0" w:space="0" w:color="auto"/>
        <w:bottom w:val="none" w:sz="0" w:space="0" w:color="auto"/>
        <w:right w:val="none" w:sz="0" w:space="0" w:color="auto"/>
      </w:divBdr>
    </w:div>
    <w:div w:id="487986284">
      <w:bodyDiv w:val="1"/>
      <w:marLeft w:val="0"/>
      <w:marRight w:val="0"/>
      <w:marTop w:val="0"/>
      <w:marBottom w:val="0"/>
      <w:divBdr>
        <w:top w:val="none" w:sz="0" w:space="0" w:color="auto"/>
        <w:left w:val="none" w:sz="0" w:space="0" w:color="auto"/>
        <w:bottom w:val="none" w:sz="0" w:space="0" w:color="auto"/>
        <w:right w:val="none" w:sz="0" w:space="0" w:color="auto"/>
      </w:divBdr>
    </w:div>
    <w:div w:id="494616779">
      <w:bodyDiv w:val="1"/>
      <w:marLeft w:val="0"/>
      <w:marRight w:val="0"/>
      <w:marTop w:val="0"/>
      <w:marBottom w:val="0"/>
      <w:divBdr>
        <w:top w:val="none" w:sz="0" w:space="0" w:color="auto"/>
        <w:left w:val="none" w:sz="0" w:space="0" w:color="auto"/>
        <w:bottom w:val="none" w:sz="0" w:space="0" w:color="auto"/>
        <w:right w:val="none" w:sz="0" w:space="0" w:color="auto"/>
      </w:divBdr>
    </w:div>
    <w:div w:id="537283301">
      <w:bodyDiv w:val="1"/>
      <w:marLeft w:val="0"/>
      <w:marRight w:val="0"/>
      <w:marTop w:val="0"/>
      <w:marBottom w:val="0"/>
      <w:divBdr>
        <w:top w:val="none" w:sz="0" w:space="0" w:color="auto"/>
        <w:left w:val="none" w:sz="0" w:space="0" w:color="auto"/>
        <w:bottom w:val="none" w:sz="0" w:space="0" w:color="auto"/>
        <w:right w:val="none" w:sz="0" w:space="0" w:color="auto"/>
      </w:divBdr>
    </w:div>
    <w:div w:id="550729643">
      <w:bodyDiv w:val="1"/>
      <w:marLeft w:val="0"/>
      <w:marRight w:val="0"/>
      <w:marTop w:val="0"/>
      <w:marBottom w:val="0"/>
      <w:divBdr>
        <w:top w:val="none" w:sz="0" w:space="0" w:color="auto"/>
        <w:left w:val="none" w:sz="0" w:space="0" w:color="auto"/>
        <w:bottom w:val="none" w:sz="0" w:space="0" w:color="auto"/>
        <w:right w:val="none" w:sz="0" w:space="0" w:color="auto"/>
      </w:divBdr>
    </w:div>
    <w:div w:id="612135471">
      <w:bodyDiv w:val="1"/>
      <w:marLeft w:val="0"/>
      <w:marRight w:val="0"/>
      <w:marTop w:val="0"/>
      <w:marBottom w:val="0"/>
      <w:divBdr>
        <w:top w:val="none" w:sz="0" w:space="0" w:color="auto"/>
        <w:left w:val="none" w:sz="0" w:space="0" w:color="auto"/>
        <w:bottom w:val="none" w:sz="0" w:space="0" w:color="auto"/>
        <w:right w:val="none" w:sz="0" w:space="0" w:color="auto"/>
      </w:divBdr>
    </w:div>
    <w:div w:id="652489062">
      <w:bodyDiv w:val="1"/>
      <w:marLeft w:val="0"/>
      <w:marRight w:val="0"/>
      <w:marTop w:val="0"/>
      <w:marBottom w:val="0"/>
      <w:divBdr>
        <w:top w:val="none" w:sz="0" w:space="0" w:color="auto"/>
        <w:left w:val="none" w:sz="0" w:space="0" w:color="auto"/>
        <w:bottom w:val="none" w:sz="0" w:space="0" w:color="auto"/>
        <w:right w:val="none" w:sz="0" w:space="0" w:color="auto"/>
      </w:divBdr>
    </w:div>
    <w:div w:id="653919378">
      <w:bodyDiv w:val="1"/>
      <w:marLeft w:val="0"/>
      <w:marRight w:val="0"/>
      <w:marTop w:val="0"/>
      <w:marBottom w:val="0"/>
      <w:divBdr>
        <w:top w:val="none" w:sz="0" w:space="0" w:color="auto"/>
        <w:left w:val="none" w:sz="0" w:space="0" w:color="auto"/>
        <w:bottom w:val="none" w:sz="0" w:space="0" w:color="auto"/>
        <w:right w:val="none" w:sz="0" w:space="0" w:color="auto"/>
      </w:divBdr>
    </w:div>
    <w:div w:id="735126355">
      <w:bodyDiv w:val="1"/>
      <w:marLeft w:val="0"/>
      <w:marRight w:val="0"/>
      <w:marTop w:val="0"/>
      <w:marBottom w:val="0"/>
      <w:divBdr>
        <w:top w:val="none" w:sz="0" w:space="0" w:color="auto"/>
        <w:left w:val="none" w:sz="0" w:space="0" w:color="auto"/>
        <w:bottom w:val="none" w:sz="0" w:space="0" w:color="auto"/>
        <w:right w:val="none" w:sz="0" w:space="0" w:color="auto"/>
      </w:divBdr>
    </w:div>
    <w:div w:id="750272075">
      <w:bodyDiv w:val="1"/>
      <w:marLeft w:val="0"/>
      <w:marRight w:val="0"/>
      <w:marTop w:val="0"/>
      <w:marBottom w:val="0"/>
      <w:divBdr>
        <w:top w:val="none" w:sz="0" w:space="0" w:color="auto"/>
        <w:left w:val="none" w:sz="0" w:space="0" w:color="auto"/>
        <w:bottom w:val="none" w:sz="0" w:space="0" w:color="auto"/>
        <w:right w:val="none" w:sz="0" w:space="0" w:color="auto"/>
      </w:divBdr>
    </w:div>
    <w:div w:id="840773728">
      <w:bodyDiv w:val="1"/>
      <w:marLeft w:val="0"/>
      <w:marRight w:val="0"/>
      <w:marTop w:val="0"/>
      <w:marBottom w:val="0"/>
      <w:divBdr>
        <w:top w:val="none" w:sz="0" w:space="0" w:color="auto"/>
        <w:left w:val="none" w:sz="0" w:space="0" w:color="auto"/>
        <w:bottom w:val="none" w:sz="0" w:space="0" w:color="auto"/>
        <w:right w:val="none" w:sz="0" w:space="0" w:color="auto"/>
      </w:divBdr>
    </w:div>
    <w:div w:id="891959958">
      <w:bodyDiv w:val="1"/>
      <w:marLeft w:val="0"/>
      <w:marRight w:val="0"/>
      <w:marTop w:val="0"/>
      <w:marBottom w:val="0"/>
      <w:divBdr>
        <w:top w:val="none" w:sz="0" w:space="0" w:color="auto"/>
        <w:left w:val="none" w:sz="0" w:space="0" w:color="auto"/>
        <w:bottom w:val="none" w:sz="0" w:space="0" w:color="auto"/>
        <w:right w:val="none" w:sz="0" w:space="0" w:color="auto"/>
      </w:divBdr>
    </w:div>
    <w:div w:id="1003513602">
      <w:bodyDiv w:val="1"/>
      <w:marLeft w:val="0"/>
      <w:marRight w:val="0"/>
      <w:marTop w:val="0"/>
      <w:marBottom w:val="0"/>
      <w:divBdr>
        <w:top w:val="none" w:sz="0" w:space="0" w:color="auto"/>
        <w:left w:val="none" w:sz="0" w:space="0" w:color="auto"/>
        <w:bottom w:val="none" w:sz="0" w:space="0" w:color="auto"/>
        <w:right w:val="none" w:sz="0" w:space="0" w:color="auto"/>
      </w:divBdr>
    </w:div>
    <w:div w:id="1037125044">
      <w:bodyDiv w:val="1"/>
      <w:marLeft w:val="0"/>
      <w:marRight w:val="0"/>
      <w:marTop w:val="0"/>
      <w:marBottom w:val="0"/>
      <w:divBdr>
        <w:top w:val="none" w:sz="0" w:space="0" w:color="auto"/>
        <w:left w:val="none" w:sz="0" w:space="0" w:color="auto"/>
        <w:bottom w:val="none" w:sz="0" w:space="0" w:color="auto"/>
        <w:right w:val="none" w:sz="0" w:space="0" w:color="auto"/>
      </w:divBdr>
    </w:div>
    <w:div w:id="1122387135">
      <w:bodyDiv w:val="1"/>
      <w:marLeft w:val="0"/>
      <w:marRight w:val="0"/>
      <w:marTop w:val="0"/>
      <w:marBottom w:val="0"/>
      <w:divBdr>
        <w:top w:val="none" w:sz="0" w:space="0" w:color="auto"/>
        <w:left w:val="none" w:sz="0" w:space="0" w:color="auto"/>
        <w:bottom w:val="none" w:sz="0" w:space="0" w:color="auto"/>
        <w:right w:val="none" w:sz="0" w:space="0" w:color="auto"/>
      </w:divBdr>
    </w:div>
    <w:div w:id="1153571674">
      <w:bodyDiv w:val="1"/>
      <w:marLeft w:val="0"/>
      <w:marRight w:val="0"/>
      <w:marTop w:val="0"/>
      <w:marBottom w:val="0"/>
      <w:divBdr>
        <w:top w:val="none" w:sz="0" w:space="0" w:color="auto"/>
        <w:left w:val="none" w:sz="0" w:space="0" w:color="auto"/>
        <w:bottom w:val="none" w:sz="0" w:space="0" w:color="auto"/>
        <w:right w:val="none" w:sz="0" w:space="0" w:color="auto"/>
      </w:divBdr>
    </w:div>
    <w:div w:id="1160805314">
      <w:bodyDiv w:val="1"/>
      <w:marLeft w:val="0"/>
      <w:marRight w:val="0"/>
      <w:marTop w:val="0"/>
      <w:marBottom w:val="0"/>
      <w:divBdr>
        <w:top w:val="none" w:sz="0" w:space="0" w:color="auto"/>
        <w:left w:val="none" w:sz="0" w:space="0" w:color="auto"/>
        <w:bottom w:val="none" w:sz="0" w:space="0" w:color="auto"/>
        <w:right w:val="none" w:sz="0" w:space="0" w:color="auto"/>
      </w:divBdr>
    </w:div>
    <w:div w:id="1196042641">
      <w:bodyDiv w:val="1"/>
      <w:marLeft w:val="0"/>
      <w:marRight w:val="0"/>
      <w:marTop w:val="0"/>
      <w:marBottom w:val="0"/>
      <w:divBdr>
        <w:top w:val="none" w:sz="0" w:space="0" w:color="auto"/>
        <w:left w:val="none" w:sz="0" w:space="0" w:color="auto"/>
        <w:bottom w:val="none" w:sz="0" w:space="0" w:color="auto"/>
        <w:right w:val="none" w:sz="0" w:space="0" w:color="auto"/>
      </w:divBdr>
    </w:div>
    <w:div w:id="1251281203">
      <w:bodyDiv w:val="1"/>
      <w:marLeft w:val="0"/>
      <w:marRight w:val="0"/>
      <w:marTop w:val="0"/>
      <w:marBottom w:val="0"/>
      <w:divBdr>
        <w:top w:val="none" w:sz="0" w:space="0" w:color="auto"/>
        <w:left w:val="none" w:sz="0" w:space="0" w:color="auto"/>
        <w:bottom w:val="none" w:sz="0" w:space="0" w:color="auto"/>
        <w:right w:val="none" w:sz="0" w:space="0" w:color="auto"/>
      </w:divBdr>
    </w:div>
    <w:div w:id="1287078922">
      <w:bodyDiv w:val="1"/>
      <w:marLeft w:val="0"/>
      <w:marRight w:val="0"/>
      <w:marTop w:val="0"/>
      <w:marBottom w:val="0"/>
      <w:divBdr>
        <w:top w:val="none" w:sz="0" w:space="0" w:color="auto"/>
        <w:left w:val="none" w:sz="0" w:space="0" w:color="auto"/>
        <w:bottom w:val="none" w:sz="0" w:space="0" w:color="auto"/>
        <w:right w:val="none" w:sz="0" w:space="0" w:color="auto"/>
      </w:divBdr>
    </w:div>
    <w:div w:id="1321230980">
      <w:bodyDiv w:val="1"/>
      <w:marLeft w:val="0"/>
      <w:marRight w:val="0"/>
      <w:marTop w:val="0"/>
      <w:marBottom w:val="0"/>
      <w:divBdr>
        <w:top w:val="none" w:sz="0" w:space="0" w:color="auto"/>
        <w:left w:val="none" w:sz="0" w:space="0" w:color="auto"/>
        <w:bottom w:val="none" w:sz="0" w:space="0" w:color="auto"/>
        <w:right w:val="none" w:sz="0" w:space="0" w:color="auto"/>
      </w:divBdr>
    </w:div>
    <w:div w:id="1322270713">
      <w:bodyDiv w:val="1"/>
      <w:marLeft w:val="0"/>
      <w:marRight w:val="0"/>
      <w:marTop w:val="0"/>
      <w:marBottom w:val="0"/>
      <w:divBdr>
        <w:top w:val="none" w:sz="0" w:space="0" w:color="auto"/>
        <w:left w:val="none" w:sz="0" w:space="0" w:color="auto"/>
        <w:bottom w:val="none" w:sz="0" w:space="0" w:color="auto"/>
        <w:right w:val="none" w:sz="0" w:space="0" w:color="auto"/>
      </w:divBdr>
    </w:div>
    <w:div w:id="1427383535">
      <w:bodyDiv w:val="1"/>
      <w:marLeft w:val="0"/>
      <w:marRight w:val="0"/>
      <w:marTop w:val="0"/>
      <w:marBottom w:val="0"/>
      <w:divBdr>
        <w:top w:val="none" w:sz="0" w:space="0" w:color="auto"/>
        <w:left w:val="none" w:sz="0" w:space="0" w:color="auto"/>
        <w:bottom w:val="none" w:sz="0" w:space="0" w:color="auto"/>
        <w:right w:val="none" w:sz="0" w:space="0" w:color="auto"/>
      </w:divBdr>
    </w:div>
    <w:div w:id="1509707517">
      <w:bodyDiv w:val="1"/>
      <w:marLeft w:val="0"/>
      <w:marRight w:val="0"/>
      <w:marTop w:val="0"/>
      <w:marBottom w:val="0"/>
      <w:divBdr>
        <w:top w:val="none" w:sz="0" w:space="0" w:color="auto"/>
        <w:left w:val="none" w:sz="0" w:space="0" w:color="auto"/>
        <w:bottom w:val="none" w:sz="0" w:space="0" w:color="auto"/>
        <w:right w:val="none" w:sz="0" w:space="0" w:color="auto"/>
      </w:divBdr>
    </w:div>
    <w:div w:id="1525902439">
      <w:bodyDiv w:val="1"/>
      <w:marLeft w:val="0"/>
      <w:marRight w:val="0"/>
      <w:marTop w:val="0"/>
      <w:marBottom w:val="0"/>
      <w:divBdr>
        <w:top w:val="none" w:sz="0" w:space="0" w:color="auto"/>
        <w:left w:val="none" w:sz="0" w:space="0" w:color="auto"/>
        <w:bottom w:val="none" w:sz="0" w:space="0" w:color="auto"/>
        <w:right w:val="none" w:sz="0" w:space="0" w:color="auto"/>
      </w:divBdr>
    </w:div>
    <w:div w:id="1585796406">
      <w:bodyDiv w:val="1"/>
      <w:marLeft w:val="0"/>
      <w:marRight w:val="0"/>
      <w:marTop w:val="0"/>
      <w:marBottom w:val="0"/>
      <w:divBdr>
        <w:top w:val="none" w:sz="0" w:space="0" w:color="auto"/>
        <w:left w:val="none" w:sz="0" w:space="0" w:color="auto"/>
        <w:bottom w:val="none" w:sz="0" w:space="0" w:color="auto"/>
        <w:right w:val="none" w:sz="0" w:space="0" w:color="auto"/>
      </w:divBdr>
    </w:div>
    <w:div w:id="1626695004">
      <w:bodyDiv w:val="1"/>
      <w:marLeft w:val="0"/>
      <w:marRight w:val="0"/>
      <w:marTop w:val="0"/>
      <w:marBottom w:val="0"/>
      <w:divBdr>
        <w:top w:val="none" w:sz="0" w:space="0" w:color="auto"/>
        <w:left w:val="none" w:sz="0" w:space="0" w:color="auto"/>
        <w:bottom w:val="none" w:sz="0" w:space="0" w:color="auto"/>
        <w:right w:val="none" w:sz="0" w:space="0" w:color="auto"/>
      </w:divBdr>
    </w:div>
    <w:div w:id="1705208427">
      <w:bodyDiv w:val="1"/>
      <w:marLeft w:val="0"/>
      <w:marRight w:val="0"/>
      <w:marTop w:val="0"/>
      <w:marBottom w:val="0"/>
      <w:divBdr>
        <w:top w:val="none" w:sz="0" w:space="0" w:color="auto"/>
        <w:left w:val="none" w:sz="0" w:space="0" w:color="auto"/>
        <w:bottom w:val="none" w:sz="0" w:space="0" w:color="auto"/>
        <w:right w:val="none" w:sz="0" w:space="0" w:color="auto"/>
      </w:divBdr>
    </w:div>
    <w:div w:id="1739748801">
      <w:bodyDiv w:val="1"/>
      <w:marLeft w:val="0"/>
      <w:marRight w:val="0"/>
      <w:marTop w:val="0"/>
      <w:marBottom w:val="0"/>
      <w:divBdr>
        <w:top w:val="none" w:sz="0" w:space="0" w:color="auto"/>
        <w:left w:val="none" w:sz="0" w:space="0" w:color="auto"/>
        <w:bottom w:val="none" w:sz="0" w:space="0" w:color="auto"/>
        <w:right w:val="none" w:sz="0" w:space="0" w:color="auto"/>
      </w:divBdr>
    </w:div>
    <w:div w:id="1874265460">
      <w:bodyDiv w:val="1"/>
      <w:marLeft w:val="0"/>
      <w:marRight w:val="0"/>
      <w:marTop w:val="0"/>
      <w:marBottom w:val="0"/>
      <w:divBdr>
        <w:top w:val="none" w:sz="0" w:space="0" w:color="auto"/>
        <w:left w:val="none" w:sz="0" w:space="0" w:color="auto"/>
        <w:bottom w:val="none" w:sz="0" w:space="0" w:color="auto"/>
        <w:right w:val="none" w:sz="0" w:space="0" w:color="auto"/>
      </w:divBdr>
    </w:div>
    <w:div w:id="1878421865">
      <w:bodyDiv w:val="1"/>
      <w:marLeft w:val="0"/>
      <w:marRight w:val="0"/>
      <w:marTop w:val="0"/>
      <w:marBottom w:val="0"/>
      <w:divBdr>
        <w:top w:val="none" w:sz="0" w:space="0" w:color="auto"/>
        <w:left w:val="none" w:sz="0" w:space="0" w:color="auto"/>
        <w:bottom w:val="none" w:sz="0" w:space="0" w:color="auto"/>
        <w:right w:val="none" w:sz="0" w:space="0" w:color="auto"/>
      </w:divBdr>
    </w:div>
    <w:div w:id="1937979067">
      <w:bodyDiv w:val="1"/>
      <w:marLeft w:val="0"/>
      <w:marRight w:val="0"/>
      <w:marTop w:val="0"/>
      <w:marBottom w:val="0"/>
      <w:divBdr>
        <w:top w:val="none" w:sz="0" w:space="0" w:color="auto"/>
        <w:left w:val="none" w:sz="0" w:space="0" w:color="auto"/>
        <w:bottom w:val="none" w:sz="0" w:space="0" w:color="auto"/>
        <w:right w:val="none" w:sz="0" w:space="0" w:color="auto"/>
      </w:divBdr>
    </w:div>
    <w:div w:id="199984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3.emf"/><Relationship Id="rId3" Type="http://schemas.openxmlformats.org/officeDocument/2006/relationships/styles" Target="styles.xml"/><Relationship Id="rId21" Type="http://schemas.openxmlformats.org/officeDocument/2006/relationships/package" Target="embeddings/Microsoft_Word_Document3.docx"/><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package" Target="embeddings/Microsoft_Excel_Worksheet1.xlsx"/><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package" Target="embeddings/Microsoft_Excel_Worksheet2.xlsx"/><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3.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C7F31-AF75-4D3F-948C-B6EE50CAB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9</Pages>
  <Words>2905</Words>
  <Characters>16564</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19431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kjm</dc:creator>
  <cp:lastModifiedBy>Kevin Madison</cp:lastModifiedBy>
  <cp:revision>4</cp:revision>
  <dcterms:created xsi:type="dcterms:W3CDTF">2013-09-06T21:32:00Z</dcterms:created>
  <dcterms:modified xsi:type="dcterms:W3CDTF">2013-09-06T21:38:00Z</dcterms:modified>
</cp:coreProperties>
</file>