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872" w:rsidRPr="00257E69" w:rsidRDefault="006458D4" w:rsidP="00257E69">
      <w:pPr>
        <w:pStyle w:val="Title"/>
      </w:pPr>
      <w:bookmarkStart w:id="0" w:name="_GoBack"/>
      <w:bookmarkEnd w:id="0"/>
      <w:r>
        <w:t>Comprehensive Workpaper Disposition for: Screw-In Lamps</w:t>
      </w:r>
      <w:r w:rsidR="002D4E44">
        <w:tab/>
      </w:r>
    </w:p>
    <w:p w:rsidR="00CD0872" w:rsidRPr="00257E69" w:rsidRDefault="002D4E44" w:rsidP="00257E69">
      <w:pPr>
        <w:pStyle w:val="Subtitle"/>
      </w:pPr>
      <w:r>
        <w:t>California Public Utilities Commission, Energy Division</w:t>
      </w:r>
    </w:p>
    <w:p w:rsidR="00CD0872" w:rsidRDefault="002D4E44" w:rsidP="00774848">
      <w:pPr>
        <w:pStyle w:val="DispositionDate"/>
      </w:pPr>
      <w:r>
        <w:t>March 1, 2017</w:t>
      </w:r>
    </w:p>
    <w:p w:rsidR="008504F1" w:rsidRDefault="008504F1">
      <w:pPr>
        <w:pStyle w:val="TOC1"/>
        <w:tabs>
          <w:tab w:val="right" w:leader="dot" w:pos="9350"/>
        </w:tabs>
      </w:pPr>
    </w:p>
    <w:p w:rsidR="008504F1" w:rsidRDefault="008504F1">
      <w:pPr>
        <w:pStyle w:val="TOC1"/>
        <w:tabs>
          <w:tab w:val="right" w:leader="dot" w:pos="9350"/>
        </w:tabs>
      </w:pPr>
    </w:p>
    <w:p w:rsidR="00FB3E27" w:rsidRDefault="00235ACC">
      <w:pPr>
        <w:pStyle w:val="TOC1"/>
        <w:tabs>
          <w:tab w:val="right" w:leader="dot" w:pos="9350"/>
        </w:tabs>
        <w:rPr>
          <w:rFonts w:asciiTheme="minorHAnsi" w:eastAsiaTheme="minorEastAsia" w:hAnsiTheme="minorHAnsi"/>
          <w:noProof/>
        </w:rPr>
      </w:pPr>
      <w:r>
        <w:fldChar w:fldCharType="begin"/>
      </w:r>
      <w:r>
        <w:instrText xml:space="preserve"> TOC \o "1-2" \h \z \u </w:instrText>
      </w:r>
      <w:r>
        <w:fldChar w:fldCharType="separate"/>
      </w:r>
      <w:hyperlink w:anchor="_Toc476066427" w:history="1">
        <w:r w:rsidR="00FB3E27" w:rsidRPr="00C05560">
          <w:rPr>
            <w:rStyle w:val="Hyperlink"/>
            <w:noProof/>
          </w:rPr>
          <w:t>1. Review Scope</w:t>
        </w:r>
        <w:r w:rsidR="00FB3E27">
          <w:rPr>
            <w:noProof/>
            <w:webHidden/>
          </w:rPr>
          <w:tab/>
        </w:r>
        <w:r w:rsidR="00FB3E27">
          <w:rPr>
            <w:noProof/>
            <w:webHidden/>
          </w:rPr>
          <w:fldChar w:fldCharType="begin"/>
        </w:r>
        <w:r w:rsidR="00FB3E27">
          <w:rPr>
            <w:noProof/>
            <w:webHidden/>
          </w:rPr>
          <w:instrText xml:space="preserve"> PAGEREF _Toc476066427 \h </w:instrText>
        </w:r>
        <w:r w:rsidR="00FB3E27">
          <w:rPr>
            <w:noProof/>
            <w:webHidden/>
          </w:rPr>
        </w:r>
        <w:r w:rsidR="00FB3E27">
          <w:rPr>
            <w:noProof/>
            <w:webHidden/>
          </w:rPr>
          <w:fldChar w:fldCharType="separate"/>
        </w:r>
        <w:r w:rsidR="0029244D">
          <w:rPr>
            <w:noProof/>
            <w:webHidden/>
          </w:rPr>
          <w:t>2</w:t>
        </w:r>
        <w:r w:rsidR="00FB3E27">
          <w:rPr>
            <w:noProof/>
            <w:webHidden/>
          </w:rPr>
          <w:fldChar w:fldCharType="end"/>
        </w:r>
      </w:hyperlink>
    </w:p>
    <w:p w:rsidR="00FB3E27" w:rsidRDefault="007F3E73">
      <w:pPr>
        <w:pStyle w:val="TOC1"/>
        <w:tabs>
          <w:tab w:val="right" w:leader="dot" w:pos="9350"/>
        </w:tabs>
        <w:rPr>
          <w:rFonts w:asciiTheme="minorHAnsi" w:eastAsiaTheme="minorEastAsia" w:hAnsiTheme="minorHAnsi"/>
          <w:noProof/>
        </w:rPr>
      </w:pPr>
      <w:hyperlink w:anchor="_Toc476066428" w:history="1">
        <w:r w:rsidR="00FB3E27" w:rsidRPr="00C05560">
          <w:rPr>
            <w:rStyle w:val="Hyperlink"/>
            <w:noProof/>
          </w:rPr>
          <w:t>2. Directed Revisions to Workpapers</w:t>
        </w:r>
        <w:r w:rsidR="00FB3E27">
          <w:rPr>
            <w:noProof/>
            <w:webHidden/>
          </w:rPr>
          <w:tab/>
        </w:r>
        <w:r w:rsidR="00FB3E27">
          <w:rPr>
            <w:noProof/>
            <w:webHidden/>
          </w:rPr>
          <w:fldChar w:fldCharType="begin"/>
        </w:r>
        <w:r w:rsidR="00FB3E27">
          <w:rPr>
            <w:noProof/>
            <w:webHidden/>
          </w:rPr>
          <w:instrText xml:space="preserve"> PAGEREF _Toc476066428 \h </w:instrText>
        </w:r>
        <w:r w:rsidR="00FB3E27">
          <w:rPr>
            <w:noProof/>
            <w:webHidden/>
          </w:rPr>
        </w:r>
        <w:r w:rsidR="00FB3E27">
          <w:rPr>
            <w:noProof/>
            <w:webHidden/>
          </w:rPr>
          <w:fldChar w:fldCharType="separate"/>
        </w:r>
        <w:r w:rsidR="0029244D">
          <w:rPr>
            <w:noProof/>
            <w:webHidden/>
          </w:rPr>
          <w:t>3</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29" w:history="1">
        <w:r w:rsidR="00FB3E27" w:rsidRPr="00C05560">
          <w:rPr>
            <w:rStyle w:val="Hyperlink"/>
            <w:noProof/>
          </w:rPr>
          <w:t>2.1. Directed Revisions to All New and Existing Workpapers Covering Screw-in Lamps</w:t>
        </w:r>
        <w:r w:rsidR="00FB3E27">
          <w:rPr>
            <w:noProof/>
            <w:webHidden/>
          </w:rPr>
          <w:tab/>
        </w:r>
        <w:r w:rsidR="00FB3E27">
          <w:rPr>
            <w:noProof/>
            <w:webHidden/>
          </w:rPr>
          <w:fldChar w:fldCharType="begin"/>
        </w:r>
        <w:r w:rsidR="00FB3E27">
          <w:rPr>
            <w:noProof/>
            <w:webHidden/>
          </w:rPr>
          <w:instrText xml:space="preserve"> PAGEREF _Toc476066429 \h </w:instrText>
        </w:r>
        <w:r w:rsidR="00FB3E27">
          <w:rPr>
            <w:noProof/>
            <w:webHidden/>
          </w:rPr>
        </w:r>
        <w:r w:rsidR="00FB3E27">
          <w:rPr>
            <w:noProof/>
            <w:webHidden/>
          </w:rPr>
          <w:fldChar w:fldCharType="separate"/>
        </w:r>
        <w:r w:rsidR="0029244D">
          <w:rPr>
            <w:noProof/>
            <w:webHidden/>
          </w:rPr>
          <w:t>3</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30" w:history="1">
        <w:r w:rsidR="00FB3E27" w:rsidRPr="00C05560">
          <w:rPr>
            <w:rStyle w:val="Hyperlink"/>
            <w:noProof/>
          </w:rPr>
          <w:t>2.2. Directed Revisions to PGECOLTG165 and any Current and Future Screw-in LED Workpapers</w:t>
        </w:r>
        <w:r w:rsidR="00FB3E27">
          <w:rPr>
            <w:noProof/>
            <w:webHidden/>
          </w:rPr>
          <w:tab/>
        </w:r>
        <w:r w:rsidR="00FB3E27">
          <w:rPr>
            <w:noProof/>
            <w:webHidden/>
          </w:rPr>
          <w:fldChar w:fldCharType="begin"/>
        </w:r>
        <w:r w:rsidR="00FB3E27">
          <w:rPr>
            <w:noProof/>
            <w:webHidden/>
          </w:rPr>
          <w:instrText xml:space="preserve"> PAGEREF _Toc476066430 \h </w:instrText>
        </w:r>
        <w:r w:rsidR="00FB3E27">
          <w:rPr>
            <w:noProof/>
            <w:webHidden/>
          </w:rPr>
        </w:r>
        <w:r w:rsidR="00FB3E27">
          <w:rPr>
            <w:noProof/>
            <w:webHidden/>
          </w:rPr>
          <w:fldChar w:fldCharType="separate"/>
        </w:r>
        <w:r w:rsidR="0029244D">
          <w:rPr>
            <w:noProof/>
            <w:webHidden/>
          </w:rPr>
          <w:t>3</w:t>
        </w:r>
        <w:r w:rsidR="00FB3E27">
          <w:rPr>
            <w:noProof/>
            <w:webHidden/>
          </w:rPr>
          <w:fldChar w:fldCharType="end"/>
        </w:r>
      </w:hyperlink>
    </w:p>
    <w:p w:rsidR="00FB3E27" w:rsidRDefault="007F3E73">
      <w:pPr>
        <w:pStyle w:val="TOC1"/>
        <w:tabs>
          <w:tab w:val="right" w:leader="dot" w:pos="9350"/>
        </w:tabs>
        <w:rPr>
          <w:rFonts w:asciiTheme="minorHAnsi" w:eastAsiaTheme="minorEastAsia" w:hAnsiTheme="minorHAnsi"/>
          <w:noProof/>
        </w:rPr>
      </w:pPr>
      <w:hyperlink w:anchor="_Toc476066431" w:history="1">
        <w:r w:rsidR="00FB3E27" w:rsidRPr="00C05560">
          <w:rPr>
            <w:rStyle w:val="Hyperlink"/>
            <w:noProof/>
          </w:rPr>
          <w:t>3. Review of Workpapers Using Wattage Reduction Ratios for Savings Calculations</w:t>
        </w:r>
        <w:r w:rsidR="00FB3E27">
          <w:rPr>
            <w:noProof/>
            <w:webHidden/>
          </w:rPr>
          <w:tab/>
        </w:r>
        <w:r w:rsidR="00FB3E27">
          <w:rPr>
            <w:noProof/>
            <w:webHidden/>
          </w:rPr>
          <w:fldChar w:fldCharType="begin"/>
        </w:r>
        <w:r w:rsidR="00FB3E27">
          <w:rPr>
            <w:noProof/>
            <w:webHidden/>
          </w:rPr>
          <w:instrText xml:space="preserve"> PAGEREF _Toc476066431 \h </w:instrText>
        </w:r>
        <w:r w:rsidR="00FB3E27">
          <w:rPr>
            <w:noProof/>
            <w:webHidden/>
          </w:rPr>
        </w:r>
        <w:r w:rsidR="00FB3E27">
          <w:rPr>
            <w:noProof/>
            <w:webHidden/>
          </w:rPr>
          <w:fldChar w:fldCharType="separate"/>
        </w:r>
        <w:r w:rsidR="0029244D">
          <w:rPr>
            <w:noProof/>
            <w:webHidden/>
          </w:rPr>
          <w:t>3</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32" w:history="1">
        <w:r w:rsidR="00FB3E27" w:rsidRPr="00C05560">
          <w:rPr>
            <w:rStyle w:val="Hyperlink"/>
            <w:noProof/>
          </w:rPr>
          <w:t>3.1. Background on Lamp Wattage Reduction Methods</w:t>
        </w:r>
        <w:r w:rsidR="00FB3E27">
          <w:rPr>
            <w:noProof/>
            <w:webHidden/>
          </w:rPr>
          <w:tab/>
        </w:r>
        <w:r w:rsidR="00FB3E27">
          <w:rPr>
            <w:noProof/>
            <w:webHidden/>
          </w:rPr>
          <w:fldChar w:fldCharType="begin"/>
        </w:r>
        <w:r w:rsidR="00FB3E27">
          <w:rPr>
            <w:noProof/>
            <w:webHidden/>
          </w:rPr>
          <w:instrText xml:space="preserve"> PAGEREF _Toc476066432 \h </w:instrText>
        </w:r>
        <w:r w:rsidR="00FB3E27">
          <w:rPr>
            <w:noProof/>
            <w:webHidden/>
          </w:rPr>
        </w:r>
        <w:r w:rsidR="00FB3E27">
          <w:rPr>
            <w:noProof/>
            <w:webHidden/>
          </w:rPr>
          <w:fldChar w:fldCharType="separate"/>
        </w:r>
        <w:r w:rsidR="0029244D">
          <w:rPr>
            <w:noProof/>
            <w:webHidden/>
          </w:rPr>
          <w:t>3</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33" w:history="1">
        <w:r w:rsidR="00FB3E27" w:rsidRPr="00C05560">
          <w:rPr>
            <w:rStyle w:val="Hyperlink"/>
            <w:noProof/>
          </w:rPr>
          <w:t>3.2. Baseline Development</w:t>
        </w:r>
        <w:r w:rsidR="00FB3E27">
          <w:rPr>
            <w:noProof/>
            <w:webHidden/>
          </w:rPr>
          <w:tab/>
        </w:r>
        <w:r w:rsidR="00FB3E27">
          <w:rPr>
            <w:noProof/>
            <w:webHidden/>
          </w:rPr>
          <w:fldChar w:fldCharType="begin"/>
        </w:r>
        <w:r w:rsidR="00FB3E27">
          <w:rPr>
            <w:noProof/>
            <w:webHidden/>
          </w:rPr>
          <w:instrText xml:space="preserve"> PAGEREF _Toc476066433 \h </w:instrText>
        </w:r>
        <w:r w:rsidR="00FB3E27">
          <w:rPr>
            <w:noProof/>
            <w:webHidden/>
          </w:rPr>
        </w:r>
        <w:r w:rsidR="00FB3E27">
          <w:rPr>
            <w:noProof/>
            <w:webHidden/>
          </w:rPr>
          <w:fldChar w:fldCharType="separate"/>
        </w:r>
        <w:r w:rsidR="0029244D">
          <w:rPr>
            <w:noProof/>
            <w:webHidden/>
          </w:rPr>
          <w:t>4</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34" w:history="1">
        <w:r w:rsidR="00FB3E27" w:rsidRPr="00C05560">
          <w:rPr>
            <w:rStyle w:val="Hyperlink"/>
            <w:noProof/>
          </w:rPr>
          <w:t>3.3. Net-to-Gross Ratios</w:t>
        </w:r>
        <w:r w:rsidR="00FB3E27">
          <w:rPr>
            <w:noProof/>
            <w:webHidden/>
          </w:rPr>
          <w:tab/>
        </w:r>
        <w:r w:rsidR="00FB3E27">
          <w:rPr>
            <w:noProof/>
            <w:webHidden/>
          </w:rPr>
          <w:fldChar w:fldCharType="begin"/>
        </w:r>
        <w:r w:rsidR="00FB3E27">
          <w:rPr>
            <w:noProof/>
            <w:webHidden/>
          </w:rPr>
          <w:instrText xml:space="preserve"> PAGEREF _Toc476066434 \h </w:instrText>
        </w:r>
        <w:r w:rsidR="00FB3E27">
          <w:rPr>
            <w:noProof/>
            <w:webHidden/>
          </w:rPr>
        </w:r>
        <w:r w:rsidR="00FB3E27">
          <w:rPr>
            <w:noProof/>
            <w:webHidden/>
          </w:rPr>
          <w:fldChar w:fldCharType="separate"/>
        </w:r>
        <w:r w:rsidR="0029244D">
          <w:rPr>
            <w:noProof/>
            <w:webHidden/>
          </w:rPr>
          <w:t>6</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35" w:history="1">
        <w:r w:rsidR="00FB3E27" w:rsidRPr="00C05560">
          <w:rPr>
            <w:rStyle w:val="Hyperlink"/>
            <w:noProof/>
          </w:rPr>
          <w:t>3.4. Decision Language Supporting the Revision of DEER Values</w:t>
        </w:r>
        <w:r w:rsidR="00FB3E27">
          <w:rPr>
            <w:noProof/>
            <w:webHidden/>
          </w:rPr>
          <w:tab/>
        </w:r>
        <w:r w:rsidR="00FB3E27">
          <w:rPr>
            <w:noProof/>
            <w:webHidden/>
          </w:rPr>
          <w:fldChar w:fldCharType="begin"/>
        </w:r>
        <w:r w:rsidR="00FB3E27">
          <w:rPr>
            <w:noProof/>
            <w:webHidden/>
          </w:rPr>
          <w:instrText xml:space="preserve"> PAGEREF _Toc476066435 \h </w:instrText>
        </w:r>
        <w:r w:rsidR="00FB3E27">
          <w:rPr>
            <w:noProof/>
            <w:webHidden/>
          </w:rPr>
        </w:r>
        <w:r w:rsidR="00FB3E27">
          <w:rPr>
            <w:noProof/>
            <w:webHidden/>
          </w:rPr>
          <w:fldChar w:fldCharType="separate"/>
        </w:r>
        <w:r w:rsidR="0029244D">
          <w:rPr>
            <w:noProof/>
            <w:webHidden/>
          </w:rPr>
          <w:t>8</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36" w:history="1">
        <w:r w:rsidR="00FB3E27" w:rsidRPr="00C05560">
          <w:rPr>
            <w:rStyle w:val="Hyperlink"/>
            <w:noProof/>
          </w:rPr>
          <w:t>3.5. Directed Revisions to All Workpapers Covering Screw-in Lamps, with exceptions</w:t>
        </w:r>
        <w:r w:rsidR="00FB3E27">
          <w:rPr>
            <w:noProof/>
            <w:webHidden/>
          </w:rPr>
          <w:tab/>
        </w:r>
        <w:r w:rsidR="00FB3E27">
          <w:rPr>
            <w:noProof/>
            <w:webHidden/>
          </w:rPr>
          <w:fldChar w:fldCharType="begin"/>
        </w:r>
        <w:r w:rsidR="00FB3E27">
          <w:rPr>
            <w:noProof/>
            <w:webHidden/>
          </w:rPr>
          <w:instrText xml:space="preserve"> PAGEREF _Toc476066436 \h </w:instrText>
        </w:r>
        <w:r w:rsidR="00FB3E27">
          <w:rPr>
            <w:noProof/>
            <w:webHidden/>
          </w:rPr>
        </w:r>
        <w:r w:rsidR="00FB3E27">
          <w:rPr>
            <w:noProof/>
            <w:webHidden/>
          </w:rPr>
          <w:fldChar w:fldCharType="separate"/>
        </w:r>
        <w:r w:rsidR="0029244D">
          <w:rPr>
            <w:noProof/>
            <w:webHidden/>
          </w:rPr>
          <w:t>9</w:t>
        </w:r>
        <w:r w:rsidR="00FB3E27">
          <w:rPr>
            <w:noProof/>
            <w:webHidden/>
          </w:rPr>
          <w:fldChar w:fldCharType="end"/>
        </w:r>
      </w:hyperlink>
    </w:p>
    <w:p w:rsidR="00FB3E27" w:rsidRDefault="007F3E73">
      <w:pPr>
        <w:pStyle w:val="TOC1"/>
        <w:tabs>
          <w:tab w:val="right" w:leader="dot" w:pos="9350"/>
        </w:tabs>
        <w:rPr>
          <w:rFonts w:asciiTheme="minorHAnsi" w:eastAsiaTheme="minorEastAsia" w:hAnsiTheme="minorHAnsi"/>
          <w:noProof/>
        </w:rPr>
      </w:pPr>
      <w:hyperlink w:anchor="_Toc476066437" w:history="1">
        <w:r w:rsidR="00FB3E27" w:rsidRPr="00C05560">
          <w:rPr>
            <w:rStyle w:val="Hyperlink"/>
            <w:noProof/>
          </w:rPr>
          <w:t>4. Review of PGECOLTG165, LED A-Lamps</w:t>
        </w:r>
        <w:r w:rsidR="00FB3E27">
          <w:rPr>
            <w:noProof/>
            <w:webHidden/>
          </w:rPr>
          <w:tab/>
        </w:r>
        <w:r w:rsidR="00FB3E27">
          <w:rPr>
            <w:noProof/>
            <w:webHidden/>
          </w:rPr>
          <w:fldChar w:fldCharType="begin"/>
        </w:r>
        <w:r w:rsidR="00FB3E27">
          <w:rPr>
            <w:noProof/>
            <w:webHidden/>
          </w:rPr>
          <w:instrText xml:space="preserve"> PAGEREF _Toc476066437 \h </w:instrText>
        </w:r>
        <w:r w:rsidR="00FB3E27">
          <w:rPr>
            <w:noProof/>
            <w:webHidden/>
          </w:rPr>
        </w:r>
        <w:r w:rsidR="00FB3E27">
          <w:rPr>
            <w:noProof/>
            <w:webHidden/>
          </w:rPr>
          <w:fldChar w:fldCharType="separate"/>
        </w:r>
        <w:r w:rsidR="0029244D">
          <w:rPr>
            <w:noProof/>
            <w:webHidden/>
          </w:rPr>
          <w:t>10</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38" w:history="1">
        <w:r w:rsidR="00FB3E27" w:rsidRPr="00C05560">
          <w:rPr>
            <w:rStyle w:val="Hyperlink"/>
            <w:noProof/>
          </w:rPr>
          <w:t>4.1. Baseline Determination Methods</w:t>
        </w:r>
        <w:r w:rsidR="00FB3E27">
          <w:rPr>
            <w:noProof/>
            <w:webHidden/>
          </w:rPr>
          <w:tab/>
        </w:r>
        <w:r w:rsidR="00FB3E27">
          <w:rPr>
            <w:noProof/>
            <w:webHidden/>
          </w:rPr>
          <w:fldChar w:fldCharType="begin"/>
        </w:r>
        <w:r w:rsidR="00FB3E27">
          <w:rPr>
            <w:noProof/>
            <w:webHidden/>
          </w:rPr>
          <w:instrText xml:space="preserve"> PAGEREF _Toc476066438 \h </w:instrText>
        </w:r>
        <w:r w:rsidR="00FB3E27">
          <w:rPr>
            <w:noProof/>
            <w:webHidden/>
          </w:rPr>
        </w:r>
        <w:r w:rsidR="00FB3E27">
          <w:rPr>
            <w:noProof/>
            <w:webHidden/>
          </w:rPr>
          <w:fldChar w:fldCharType="separate"/>
        </w:r>
        <w:r w:rsidR="0029244D">
          <w:rPr>
            <w:noProof/>
            <w:webHidden/>
          </w:rPr>
          <w:t>12</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39" w:history="1">
        <w:r w:rsidR="00FB3E27" w:rsidRPr="00C05560">
          <w:rPr>
            <w:rStyle w:val="Hyperlink"/>
            <w:noProof/>
          </w:rPr>
          <w:t>4.2. Critical Review Issues</w:t>
        </w:r>
        <w:r w:rsidR="00FB3E27">
          <w:rPr>
            <w:noProof/>
            <w:webHidden/>
          </w:rPr>
          <w:tab/>
        </w:r>
        <w:r w:rsidR="00FB3E27">
          <w:rPr>
            <w:noProof/>
            <w:webHidden/>
          </w:rPr>
          <w:fldChar w:fldCharType="begin"/>
        </w:r>
        <w:r w:rsidR="00FB3E27">
          <w:rPr>
            <w:noProof/>
            <w:webHidden/>
          </w:rPr>
          <w:instrText xml:space="preserve"> PAGEREF _Toc476066439 \h </w:instrText>
        </w:r>
        <w:r w:rsidR="00FB3E27">
          <w:rPr>
            <w:noProof/>
            <w:webHidden/>
          </w:rPr>
        </w:r>
        <w:r w:rsidR="00FB3E27">
          <w:rPr>
            <w:noProof/>
            <w:webHidden/>
          </w:rPr>
          <w:fldChar w:fldCharType="separate"/>
        </w:r>
        <w:r w:rsidR="0029244D">
          <w:rPr>
            <w:noProof/>
            <w:webHidden/>
          </w:rPr>
          <w:t>13</w:t>
        </w:r>
        <w:r w:rsidR="00FB3E27">
          <w:rPr>
            <w:noProof/>
            <w:webHidden/>
          </w:rPr>
          <w:fldChar w:fldCharType="end"/>
        </w:r>
      </w:hyperlink>
    </w:p>
    <w:p w:rsidR="00FB3E27" w:rsidRDefault="007F3E73">
      <w:pPr>
        <w:pStyle w:val="TOC2"/>
        <w:tabs>
          <w:tab w:val="right" w:leader="dot" w:pos="9350"/>
        </w:tabs>
        <w:rPr>
          <w:rFonts w:asciiTheme="minorHAnsi" w:eastAsiaTheme="minorEastAsia" w:hAnsiTheme="minorHAnsi"/>
          <w:noProof/>
        </w:rPr>
      </w:pPr>
      <w:hyperlink w:anchor="_Toc476066440" w:history="1">
        <w:r w:rsidR="00FB3E27" w:rsidRPr="00C05560">
          <w:rPr>
            <w:rStyle w:val="Hyperlink"/>
            <w:noProof/>
          </w:rPr>
          <w:t>4.3. Directed Revisions to PGECOLTG165, LED A-Lamps</w:t>
        </w:r>
        <w:r w:rsidR="00FB3E27">
          <w:rPr>
            <w:noProof/>
            <w:webHidden/>
          </w:rPr>
          <w:tab/>
        </w:r>
        <w:r w:rsidR="00FB3E27">
          <w:rPr>
            <w:noProof/>
            <w:webHidden/>
          </w:rPr>
          <w:fldChar w:fldCharType="begin"/>
        </w:r>
        <w:r w:rsidR="00FB3E27">
          <w:rPr>
            <w:noProof/>
            <w:webHidden/>
          </w:rPr>
          <w:instrText xml:space="preserve"> PAGEREF _Toc476066440 \h </w:instrText>
        </w:r>
        <w:r w:rsidR="00FB3E27">
          <w:rPr>
            <w:noProof/>
            <w:webHidden/>
          </w:rPr>
        </w:r>
        <w:r w:rsidR="00FB3E27">
          <w:rPr>
            <w:noProof/>
            <w:webHidden/>
          </w:rPr>
          <w:fldChar w:fldCharType="separate"/>
        </w:r>
        <w:r w:rsidR="0029244D">
          <w:rPr>
            <w:noProof/>
            <w:webHidden/>
          </w:rPr>
          <w:t>17</w:t>
        </w:r>
        <w:r w:rsidR="00FB3E27">
          <w:rPr>
            <w:noProof/>
            <w:webHidden/>
          </w:rPr>
          <w:fldChar w:fldCharType="end"/>
        </w:r>
      </w:hyperlink>
    </w:p>
    <w:p w:rsidR="0072213E" w:rsidRDefault="00235ACC" w:rsidP="00825350">
      <w:r>
        <w:fldChar w:fldCharType="end"/>
      </w:r>
      <w:r w:rsidR="0072213E">
        <w:br w:type="page"/>
      </w:r>
    </w:p>
    <w:p w:rsidR="00235ACC" w:rsidRPr="008C7F61" w:rsidRDefault="00235ACC" w:rsidP="00235ACC"/>
    <w:p w:rsidR="002A67E5" w:rsidRPr="00C46478" w:rsidRDefault="002A67E5" w:rsidP="005F0289">
      <w:pPr>
        <w:pStyle w:val="Heading1"/>
      </w:pPr>
      <w:bookmarkStart w:id="1" w:name="_Toc475967900"/>
      <w:bookmarkStart w:id="2" w:name="_Toc476066427"/>
      <w:r w:rsidRPr="00C46478">
        <w:t xml:space="preserve">Review </w:t>
      </w:r>
      <w:r w:rsidR="00E12E68" w:rsidRPr="00C46478">
        <w:t>Scope</w:t>
      </w:r>
      <w:bookmarkEnd w:id="1"/>
      <w:bookmarkEnd w:id="2"/>
    </w:p>
    <w:p w:rsidR="00F11C2D" w:rsidRPr="00E534A2" w:rsidRDefault="00F11C2D" w:rsidP="00F11C2D">
      <w:pPr>
        <w:pStyle w:val="Body1"/>
      </w:pPr>
      <w:r>
        <w:t xml:space="preserve">This disposition includes a review of all workpapers covering screw-in lamps. Refer to </w:t>
      </w:r>
      <w:r>
        <w:fldChar w:fldCharType="begin"/>
      </w:r>
      <w:r>
        <w:instrText xml:space="preserve"> REF _Ref324175084 \h </w:instrText>
      </w:r>
      <w:r>
        <w:fldChar w:fldCharType="separate"/>
      </w:r>
      <w:r w:rsidR="00B25CDA" w:rsidRPr="00310BA9">
        <w:t xml:space="preserve">Table </w:t>
      </w:r>
      <w:r w:rsidR="00B25CDA">
        <w:rPr>
          <w:noProof/>
        </w:rPr>
        <w:t>1</w:t>
      </w:r>
      <w:r>
        <w:fldChar w:fldCharType="end"/>
      </w:r>
      <w:r>
        <w:t xml:space="preserve"> for a list of recently submitted PA workpapers that support these types of measures.</w:t>
      </w:r>
    </w:p>
    <w:p w:rsidR="00F11C2D" w:rsidRPr="00310BA9" w:rsidRDefault="00F11C2D" w:rsidP="00820BD1">
      <w:pPr>
        <w:pStyle w:val="Caption"/>
        <w:keepNext/>
        <w:spacing w:after="120"/>
        <w:jc w:val="center"/>
      </w:pPr>
      <w:bookmarkStart w:id="3" w:name="_Ref324175084"/>
      <w:r w:rsidRPr="00310BA9">
        <w:t xml:space="preserve">Table </w:t>
      </w:r>
      <w:fldSimple w:instr=" SEQ Table \* ARABIC ">
        <w:r w:rsidR="00B25CDA">
          <w:rPr>
            <w:noProof/>
          </w:rPr>
          <w:t>1</w:t>
        </w:r>
      </w:fldSimple>
      <w:bookmarkEnd w:id="3"/>
      <w:r w:rsidRPr="00310BA9">
        <w:t xml:space="preserve"> - Workpapers</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7"/>
        <w:gridCol w:w="583"/>
        <w:gridCol w:w="4463"/>
        <w:gridCol w:w="658"/>
        <w:gridCol w:w="1278"/>
      </w:tblGrid>
      <w:tr w:rsidR="00C73825" w:rsidRPr="008E6B1C" w:rsidTr="001509AE">
        <w:trPr>
          <w:jc w:val="center"/>
        </w:trPr>
        <w:tc>
          <w:tcPr>
            <w:tcW w:w="1947" w:type="dxa"/>
          </w:tcPr>
          <w:p w:rsidR="00C73825" w:rsidRDefault="00C73825" w:rsidP="00AD5CA0">
            <w:pPr>
              <w:keepNext/>
              <w:spacing w:after="0" w:line="240" w:lineRule="auto"/>
              <w:jc w:val="center"/>
              <w:rPr>
                <w:b/>
              </w:rPr>
            </w:pPr>
          </w:p>
          <w:p w:rsidR="00C73825" w:rsidRDefault="00C73825" w:rsidP="00AD5CA0">
            <w:pPr>
              <w:keepNext/>
              <w:spacing w:after="0" w:line="240" w:lineRule="auto"/>
              <w:jc w:val="center"/>
              <w:rPr>
                <w:b/>
              </w:rPr>
            </w:pPr>
          </w:p>
          <w:p w:rsidR="00C73825" w:rsidRPr="008E6B1C" w:rsidRDefault="00C73825" w:rsidP="00AD5CA0">
            <w:pPr>
              <w:keepNext/>
              <w:spacing w:after="0" w:line="240" w:lineRule="auto"/>
              <w:jc w:val="center"/>
              <w:rPr>
                <w:b/>
              </w:rPr>
            </w:pPr>
            <w:r w:rsidRPr="008E6B1C">
              <w:rPr>
                <w:b/>
              </w:rPr>
              <w:t>Workpaper ID</w:t>
            </w:r>
          </w:p>
        </w:tc>
        <w:tc>
          <w:tcPr>
            <w:tcW w:w="583" w:type="dxa"/>
          </w:tcPr>
          <w:p w:rsidR="00C73825" w:rsidRDefault="00C73825" w:rsidP="00AD5CA0">
            <w:pPr>
              <w:keepNext/>
              <w:spacing w:after="0" w:line="240" w:lineRule="auto"/>
              <w:jc w:val="center"/>
              <w:rPr>
                <w:b/>
              </w:rPr>
            </w:pPr>
          </w:p>
          <w:p w:rsidR="00C73825" w:rsidRDefault="00C73825" w:rsidP="00AD5CA0">
            <w:pPr>
              <w:keepNext/>
              <w:spacing w:after="0" w:line="240" w:lineRule="auto"/>
              <w:jc w:val="center"/>
              <w:rPr>
                <w:b/>
              </w:rPr>
            </w:pPr>
          </w:p>
          <w:p w:rsidR="00C73825" w:rsidRPr="008E6B1C" w:rsidRDefault="00C73825" w:rsidP="00AD5CA0">
            <w:pPr>
              <w:keepNext/>
              <w:spacing w:after="0" w:line="240" w:lineRule="auto"/>
              <w:jc w:val="center"/>
              <w:rPr>
                <w:b/>
              </w:rPr>
            </w:pPr>
            <w:r>
              <w:rPr>
                <w:b/>
              </w:rPr>
              <w:t>Rev</w:t>
            </w:r>
          </w:p>
        </w:tc>
        <w:tc>
          <w:tcPr>
            <w:tcW w:w="4463" w:type="dxa"/>
          </w:tcPr>
          <w:p w:rsidR="00C73825" w:rsidRDefault="00C73825" w:rsidP="00AD5CA0">
            <w:pPr>
              <w:keepNext/>
              <w:spacing w:after="0" w:line="240" w:lineRule="auto"/>
              <w:jc w:val="center"/>
              <w:rPr>
                <w:b/>
              </w:rPr>
            </w:pPr>
          </w:p>
          <w:p w:rsidR="00C73825" w:rsidRDefault="00C73825" w:rsidP="00AD5CA0">
            <w:pPr>
              <w:keepNext/>
              <w:spacing w:after="0" w:line="240" w:lineRule="auto"/>
              <w:jc w:val="center"/>
              <w:rPr>
                <w:b/>
              </w:rPr>
            </w:pPr>
          </w:p>
          <w:p w:rsidR="00C73825" w:rsidRPr="008E6B1C" w:rsidRDefault="00C73825" w:rsidP="00AD5CA0">
            <w:pPr>
              <w:keepNext/>
              <w:spacing w:after="0" w:line="240" w:lineRule="auto"/>
              <w:jc w:val="center"/>
              <w:rPr>
                <w:b/>
              </w:rPr>
            </w:pPr>
            <w:r w:rsidRPr="008E6B1C">
              <w:rPr>
                <w:b/>
              </w:rPr>
              <w:t>Workpaper Title</w:t>
            </w:r>
          </w:p>
        </w:tc>
        <w:tc>
          <w:tcPr>
            <w:tcW w:w="658" w:type="dxa"/>
            <w:vAlign w:val="bottom"/>
          </w:tcPr>
          <w:p w:rsidR="00C73825" w:rsidRDefault="00C73825" w:rsidP="00C73825">
            <w:pPr>
              <w:keepNext/>
              <w:spacing w:after="0" w:line="240" w:lineRule="auto"/>
              <w:jc w:val="center"/>
              <w:rPr>
                <w:b/>
              </w:rPr>
            </w:pPr>
            <w:r>
              <w:rPr>
                <w:b/>
              </w:rPr>
              <w:t>Tech Type</w:t>
            </w:r>
          </w:p>
        </w:tc>
        <w:tc>
          <w:tcPr>
            <w:tcW w:w="1278" w:type="dxa"/>
          </w:tcPr>
          <w:p w:rsidR="00C73825" w:rsidRPr="008E6B1C" w:rsidRDefault="00C73825" w:rsidP="00AD5CA0">
            <w:pPr>
              <w:keepNext/>
              <w:spacing w:after="0" w:line="240" w:lineRule="auto"/>
              <w:jc w:val="center"/>
              <w:rPr>
                <w:b/>
              </w:rPr>
            </w:pPr>
            <w:r>
              <w:rPr>
                <w:b/>
              </w:rPr>
              <w:t>Official Submittal Date</w:t>
            </w:r>
          </w:p>
        </w:tc>
      </w:tr>
      <w:tr w:rsidR="00C73825" w:rsidRPr="00C73825" w:rsidTr="00825350">
        <w:trPr>
          <w:jc w:val="center"/>
        </w:trPr>
        <w:tc>
          <w:tcPr>
            <w:tcW w:w="8929" w:type="dxa"/>
            <w:gridSpan w:val="5"/>
            <w:shd w:val="pct25" w:color="auto" w:fill="auto"/>
          </w:tcPr>
          <w:p w:rsidR="00C73825" w:rsidRPr="00C73825" w:rsidRDefault="00C73825" w:rsidP="00C73825">
            <w:pPr>
              <w:keepNext/>
              <w:spacing w:after="0" w:line="240" w:lineRule="auto"/>
              <w:jc w:val="center"/>
              <w:rPr>
                <w:b/>
              </w:rPr>
            </w:pPr>
            <w:r w:rsidRPr="00C73825">
              <w:rPr>
                <w:b/>
              </w:rPr>
              <w:t>Workpapers Submitted for 2017 Program Cycle Phase 1 Review</w:t>
            </w:r>
          </w:p>
        </w:tc>
      </w:tr>
      <w:tr w:rsidR="00C73825" w:rsidRPr="008E6B1C" w:rsidTr="001509AE">
        <w:trPr>
          <w:jc w:val="center"/>
        </w:trPr>
        <w:tc>
          <w:tcPr>
            <w:tcW w:w="1947" w:type="dxa"/>
            <w:tcBorders>
              <w:right w:val="nil"/>
            </w:tcBorders>
            <w:shd w:val="pct25" w:color="auto" w:fill="auto"/>
          </w:tcPr>
          <w:p w:rsidR="00C73825" w:rsidRPr="008E6B1C" w:rsidRDefault="00C73825" w:rsidP="001C3A3C">
            <w:pPr>
              <w:keepNext/>
              <w:spacing w:after="0" w:line="240" w:lineRule="auto"/>
              <w:rPr>
                <w:b/>
              </w:rPr>
            </w:pPr>
            <w:r w:rsidRPr="008E6B1C">
              <w:rPr>
                <w:b/>
              </w:rPr>
              <w:t>PG&amp;E</w:t>
            </w:r>
          </w:p>
        </w:tc>
        <w:tc>
          <w:tcPr>
            <w:tcW w:w="583" w:type="dxa"/>
            <w:tcBorders>
              <w:right w:val="nil"/>
            </w:tcBorders>
            <w:shd w:val="pct25" w:color="auto" w:fill="auto"/>
          </w:tcPr>
          <w:p w:rsidR="00C73825" w:rsidRPr="008E6B1C" w:rsidRDefault="00C73825" w:rsidP="001C3A3C">
            <w:pPr>
              <w:keepNext/>
              <w:spacing w:after="0" w:line="240" w:lineRule="auto"/>
              <w:jc w:val="center"/>
            </w:pPr>
          </w:p>
        </w:tc>
        <w:tc>
          <w:tcPr>
            <w:tcW w:w="4463" w:type="dxa"/>
            <w:tcBorders>
              <w:left w:val="nil"/>
              <w:right w:val="nil"/>
            </w:tcBorders>
            <w:shd w:val="pct25" w:color="auto" w:fill="auto"/>
          </w:tcPr>
          <w:p w:rsidR="00C73825" w:rsidRPr="008E6B1C" w:rsidRDefault="00C73825" w:rsidP="001C3A3C">
            <w:pPr>
              <w:keepNext/>
              <w:spacing w:after="0" w:line="240" w:lineRule="auto"/>
            </w:pPr>
          </w:p>
        </w:tc>
        <w:tc>
          <w:tcPr>
            <w:tcW w:w="658" w:type="dxa"/>
            <w:tcBorders>
              <w:left w:val="nil"/>
              <w:right w:val="nil"/>
            </w:tcBorders>
            <w:shd w:val="pct25" w:color="auto" w:fill="auto"/>
          </w:tcPr>
          <w:p w:rsidR="00C73825" w:rsidRPr="008E6B1C" w:rsidRDefault="00C73825" w:rsidP="001C3A3C">
            <w:pPr>
              <w:keepNext/>
              <w:spacing w:after="0" w:line="240" w:lineRule="auto"/>
              <w:jc w:val="right"/>
            </w:pPr>
          </w:p>
        </w:tc>
        <w:tc>
          <w:tcPr>
            <w:tcW w:w="1278" w:type="dxa"/>
            <w:tcBorders>
              <w:left w:val="nil"/>
            </w:tcBorders>
            <w:shd w:val="pct25" w:color="auto" w:fill="auto"/>
          </w:tcPr>
          <w:p w:rsidR="00C73825" w:rsidRPr="008E6B1C" w:rsidRDefault="00C73825" w:rsidP="001C3A3C">
            <w:pPr>
              <w:keepNext/>
              <w:spacing w:after="0" w:line="240" w:lineRule="auto"/>
              <w:jc w:val="right"/>
            </w:pPr>
          </w:p>
        </w:tc>
      </w:tr>
      <w:tr w:rsidR="00A24402" w:rsidRPr="008E6B1C" w:rsidTr="001509AE">
        <w:trPr>
          <w:jc w:val="center"/>
        </w:trPr>
        <w:tc>
          <w:tcPr>
            <w:tcW w:w="1947" w:type="dxa"/>
            <w:vAlign w:val="center"/>
          </w:tcPr>
          <w:p w:rsidR="00A24402" w:rsidRDefault="00A24402" w:rsidP="001509AE">
            <w:pPr>
              <w:spacing w:after="0"/>
              <w:rPr>
                <w:rFonts w:cs="Calibri"/>
                <w:color w:val="000000"/>
              </w:rPr>
            </w:pPr>
            <w:r>
              <w:rPr>
                <w:rFonts w:cs="Calibri"/>
                <w:color w:val="000000"/>
              </w:rPr>
              <w:t>PGECOLTG139</w:t>
            </w:r>
          </w:p>
        </w:tc>
        <w:tc>
          <w:tcPr>
            <w:tcW w:w="583" w:type="dxa"/>
            <w:vAlign w:val="center"/>
          </w:tcPr>
          <w:p w:rsidR="00A24402" w:rsidRDefault="0029244D" w:rsidP="001509AE">
            <w:pPr>
              <w:keepNext/>
              <w:spacing w:after="0" w:line="240" w:lineRule="auto"/>
              <w:jc w:val="center"/>
            </w:pPr>
            <w:r>
              <w:t>9</w:t>
            </w:r>
          </w:p>
        </w:tc>
        <w:tc>
          <w:tcPr>
            <w:tcW w:w="4463" w:type="dxa"/>
            <w:vAlign w:val="center"/>
          </w:tcPr>
          <w:p w:rsidR="00A24402" w:rsidRDefault="00CE357F" w:rsidP="001509AE">
            <w:pPr>
              <w:keepNext/>
              <w:spacing w:after="0" w:line="240" w:lineRule="auto"/>
            </w:pPr>
            <w:r>
              <w:t>LED Surface, Pendant, Track, Accent, and Recessed Downlight</w:t>
            </w:r>
          </w:p>
        </w:tc>
        <w:tc>
          <w:tcPr>
            <w:tcW w:w="658" w:type="dxa"/>
            <w:vAlign w:val="center"/>
          </w:tcPr>
          <w:p w:rsidR="00A24402" w:rsidRDefault="00A24402" w:rsidP="001509AE">
            <w:pPr>
              <w:keepNext/>
              <w:spacing w:after="0" w:line="240" w:lineRule="auto"/>
              <w:jc w:val="center"/>
            </w:pPr>
            <w:r>
              <w:t>LED</w:t>
            </w:r>
          </w:p>
        </w:tc>
        <w:tc>
          <w:tcPr>
            <w:tcW w:w="1278" w:type="dxa"/>
            <w:vAlign w:val="center"/>
          </w:tcPr>
          <w:p w:rsidR="00A24402" w:rsidRPr="008E6B1C" w:rsidRDefault="00A24402" w:rsidP="001509AE">
            <w:pPr>
              <w:keepNext/>
              <w:spacing w:after="0" w:line="240" w:lineRule="auto"/>
              <w:jc w:val="right"/>
            </w:pPr>
            <w:r>
              <w:t>1/1/2017</w:t>
            </w:r>
          </w:p>
        </w:tc>
      </w:tr>
      <w:tr w:rsidR="00A24402" w:rsidRPr="008E6B1C" w:rsidTr="001509AE">
        <w:trPr>
          <w:jc w:val="center"/>
        </w:trPr>
        <w:tc>
          <w:tcPr>
            <w:tcW w:w="1947" w:type="dxa"/>
            <w:vAlign w:val="center"/>
          </w:tcPr>
          <w:p w:rsidR="00A24402" w:rsidRDefault="00A24402" w:rsidP="001509AE">
            <w:pPr>
              <w:spacing w:after="0"/>
              <w:rPr>
                <w:rFonts w:cs="Calibri"/>
                <w:color w:val="000000"/>
              </w:rPr>
            </w:pPr>
            <w:r>
              <w:rPr>
                <w:rFonts w:cs="Calibri"/>
                <w:color w:val="000000"/>
              </w:rPr>
              <w:t>PGECOLTG141</w:t>
            </w:r>
          </w:p>
        </w:tc>
        <w:tc>
          <w:tcPr>
            <w:tcW w:w="583" w:type="dxa"/>
            <w:vAlign w:val="center"/>
          </w:tcPr>
          <w:p w:rsidR="00A24402" w:rsidRDefault="0029244D" w:rsidP="001509AE">
            <w:pPr>
              <w:keepNext/>
              <w:spacing w:after="0" w:line="240" w:lineRule="auto"/>
              <w:jc w:val="center"/>
            </w:pPr>
            <w:r>
              <w:t>7</w:t>
            </w:r>
          </w:p>
        </w:tc>
        <w:tc>
          <w:tcPr>
            <w:tcW w:w="4463" w:type="dxa"/>
            <w:vAlign w:val="center"/>
          </w:tcPr>
          <w:p w:rsidR="00A24402" w:rsidRDefault="00CE357F" w:rsidP="001509AE">
            <w:pPr>
              <w:keepNext/>
              <w:spacing w:after="0" w:line="240" w:lineRule="auto"/>
            </w:pPr>
            <w:r>
              <w:t>LED PAR16, PAR20, PAR30, and PAR38 Lamps</w:t>
            </w:r>
          </w:p>
        </w:tc>
        <w:tc>
          <w:tcPr>
            <w:tcW w:w="658" w:type="dxa"/>
            <w:vAlign w:val="center"/>
          </w:tcPr>
          <w:p w:rsidR="00A24402" w:rsidRDefault="00A24402" w:rsidP="001509AE">
            <w:pPr>
              <w:keepNext/>
              <w:spacing w:after="0" w:line="240" w:lineRule="auto"/>
              <w:jc w:val="center"/>
            </w:pPr>
            <w:r>
              <w:t>LED</w:t>
            </w:r>
          </w:p>
        </w:tc>
        <w:tc>
          <w:tcPr>
            <w:tcW w:w="1278" w:type="dxa"/>
            <w:vAlign w:val="center"/>
          </w:tcPr>
          <w:p w:rsidR="00A24402" w:rsidRPr="008E6B1C" w:rsidRDefault="00A24402" w:rsidP="001509AE">
            <w:pPr>
              <w:keepNext/>
              <w:spacing w:after="0" w:line="240" w:lineRule="auto"/>
              <w:jc w:val="right"/>
            </w:pPr>
            <w:r>
              <w:t>1/1/2017</w:t>
            </w:r>
          </w:p>
        </w:tc>
      </w:tr>
      <w:tr w:rsidR="00A24402" w:rsidRPr="008E6B1C" w:rsidTr="001509AE">
        <w:trPr>
          <w:jc w:val="center"/>
        </w:trPr>
        <w:tc>
          <w:tcPr>
            <w:tcW w:w="1947" w:type="dxa"/>
            <w:vAlign w:val="center"/>
          </w:tcPr>
          <w:p w:rsidR="00A24402" w:rsidRPr="00A24402" w:rsidRDefault="00A24402" w:rsidP="001509AE">
            <w:pPr>
              <w:spacing w:after="0"/>
              <w:rPr>
                <w:rFonts w:cs="Calibri"/>
                <w:color w:val="000000"/>
              </w:rPr>
            </w:pPr>
            <w:r>
              <w:rPr>
                <w:rFonts w:cs="Calibri"/>
                <w:color w:val="000000"/>
              </w:rPr>
              <w:t>PGECOLTG165</w:t>
            </w:r>
          </w:p>
        </w:tc>
        <w:tc>
          <w:tcPr>
            <w:tcW w:w="583" w:type="dxa"/>
            <w:vAlign w:val="center"/>
          </w:tcPr>
          <w:p w:rsidR="00A24402" w:rsidRDefault="00A24402" w:rsidP="001509AE">
            <w:pPr>
              <w:keepNext/>
              <w:spacing w:after="0" w:line="240" w:lineRule="auto"/>
              <w:jc w:val="center"/>
            </w:pPr>
          </w:p>
        </w:tc>
        <w:tc>
          <w:tcPr>
            <w:tcW w:w="4463" w:type="dxa"/>
            <w:vAlign w:val="center"/>
          </w:tcPr>
          <w:p w:rsidR="00A24402" w:rsidRPr="008E6B1C" w:rsidRDefault="00A24402" w:rsidP="001509AE">
            <w:pPr>
              <w:keepNext/>
              <w:spacing w:after="0" w:line="240" w:lineRule="auto"/>
            </w:pPr>
            <w:r>
              <w:t>LED A-Lamps</w:t>
            </w:r>
          </w:p>
        </w:tc>
        <w:tc>
          <w:tcPr>
            <w:tcW w:w="658" w:type="dxa"/>
            <w:vAlign w:val="center"/>
          </w:tcPr>
          <w:p w:rsidR="00A24402" w:rsidRDefault="00A24402" w:rsidP="001509AE">
            <w:pPr>
              <w:keepNext/>
              <w:spacing w:after="0" w:line="240" w:lineRule="auto"/>
              <w:jc w:val="center"/>
            </w:pPr>
            <w:r>
              <w:t>LED</w:t>
            </w:r>
          </w:p>
        </w:tc>
        <w:tc>
          <w:tcPr>
            <w:tcW w:w="1278" w:type="dxa"/>
            <w:vAlign w:val="center"/>
          </w:tcPr>
          <w:p w:rsidR="00A24402" w:rsidRPr="008E6B1C" w:rsidRDefault="00A24402" w:rsidP="001509AE">
            <w:pPr>
              <w:keepNext/>
              <w:spacing w:after="0" w:line="240" w:lineRule="auto"/>
              <w:jc w:val="right"/>
            </w:pPr>
            <w:r>
              <w:t>1/1/2017</w:t>
            </w:r>
          </w:p>
        </w:tc>
      </w:tr>
      <w:tr w:rsidR="00A24402" w:rsidRPr="008E6B1C" w:rsidTr="001509AE">
        <w:trPr>
          <w:jc w:val="center"/>
        </w:trPr>
        <w:tc>
          <w:tcPr>
            <w:tcW w:w="1947" w:type="dxa"/>
            <w:vAlign w:val="center"/>
          </w:tcPr>
          <w:p w:rsidR="00A24402" w:rsidRDefault="00A24402" w:rsidP="001509AE">
            <w:pPr>
              <w:spacing w:after="0"/>
              <w:rPr>
                <w:rFonts w:cs="Calibri"/>
                <w:color w:val="000000"/>
              </w:rPr>
            </w:pPr>
            <w:r>
              <w:rPr>
                <w:rFonts w:cs="Calibri"/>
                <w:color w:val="000000"/>
              </w:rPr>
              <w:t>PGECOLTG175</w:t>
            </w:r>
          </w:p>
        </w:tc>
        <w:tc>
          <w:tcPr>
            <w:tcW w:w="583" w:type="dxa"/>
            <w:vAlign w:val="center"/>
          </w:tcPr>
          <w:p w:rsidR="00A24402" w:rsidRDefault="0029244D" w:rsidP="001509AE">
            <w:pPr>
              <w:keepNext/>
              <w:spacing w:after="0" w:line="240" w:lineRule="auto"/>
              <w:jc w:val="center"/>
            </w:pPr>
            <w:r>
              <w:t>3</w:t>
            </w:r>
          </w:p>
        </w:tc>
        <w:tc>
          <w:tcPr>
            <w:tcW w:w="4463" w:type="dxa"/>
            <w:vAlign w:val="center"/>
          </w:tcPr>
          <w:p w:rsidR="00A24402" w:rsidRDefault="00CE357F" w:rsidP="001509AE">
            <w:pPr>
              <w:keepNext/>
              <w:spacing w:after="0" w:line="240" w:lineRule="auto"/>
            </w:pPr>
            <w:r>
              <w:t>LED Residential Recessed Downlight</w:t>
            </w:r>
          </w:p>
        </w:tc>
        <w:tc>
          <w:tcPr>
            <w:tcW w:w="658" w:type="dxa"/>
            <w:vAlign w:val="center"/>
          </w:tcPr>
          <w:p w:rsidR="00A24402" w:rsidRDefault="00A24402" w:rsidP="001509AE">
            <w:pPr>
              <w:keepNext/>
              <w:spacing w:after="0" w:line="240" w:lineRule="auto"/>
              <w:jc w:val="center"/>
            </w:pPr>
            <w:r>
              <w:t>LED</w:t>
            </w:r>
          </w:p>
        </w:tc>
        <w:tc>
          <w:tcPr>
            <w:tcW w:w="1278" w:type="dxa"/>
            <w:vAlign w:val="center"/>
          </w:tcPr>
          <w:p w:rsidR="00A24402" w:rsidRPr="008E6B1C" w:rsidRDefault="00A24402" w:rsidP="001509AE">
            <w:pPr>
              <w:keepNext/>
              <w:spacing w:after="0" w:line="240" w:lineRule="auto"/>
              <w:jc w:val="right"/>
            </w:pPr>
            <w:r>
              <w:t>1/1/2017</w:t>
            </w:r>
          </w:p>
        </w:tc>
      </w:tr>
      <w:tr w:rsidR="001509AE" w:rsidRPr="008E6B1C" w:rsidTr="001509AE">
        <w:trPr>
          <w:jc w:val="center"/>
        </w:trPr>
        <w:tc>
          <w:tcPr>
            <w:tcW w:w="1947" w:type="dxa"/>
            <w:tcBorders>
              <w:right w:val="nil"/>
            </w:tcBorders>
            <w:shd w:val="pct25" w:color="auto" w:fill="auto"/>
          </w:tcPr>
          <w:p w:rsidR="00A24402" w:rsidRPr="008E6B1C" w:rsidRDefault="00A24402" w:rsidP="001C3A3C">
            <w:pPr>
              <w:keepNext/>
              <w:spacing w:after="0" w:line="240" w:lineRule="auto"/>
              <w:rPr>
                <w:b/>
              </w:rPr>
            </w:pPr>
            <w:r>
              <w:rPr>
                <w:b/>
              </w:rPr>
              <w:t>SCE</w:t>
            </w:r>
          </w:p>
        </w:tc>
        <w:tc>
          <w:tcPr>
            <w:tcW w:w="583" w:type="dxa"/>
            <w:tcBorders>
              <w:right w:val="nil"/>
            </w:tcBorders>
            <w:shd w:val="pct25" w:color="auto" w:fill="auto"/>
            <w:vAlign w:val="center"/>
          </w:tcPr>
          <w:p w:rsidR="00A24402" w:rsidRPr="008E6B1C" w:rsidRDefault="00A24402" w:rsidP="001509AE">
            <w:pPr>
              <w:keepNext/>
              <w:spacing w:after="0" w:line="240" w:lineRule="auto"/>
              <w:jc w:val="center"/>
            </w:pPr>
          </w:p>
        </w:tc>
        <w:tc>
          <w:tcPr>
            <w:tcW w:w="4463" w:type="dxa"/>
            <w:tcBorders>
              <w:left w:val="nil"/>
              <w:right w:val="nil"/>
            </w:tcBorders>
            <w:shd w:val="pct25" w:color="auto" w:fill="auto"/>
            <w:vAlign w:val="center"/>
          </w:tcPr>
          <w:p w:rsidR="00A24402" w:rsidRPr="008E6B1C" w:rsidRDefault="00A24402" w:rsidP="001509AE">
            <w:pPr>
              <w:keepNext/>
              <w:spacing w:after="0" w:line="240" w:lineRule="auto"/>
            </w:pPr>
          </w:p>
        </w:tc>
        <w:tc>
          <w:tcPr>
            <w:tcW w:w="658" w:type="dxa"/>
            <w:tcBorders>
              <w:left w:val="nil"/>
              <w:right w:val="nil"/>
            </w:tcBorders>
            <w:shd w:val="pct25" w:color="auto" w:fill="auto"/>
            <w:vAlign w:val="center"/>
          </w:tcPr>
          <w:p w:rsidR="00A24402" w:rsidRPr="008E6B1C" w:rsidRDefault="00A24402" w:rsidP="001509AE">
            <w:pPr>
              <w:keepNext/>
              <w:spacing w:after="0" w:line="240" w:lineRule="auto"/>
              <w:jc w:val="center"/>
            </w:pPr>
          </w:p>
        </w:tc>
        <w:tc>
          <w:tcPr>
            <w:tcW w:w="1278" w:type="dxa"/>
            <w:tcBorders>
              <w:left w:val="nil"/>
            </w:tcBorders>
            <w:shd w:val="pct25" w:color="auto" w:fill="auto"/>
            <w:vAlign w:val="center"/>
          </w:tcPr>
          <w:p w:rsidR="00A24402" w:rsidRPr="008E6B1C" w:rsidRDefault="00A24402" w:rsidP="001509AE">
            <w:pPr>
              <w:keepNext/>
              <w:spacing w:after="0" w:line="240" w:lineRule="auto"/>
              <w:jc w:val="right"/>
            </w:pPr>
          </w:p>
        </w:tc>
      </w:tr>
      <w:tr w:rsidR="00A24402" w:rsidRPr="008E6B1C" w:rsidTr="001509AE">
        <w:trPr>
          <w:jc w:val="center"/>
        </w:trPr>
        <w:tc>
          <w:tcPr>
            <w:tcW w:w="1947" w:type="dxa"/>
            <w:vAlign w:val="center"/>
          </w:tcPr>
          <w:p w:rsidR="00A24402" w:rsidRDefault="00A24402" w:rsidP="001509AE">
            <w:pPr>
              <w:spacing w:after="0"/>
              <w:rPr>
                <w:rFonts w:cs="Calibri"/>
                <w:color w:val="000000"/>
              </w:rPr>
            </w:pPr>
            <w:r>
              <w:rPr>
                <w:rFonts w:cs="Calibri"/>
                <w:color w:val="000000"/>
              </w:rPr>
              <w:t>SCE17LG017</w:t>
            </w:r>
          </w:p>
        </w:tc>
        <w:tc>
          <w:tcPr>
            <w:tcW w:w="583" w:type="dxa"/>
            <w:vAlign w:val="center"/>
          </w:tcPr>
          <w:p w:rsidR="00A24402" w:rsidRDefault="0029244D" w:rsidP="001509AE">
            <w:pPr>
              <w:keepNext/>
              <w:spacing w:after="0" w:line="240" w:lineRule="auto"/>
              <w:jc w:val="center"/>
            </w:pPr>
            <w:r>
              <w:t>0</w:t>
            </w:r>
          </w:p>
        </w:tc>
        <w:tc>
          <w:tcPr>
            <w:tcW w:w="4463" w:type="dxa"/>
            <w:vAlign w:val="center"/>
          </w:tcPr>
          <w:p w:rsidR="00A24402" w:rsidRDefault="001C0D30" w:rsidP="001509AE">
            <w:pPr>
              <w:keepNext/>
              <w:spacing w:after="0" w:line="240" w:lineRule="auto"/>
            </w:pPr>
            <w:r w:rsidRPr="001C0D30">
              <w:t>Interior Integral, Non-Dimmable (Screw-in) CFLs</w:t>
            </w:r>
          </w:p>
        </w:tc>
        <w:tc>
          <w:tcPr>
            <w:tcW w:w="658" w:type="dxa"/>
            <w:vAlign w:val="center"/>
          </w:tcPr>
          <w:p w:rsidR="00A24402" w:rsidRDefault="00A24402" w:rsidP="001509AE">
            <w:pPr>
              <w:keepNext/>
              <w:spacing w:after="0" w:line="240" w:lineRule="auto"/>
              <w:jc w:val="center"/>
            </w:pPr>
            <w:r>
              <w:t>CFL</w:t>
            </w:r>
          </w:p>
        </w:tc>
        <w:tc>
          <w:tcPr>
            <w:tcW w:w="1278" w:type="dxa"/>
            <w:vAlign w:val="center"/>
          </w:tcPr>
          <w:p w:rsidR="00A24402" w:rsidRPr="008E6B1C" w:rsidRDefault="00A24402" w:rsidP="001509AE">
            <w:pPr>
              <w:keepNext/>
              <w:spacing w:after="0" w:line="240" w:lineRule="auto"/>
              <w:jc w:val="right"/>
            </w:pPr>
            <w:r>
              <w:t>1/1/2017</w:t>
            </w:r>
          </w:p>
        </w:tc>
      </w:tr>
      <w:tr w:rsidR="00A24402" w:rsidRPr="008E6B1C" w:rsidTr="001509AE">
        <w:trPr>
          <w:jc w:val="center"/>
        </w:trPr>
        <w:tc>
          <w:tcPr>
            <w:tcW w:w="1947" w:type="dxa"/>
            <w:vAlign w:val="center"/>
          </w:tcPr>
          <w:p w:rsidR="00A24402" w:rsidRDefault="00A24402" w:rsidP="001509AE">
            <w:pPr>
              <w:spacing w:after="0"/>
              <w:rPr>
                <w:rFonts w:cs="Calibri"/>
                <w:color w:val="000000"/>
              </w:rPr>
            </w:pPr>
            <w:r>
              <w:rPr>
                <w:rFonts w:cs="Calibri"/>
                <w:color w:val="000000"/>
              </w:rPr>
              <w:t>SCE17LG072</w:t>
            </w:r>
          </w:p>
        </w:tc>
        <w:tc>
          <w:tcPr>
            <w:tcW w:w="583" w:type="dxa"/>
            <w:vAlign w:val="center"/>
          </w:tcPr>
          <w:p w:rsidR="00A24402" w:rsidRDefault="0029244D" w:rsidP="001509AE">
            <w:pPr>
              <w:keepNext/>
              <w:spacing w:after="0" w:line="240" w:lineRule="auto"/>
              <w:jc w:val="center"/>
            </w:pPr>
            <w:r>
              <w:t>0</w:t>
            </w:r>
          </w:p>
        </w:tc>
        <w:tc>
          <w:tcPr>
            <w:tcW w:w="4463" w:type="dxa"/>
            <w:vAlign w:val="center"/>
          </w:tcPr>
          <w:p w:rsidR="00A24402" w:rsidRDefault="001C0D30" w:rsidP="001509AE">
            <w:pPr>
              <w:keepNext/>
              <w:spacing w:after="0" w:line="240" w:lineRule="auto"/>
            </w:pPr>
            <w:r w:rsidRPr="001C0D30">
              <w:t>Upstream Interior 3-way CFLs</w:t>
            </w:r>
          </w:p>
        </w:tc>
        <w:tc>
          <w:tcPr>
            <w:tcW w:w="658" w:type="dxa"/>
            <w:vAlign w:val="center"/>
          </w:tcPr>
          <w:p w:rsidR="00A24402" w:rsidRDefault="00A24402" w:rsidP="001509AE">
            <w:pPr>
              <w:keepNext/>
              <w:spacing w:after="0" w:line="240" w:lineRule="auto"/>
              <w:jc w:val="center"/>
            </w:pPr>
            <w:r>
              <w:t>CFL</w:t>
            </w:r>
          </w:p>
        </w:tc>
        <w:tc>
          <w:tcPr>
            <w:tcW w:w="1278" w:type="dxa"/>
            <w:vAlign w:val="center"/>
          </w:tcPr>
          <w:p w:rsidR="00A24402" w:rsidRPr="008E6B1C" w:rsidRDefault="00A24402" w:rsidP="001509AE">
            <w:pPr>
              <w:keepNext/>
              <w:spacing w:after="0" w:line="240" w:lineRule="auto"/>
              <w:jc w:val="right"/>
            </w:pPr>
            <w:r>
              <w:t>1/1/2017</w:t>
            </w:r>
          </w:p>
        </w:tc>
      </w:tr>
      <w:tr w:rsidR="00A24402" w:rsidRPr="008E6B1C" w:rsidTr="001509AE">
        <w:trPr>
          <w:jc w:val="center"/>
        </w:trPr>
        <w:tc>
          <w:tcPr>
            <w:tcW w:w="1947" w:type="dxa"/>
            <w:vAlign w:val="center"/>
          </w:tcPr>
          <w:p w:rsidR="00A24402" w:rsidRDefault="00A24402" w:rsidP="001509AE">
            <w:pPr>
              <w:spacing w:after="0"/>
              <w:rPr>
                <w:rFonts w:cs="Calibri"/>
                <w:color w:val="000000"/>
              </w:rPr>
            </w:pPr>
            <w:r>
              <w:rPr>
                <w:rFonts w:cs="Calibri"/>
                <w:color w:val="000000"/>
              </w:rPr>
              <w:t>SCE17LG133</w:t>
            </w:r>
          </w:p>
        </w:tc>
        <w:tc>
          <w:tcPr>
            <w:tcW w:w="583" w:type="dxa"/>
            <w:vAlign w:val="center"/>
          </w:tcPr>
          <w:p w:rsidR="00A24402" w:rsidRDefault="0029244D" w:rsidP="001509AE">
            <w:pPr>
              <w:keepNext/>
              <w:spacing w:after="0" w:line="240" w:lineRule="auto"/>
              <w:jc w:val="center"/>
            </w:pPr>
            <w:r>
              <w:t>0</w:t>
            </w:r>
          </w:p>
        </w:tc>
        <w:tc>
          <w:tcPr>
            <w:tcW w:w="4463" w:type="dxa"/>
            <w:vAlign w:val="center"/>
          </w:tcPr>
          <w:p w:rsidR="00A24402" w:rsidRDefault="00CE357F" w:rsidP="001509AE">
            <w:pPr>
              <w:keepNext/>
              <w:spacing w:after="0" w:line="240" w:lineRule="auto"/>
            </w:pPr>
            <w:r>
              <w:t>LED A-Lamp</w:t>
            </w:r>
          </w:p>
        </w:tc>
        <w:tc>
          <w:tcPr>
            <w:tcW w:w="658" w:type="dxa"/>
            <w:vAlign w:val="center"/>
          </w:tcPr>
          <w:p w:rsidR="00A24402" w:rsidRDefault="00A24402" w:rsidP="001509AE">
            <w:pPr>
              <w:keepNext/>
              <w:spacing w:after="0" w:line="240" w:lineRule="auto"/>
              <w:jc w:val="center"/>
            </w:pPr>
            <w:r>
              <w:t>LED</w:t>
            </w:r>
          </w:p>
        </w:tc>
        <w:tc>
          <w:tcPr>
            <w:tcW w:w="1278" w:type="dxa"/>
            <w:vAlign w:val="center"/>
          </w:tcPr>
          <w:p w:rsidR="00A24402" w:rsidRPr="008E6B1C" w:rsidRDefault="00A24402" w:rsidP="001509AE">
            <w:pPr>
              <w:keepNext/>
              <w:spacing w:after="0" w:line="240" w:lineRule="auto"/>
              <w:jc w:val="right"/>
            </w:pPr>
            <w:r>
              <w:t>1/1/2017</w:t>
            </w:r>
          </w:p>
        </w:tc>
      </w:tr>
      <w:tr w:rsidR="001509AE" w:rsidRPr="008E6B1C" w:rsidTr="001509AE">
        <w:trPr>
          <w:jc w:val="center"/>
        </w:trPr>
        <w:tc>
          <w:tcPr>
            <w:tcW w:w="1947" w:type="dxa"/>
            <w:tcBorders>
              <w:right w:val="nil"/>
            </w:tcBorders>
            <w:shd w:val="pct25" w:color="auto" w:fill="auto"/>
          </w:tcPr>
          <w:p w:rsidR="00A24402" w:rsidRPr="008E6B1C" w:rsidRDefault="00A24402" w:rsidP="001C3A3C">
            <w:pPr>
              <w:keepNext/>
              <w:spacing w:after="0" w:line="240" w:lineRule="auto"/>
              <w:rPr>
                <w:b/>
              </w:rPr>
            </w:pPr>
            <w:r>
              <w:rPr>
                <w:b/>
              </w:rPr>
              <w:t>SDG&amp;E</w:t>
            </w:r>
          </w:p>
        </w:tc>
        <w:tc>
          <w:tcPr>
            <w:tcW w:w="583" w:type="dxa"/>
            <w:tcBorders>
              <w:right w:val="nil"/>
            </w:tcBorders>
            <w:shd w:val="pct25" w:color="auto" w:fill="auto"/>
            <w:vAlign w:val="center"/>
          </w:tcPr>
          <w:p w:rsidR="00A24402" w:rsidRPr="008E6B1C" w:rsidRDefault="00A24402" w:rsidP="001509AE">
            <w:pPr>
              <w:keepNext/>
              <w:spacing w:after="0" w:line="240" w:lineRule="auto"/>
              <w:jc w:val="center"/>
            </w:pPr>
          </w:p>
        </w:tc>
        <w:tc>
          <w:tcPr>
            <w:tcW w:w="4463" w:type="dxa"/>
            <w:tcBorders>
              <w:left w:val="nil"/>
              <w:right w:val="nil"/>
            </w:tcBorders>
            <w:shd w:val="pct25" w:color="auto" w:fill="auto"/>
            <w:vAlign w:val="center"/>
          </w:tcPr>
          <w:p w:rsidR="00A24402" w:rsidRPr="008E6B1C" w:rsidRDefault="00A24402" w:rsidP="001509AE">
            <w:pPr>
              <w:keepNext/>
              <w:spacing w:after="0" w:line="240" w:lineRule="auto"/>
            </w:pPr>
          </w:p>
        </w:tc>
        <w:tc>
          <w:tcPr>
            <w:tcW w:w="658" w:type="dxa"/>
            <w:tcBorders>
              <w:left w:val="nil"/>
              <w:right w:val="nil"/>
            </w:tcBorders>
            <w:shd w:val="pct25" w:color="auto" w:fill="auto"/>
            <w:vAlign w:val="center"/>
          </w:tcPr>
          <w:p w:rsidR="00A24402" w:rsidRPr="008E6B1C" w:rsidRDefault="00A24402" w:rsidP="001509AE">
            <w:pPr>
              <w:keepNext/>
              <w:spacing w:after="0" w:line="240" w:lineRule="auto"/>
              <w:jc w:val="center"/>
            </w:pPr>
          </w:p>
        </w:tc>
        <w:tc>
          <w:tcPr>
            <w:tcW w:w="1278" w:type="dxa"/>
            <w:tcBorders>
              <w:left w:val="nil"/>
            </w:tcBorders>
            <w:shd w:val="pct25" w:color="auto" w:fill="auto"/>
            <w:vAlign w:val="center"/>
          </w:tcPr>
          <w:p w:rsidR="00A24402" w:rsidRPr="008E6B1C" w:rsidRDefault="00A24402" w:rsidP="001509AE">
            <w:pPr>
              <w:keepNext/>
              <w:spacing w:after="0" w:line="240" w:lineRule="auto"/>
              <w:jc w:val="right"/>
            </w:pPr>
          </w:p>
        </w:tc>
      </w:tr>
      <w:tr w:rsidR="00A24402" w:rsidRPr="008E6B1C" w:rsidTr="001509AE">
        <w:trPr>
          <w:jc w:val="center"/>
        </w:trPr>
        <w:tc>
          <w:tcPr>
            <w:tcW w:w="1947" w:type="dxa"/>
            <w:vAlign w:val="center"/>
          </w:tcPr>
          <w:p w:rsidR="00A24402" w:rsidRDefault="00A24402" w:rsidP="001509AE">
            <w:pPr>
              <w:spacing w:after="0"/>
              <w:rPr>
                <w:rFonts w:cs="Calibri"/>
                <w:color w:val="000000"/>
              </w:rPr>
            </w:pPr>
            <w:r>
              <w:rPr>
                <w:rFonts w:cs="Calibri"/>
                <w:color w:val="000000"/>
              </w:rPr>
              <w:t>WPSDGENRLG0106</w:t>
            </w:r>
          </w:p>
        </w:tc>
        <w:tc>
          <w:tcPr>
            <w:tcW w:w="583" w:type="dxa"/>
            <w:vAlign w:val="center"/>
          </w:tcPr>
          <w:p w:rsidR="00A24402" w:rsidRDefault="0029244D" w:rsidP="001509AE">
            <w:pPr>
              <w:keepNext/>
              <w:spacing w:after="0" w:line="240" w:lineRule="auto"/>
              <w:jc w:val="center"/>
            </w:pPr>
            <w:r>
              <w:t>4</w:t>
            </w:r>
          </w:p>
        </w:tc>
        <w:tc>
          <w:tcPr>
            <w:tcW w:w="4463" w:type="dxa"/>
            <w:vAlign w:val="center"/>
          </w:tcPr>
          <w:p w:rsidR="00A24402" w:rsidRDefault="00CE357F" w:rsidP="001509AE">
            <w:pPr>
              <w:keepNext/>
              <w:spacing w:after="0" w:line="240" w:lineRule="auto"/>
            </w:pPr>
            <w:r>
              <w:t>Integral LED Lamps</w:t>
            </w:r>
          </w:p>
        </w:tc>
        <w:tc>
          <w:tcPr>
            <w:tcW w:w="658" w:type="dxa"/>
            <w:vAlign w:val="center"/>
          </w:tcPr>
          <w:p w:rsidR="00A24402" w:rsidRDefault="00A24402" w:rsidP="001509AE">
            <w:pPr>
              <w:keepNext/>
              <w:spacing w:after="0" w:line="240" w:lineRule="auto"/>
              <w:jc w:val="center"/>
            </w:pPr>
            <w:r>
              <w:t>LED</w:t>
            </w:r>
          </w:p>
        </w:tc>
        <w:tc>
          <w:tcPr>
            <w:tcW w:w="1278" w:type="dxa"/>
            <w:vAlign w:val="center"/>
          </w:tcPr>
          <w:p w:rsidR="00A24402" w:rsidRPr="008E6B1C" w:rsidRDefault="00A24402" w:rsidP="001509AE">
            <w:pPr>
              <w:keepNext/>
              <w:spacing w:after="0" w:line="240" w:lineRule="auto"/>
              <w:jc w:val="right"/>
            </w:pPr>
            <w:r>
              <w:t>1/1/2017</w:t>
            </w:r>
          </w:p>
        </w:tc>
      </w:tr>
      <w:tr w:rsidR="00A24402" w:rsidRPr="00C73825" w:rsidTr="00825350">
        <w:trPr>
          <w:jc w:val="center"/>
        </w:trPr>
        <w:tc>
          <w:tcPr>
            <w:tcW w:w="8929" w:type="dxa"/>
            <w:gridSpan w:val="5"/>
            <w:shd w:val="pct25" w:color="auto" w:fill="auto"/>
          </w:tcPr>
          <w:p w:rsidR="00A24402" w:rsidRPr="00C73825" w:rsidRDefault="00A24402" w:rsidP="001C3A3C">
            <w:pPr>
              <w:keepNext/>
              <w:spacing w:after="0" w:line="240" w:lineRule="auto"/>
              <w:jc w:val="center"/>
              <w:rPr>
                <w:b/>
              </w:rPr>
            </w:pPr>
            <w:r w:rsidRPr="00C73825">
              <w:rPr>
                <w:b/>
              </w:rPr>
              <w:t xml:space="preserve">Workpapers </w:t>
            </w:r>
            <w:r>
              <w:rPr>
                <w:b/>
              </w:rPr>
              <w:t>Not Yet Submitted</w:t>
            </w:r>
            <w:r w:rsidRPr="00C73825">
              <w:rPr>
                <w:b/>
              </w:rPr>
              <w:t xml:space="preserve"> for 2017 Program Cycle Phase Review</w:t>
            </w:r>
          </w:p>
        </w:tc>
      </w:tr>
      <w:tr w:rsidR="001509AE" w:rsidRPr="008E6B1C" w:rsidTr="001509AE">
        <w:trPr>
          <w:jc w:val="center"/>
        </w:trPr>
        <w:tc>
          <w:tcPr>
            <w:tcW w:w="1947" w:type="dxa"/>
            <w:tcBorders>
              <w:right w:val="nil"/>
            </w:tcBorders>
            <w:shd w:val="pct25" w:color="auto" w:fill="auto"/>
          </w:tcPr>
          <w:p w:rsidR="00A24402" w:rsidRPr="008E6B1C" w:rsidRDefault="00A24402" w:rsidP="001C3A3C">
            <w:pPr>
              <w:keepNext/>
              <w:spacing w:after="0" w:line="240" w:lineRule="auto"/>
              <w:rPr>
                <w:b/>
              </w:rPr>
            </w:pPr>
            <w:r w:rsidRPr="008E6B1C">
              <w:rPr>
                <w:b/>
              </w:rPr>
              <w:t>PG&amp;E</w:t>
            </w:r>
          </w:p>
        </w:tc>
        <w:tc>
          <w:tcPr>
            <w:tcW w:w="583" w:type="dxa"/>
            <w:tcBorders>
              <w:right w:val="nil"/>
            </w:tcBorders>
            <w:shd w:val="pct25" w:color="auto" w:fill="auto"/>
          </w:tcPr>
          <w:p w:rsidR="00A24402" w:rsidRPr="008E6B1C" w:rsidRDefault="00A24402" w:rsidP="001C3A3C">
            <w:pPr>
              <w:keepNext/>
              <w:spacing w:after="0" w:line="240" w:lineRule="auto"/>
              <w:jc w:val="center"/>
            </w:pPr>
          </w:p>
        </w:tc>
        <w:tc>
          <w:tcPr>
            <w:tcW w:w="4463" w:type="dxa"/>
            <w:tcBorders>
              <w:left w:val="nil"/>
              <w:right w:val="nil"/>
            </w:tcBorders>
            <w:shd w:val="pct25" w:color="auto" w:fill="auto"/>
          </w:tcPr>
          <w:p w:rsidR="00A24402" w:rsidRPr="008E6B1C" w:rsidRDefault="00A24402" w:rsidP="001C3A3C">
            <w:pPr>
              <w:keepNext/>
              <w:spacing w:after="0" w:line="240" w:lineRule="auto"/>
            </w:pPr>
          </w:p>
        </w:tc>
        <w:tc>
          <w:tcPr>
            <w:tcW w:w="658" w:type="dxa"/>
            <w:tcBorders>
              <w:left w:val="nil"/>
              <w:right w:val="nil"/>
            </w:tcBorders>
            <w:shd w:val="pct25" w:color="auto" w:fill="auto"/>
          </w:tcPr>
          <w:p w:rsidR="00A24402" w:rsidRPr="008E6B1C" w:rsidRDefault="00A24402" w:rsidP="001C3A3C">
            <w:pPr>
              <w:keepNext/>
              <w:spacing w:after="0" w:line="240" w:lineRule="auto"/>
              <w:jc w:val="right"/>
            </w:pPr>
          </w:p>
        </w:tc>
        <w:tc>
          <w:tcPr>
            <w:tcW w:w="1278" w:type="dxa"/>
            <w:tcBorders>
              <w:left w:val="nil"/>
            </w:tcBorders>
            <w:shd w:val="pct25" w:color="auto" w:fill="auto"/>
          </w:tcPr>
          <w:p w:rsidR="00A24402" w:rsidRPr="008E6B1C" w:rsidRDefault="00A24402" w:rsidP="001C3A3C">
            <w:pPr>
              <w:keepNext/>
              <w:spacing w:after="0" w:line="240" w:lineRule="auto"/>
              <w:jc w:val="right"/>
            </w:pPr>
          </w:p>
        </w:tc>
      </w:tr>
      <w:tr w:rsidR="00A24402" w:rsidRPr="008E6B1C" w:rsidTr="001509AE">
        <w:trPr>
          <w:jc w:val="center"/>
        </w:trPr>
        <w:tc>
          <w:tcPr>
            <w:tcW w:w="1947" w:type="dxa"/>
            <w:vAlign w:val="center"/>
          </w:tcPr>
          <w:p w:rsidR="00A24402" w:rsidRDefault="00A24402" w:rsidP="001509AE">
            <w:pPr>
              <w:spacing w:after="0"/>
              <w:rPr>
                <w:rFonts w:cs="Calibri"/>
                <w:color w:val="000000"/>
              </w:rPr>
            </w:pPr>
            <w:r>
              <w:rPr>
                <w:rFonts w:cs="Calibri"/>
                <w:color w:val="000000"/>
              </w:rPr>
              <w:t>PGECOLTG140</w:t>
            </w:r>
          </w:p>
        </w:tc>
        <w:tc>
          <w:tcPr>
            <w:tcW w:w="583" w:type="dxa"/>
            <w:vAlign w:val="center"/>
          </w:tcPr>
          <w:p w:rsidR="00A24402" w:rsidRDefault="00E96F17" w:rsidP="001509AE">
            <w:pPr>
              <w:keepNext/>
              <w:spacing w:after="0" w:line="240" w:lineRule="auto"/>
              <w:jc w:val="center"/>
            </w:pPr>
            <w:r>
              <w:t>5</w:t>
            </w:r>
          </w:p>
        </w:tc>
        <w:tc>
          <w:tcPr>
            <w:tcW w:w="4463" w:type="dxa"/>
            <w:vAlign w:val="center"/>
          </w:tcPr>
          <w:p w:rsidR="00A24402" w:rsidRDefault="001509AE" w:rsidP="001509AE">
            <w:pPr>
              <w:keepNext/>
              <w:spacing w:after="0" w:line="240" w:lineRule="auto"/>
            </w:pPr>
            <w:r>
              <w:t>LED MR-16</w:t>
            </w:r>
          </w:p>
        </w:tc>
        <w:tc>
          <w:tcPr>
            <w:tcW w:w="658" w:type="dxa"/>
            <w:vAlign w:val="center"/>
          </w:tcPr>
          <w:p w:rsidR="00A24402" w:rsidRDefault="001C3A3C" w:rsidP="001509AE">
            <w:pPr>
              <w:keepNext/>
              <w:spacing w:after="0" w:line="240" w:lineRule="auto"/>
              <w:jc w:val="center"/>
            </w:pPr>
            <w:r>
              <w:t>LED</w:t>
            </w:r>
          </w:p>
        </w:tc>
        <w:tc>
          <w:tcPr>
            <w:tcW w:w="1278" w:type="dxa"/>
            <w:vAlign w:val="center"/>
          </w:tcPr>
          <w:p w:rsidR="00A24402" w:rsidRDefault="001509AE" w:rsidP="001509AE">
            <w:pPr>
              <w:keepNext/>
              <w:spacing w:after="0" w:line="240" w:lineRule="auto"/>
              <w:jc w:val="right"/>
            </w:pPr>
            <w:r>
              <w:t>1/4/2016</w:t>
            </w:r>
          </w:p>
        </w:tc>
      </w:tr>
      <w:tr w:rsidR="001509AE" w:rsidRPr="008E6B1C" w:rsidTr="001509AE">
        <w:trPr>
          <w:jc w:val="center"/>
        </w:trPr>
        <w:tc>
          <w:tcPr>
            <w:tcW w:w="1947" w:type="dxa"/>
            <w:vAlign w:val="center"/>
          </w:tcPr>
          <w:p w:rsidR="001509AE" w:rsidRDefault="001509AE" w:rsidP="001509AE">
            <w:pPr>
              <w:spacing w:after="0"/>
              <w:rPr>
                <w:rFonts w:cs="Calibri"/>
                <w:color w:val="000000"/>
              </w:rPr>
            </w:pPr>
            <w:r>
              <w:rPr>
                <w:rFonts w:cs="Calibri"/>
                <w:color w:val="000000"/>
              </w:rPr>
              <w:t>PGECOLTG163</w:t>
            </w:r>
          </w:p>
        </w:tc>
        <w:tc>
          <w:tcPr>
            <w:tcW w:w="583" w:type="dxa"/>
            <w:vAlign w:val="center"/>
          </w:tcPr>
          <w:p w:rsidR="001509AE" w:rsidRDefault="001509AE" w:rsidP="001509AE">
            <w:pPr>
              <w:keepNext/>
              <w:spacing w:after="0" w:line="240" w:lineRule="auto"/>
              <w:jc w:val="center"/>
            </w:pPr>
            <w:r>
              <w:t>4</w:t>
            </w:r>
          </w:p>
        </w:tc>
        <w:tc>
          <w:tcPr>
            <w:tcW w:w="4463" w:type="dxa"/>
            <w:vAlign w:val="center"/>
          </w:tcPr>
          <w:p w:rsidR="001509AE" w:rsidRDefault="001509AE" w:rsidP="001509AE">
            <w:pPr>
              <w:keepNext/>
              <w:spacing w:after="0" w:line="240" w:lineRule="auto"/>
            </w:pPr>
            <w:r w:rsidRPr="001509AE">
              <w:t>LED Candelabra Replacements</w:t>
            </w:r>
          </w:p>
        </w:tc>
        <w:tc>
          <w:tcPr>
            <w:tcW w:w="658" w:type="dxa"/>
            <w:vAlign w:val="center"/>
          </w:tcPr>
          <w:p w:rsidR="001509AE" w:rsidRDefault="001509AE" w:rsidP="001509AE">
            <w:pPr>
              <w:keepNext/>
              <w:spacing w:after="0" w:line="240" w:lineRule="auto"/>
              <w:jc w:val="center"/>
            </w:pPr>
            <w:r>
              <w:t>LED</w:t>
            </w:r>
          </w:p>
        </w:tc>
        <w:tc>
          <w:tcPr>
            <w:tcW w:w="1278" w:type="dxa"/>
            <w:vAlign w:val="center"/>
          </w:tcPr>
          <w:p w:rsidR="001509AE" w:rsidRDefault="001509AE" w:rsidP="001509AE">
            <w:pPr>
              <w:keepNext/>
              <w:spacing w:after="0" w:line="240" w:lineRule="auto"/>
              <w:jc w:val="right"/>
            </w:pPr>
            <w:r>
              <w:t>1/4/2016</w:t>
            </w:r>
          </w:p>
        </w:tc>
      </w:tr>
      <w:tr w:rsidR="001509AE" w:rsidRPr="008E6B1C" w:rsidTr="001509AE">
        <w:trPr>
          <w:jc w:val="center"/>
        </w:trPr>
        <w:tc>
          <w:tcPr>
            <w:tcW w:w="1947" w:type="dxa"/>
            <w:vAlign w:val="center"/>
          </w:tcPr>
          <w:p w:rsidR="001509AE" w:rsidRDefault="001509AE" w:rsidP="001509AE">
            <w:pPr>
              <w:spacing w:after="0"/>
              <w:rPr>
                <w:rFonts w:cs="Calibri"/>
                <w:color w:val="000000"/>
              </w:rPr>
            </w:pPr>
            <w:r>
              <w:rPr>
                <w:rFonts w:cs="Calibri"/>
                <w:color w:val="000000"/>
              </w:rPr>
              <w:t>PGECOLTG164</w:t>
            </w:r>
          </w:p>
        </w:tc>
        <w:tc>
          <w:tcPr>
            <w:tcW w:w="583" w:type="dxa"/>
            <w:vAlign w:val="center"/>
          </w:tcPr>
          <w:p w:rsidR="001509AE" w:rsidRDefault="001509AE" w:rsidP="001509AE">
            <w:pPr>
              <w:keepNext/>
              <w:spacing w:after="0" w:line="240" w:lineRule="auto"/>
              <w:jc w:val="center"/>
            </w:pPr>
            <w:r>
              <w:t>4</w:t>
            </w:r>
          </w:p>
        </w:tc>
        <w:tc>
          <w:tcPr>
            <w:tcW w:w="4463" w:type="dxa"/>
            <w:vAlign w:val="center"/>
          </w:tcPr>
          <w:p w:rsidR="001509AE" w:rsidRDefault="001509AE" w:rsidP="001509AE">
            <w:pPr>
              <w:keepNext/>
              <w:spacing w:after="0" w:line="240" w:lineRule="auto"/>
            </w:pPr>
            <w:r>
              <w:t>LED Globe Lamps</w:t>
            </w:r>
          </w:p>
        </w:tc>
        <w:tc>
          <w:tcPr>
            <w:tcW w:w="658" w:type="dxa"/>
            <w:vAlign w:val="center"/>
          </w:tcPr>
          <w:p w:rsidR="001509AE" w:rsidRDefault="001509AE" w:rsidP="001509AE">
            <w:pPr>
              <w:keepNext/>
              <w:spacing w:after="0" w:line="240" w:lineRule="auto"/>
              <w:jc w:val="center"/>
            </w:pPr>
            <w:r>
              <w:t>LED</w:t>
            </w:r>
          </w:p>
        </w:tc>
        <w:tc>
          <w:tcPr>
            <w:tcW w:w="1278" w:type="dxa"/>
            <w:vAlign w:val="center"/>
          </w:tcPr>
          <w:p w:rsidR="001509AE" w:rsidRDefault="001509AE" w:rsidP="001509AE">
            <w:pPr>
              <w:keepNext/>
              <w:spacing w:after="0" w:line="240" w:lineRule="auto"/>
              <w:jc w:val="right"/>
            </w:pPr>
            <w:r>
              <w:t>1/4/2016</w:t>
            </w:r>
          </w:p>
        </w:tc>
      </w:tr>
      <w:tr w:rsidR="001509AE" w:rsidRPr="008E6B1C" w:rsidTr="001509AE">
        <w:trPr>
          <w:jc w:val="center"/>
        </w:trPr>
        <w:tc>
          <w:tcPr>
            <w:tcW w:w="1947" w:type="dxa"/>
            <w:vAlign w:val="center"/>
          </w:tcPr>
          <w:p w:rsidR="001509AE" w:rsidRDefault="001509AE" w:rsidP="001509AE">
            <w:pPr>
              <w:spacing w:after="0"/>
              <w:rPr>
                <w:rFonts w:cs="Calibri"/>
                <w:color w:val="000000"/>
              </w:rPr>
            </w:pPr>
            <w:r>
              <w:rPr>
                <w:rFonts w:cs="Calibri"/>
                <w:color w:val="000000"/>
              </w:rPr>
              <w:t>PGECOLTG177</w:t>
            </w:r>
          </w:p>
        </w:tc>
        <w:tc>
          <w:tcPr>
            <w:tcW w:w="583" w:type="dxa"/>
            <w:vAlign w:val="center"/>
          </w:tcPr>
          <w:p w:rsidR="001509AE" w:rsidRDefault="001509AE" w:rsidP="001509AE">
            <w:pPr>
              <w:keepNext/>
              <w:spacing w:after="0" w:line="240" w:lineRule="auto"/>
              <w:jc w:val="center"/>
            </w:pPr>
            <w:r>
              <w:t>3</w:t>
            </w:r>
          </w:p>
        </w:tc>
        <w:tc>
          <w:tcPr>
            <w:tcW w:w="4463" w:type="dxa"/>
            <w:vAlign w:val="center"/>
          </w:tcPr>
          <w:p w:rsidR="001509AE" w:rsidRDefault="001509AE" w:rsidP="001509AE">
            <w:pPr>
              <w:keepNext/>
              <w:spacing w:after="0" w:line="240" w:lineRule="auto"/>
            </w:pPr>
            <w:r>
              <w:t>LED BR/R Lamps</w:t>
            </w:r>
          </w:p>
        </w:tc>
        <w:tc>
          <w:tcPr>
            <w:tcW w:w="658" w:type="dxa"/>
            <w:vAlign w:val="center"/>
          </w:tcPr>
          <w:p w:rsidR="001509AE" w:rsidRDefault="001509AE" w:rsidP="001509AE">
            <w:pPr>
              <w:keepNext/>
              <w:spacing w:after="0" w:line="240" w:lineRule="auto"/>
              <w:jc w:val="center"/>
            </w:pPr>
            <w:r>
              <w:t>LED</w:t>
            </w:r>
          </w:p>
        </w:tc>
        <w:tc>
          <w:tcPr>
            <w:tcW w:w="1278" w:type="dxa"/>
            <w:vAlign w:val="center"/>
          </w:tcPr>
          <w:p w:rsidR="001509AE" w:rsidRDefault="001509AE" w:rsidP="001509AE">
            <w:pPr>
              <w:keepNext/>
              <w:spacing w:after="0" w:line="240" w:lineRule="auto"/>
              <w:jc w:val="right"/>
            </w:pPr>
            <w:r>
              <w:t>1/4/2016</w:t>
            </w:r>
          </w:p>
        </w:tc>
      </w:tr>
      <w:tr w:rsidR="001509AE" w:rsidRPr="008E6B1C" w:rsidTr="001509AE">
        <w:trPr>
          <w:jc w:val="center"/>
        </w:trPr>
        <w:tc>
          <w:tcPr>
            <w:tcW w:w="1947" w:type="dxa"/>
            <w:tcBorders>
              <w:right w:val="nil"/>
            </w:tcBorders>
            <w:shd w:val="pct25" w:color="auto" w:fill="auto"/>
          </w:tcPr>
          <w:p w:rsidR="001509AE" w:rsidRPr="008E6B1C" w:rsidRDefault="001509AE" w:rsidP="001C3A3C">
            <w:pPr>
              <w:keepNext/>
              <w:spacing w:after="0" w:line="240" w:lineRule="auto"/>
              <w:rPr>
                <w:b/>
              </w:rPr>
            </w:pPr>
            <w:r>
              <w:rPr>
                <w:b/>
              </w:rPr>
              <w:t>SCE</w:t>
            </w:r>
          </w:p>
        </w:tc>
        <w:tc>
          <w:tcPr>
            <w:tcW w:w="583" w:type="dxa"/>
            <w:tcBorders>
              <w:right w:val="nil"/>
            </w:tcBorders>
            <w:shd w:val="pct25" w:color="auto" w:fill="auto"/>
            <w:vAlign w:val="center"/>
          </w:tcPr>
          <w:p w:rsidR="001509AE" w:rsidRPr="008E6B1C" w:rsidRDefault="001509AE" w:rsidP="001509AE">
            <w:pPr>
              <w:keepNext/>
              <w:spacing w:after="0" w:line="240" w:lineRule="auto"/>
              <w:jc w:val="center"/>
            </w:pPr>
          </w:p>
        </w:tc>
        <w:tc>
          <w:tcPr>
            <w:tcW w:w="4463" w:type="dxa"/>
            <w:tcBorders>
              <w:left w:val="nil"/>
              <w:right w:val="nil"/>
            </w:tcBorders>
            <w:shd w:val="pct25" w:color="auto" w:fill="auto"/>
            <w:vAlign w:val="center"/>
          </w:tcPr>
          <w:p w:rsidR="001509AE" w:rsidRPr="008E6B1C" w:rsidRDefault="001509AE" w:rsidP="001509AE">
            <w:pPr>
              <w:keepNext/>
              <w:spacing w:after="0" w:line="240" w:lineRule="auto"/>
            </w:pPr>
          </w:p>
        </w:tc>
        <w:tc>
          <w:tcPr>
            <w:tcW w:w="658" w:type="dxa"/>
            <w:tcBorders>
              <w:left w:val="nil"/>
              <w:right w:val="nil"/>
            </w:tcBorders>
            <w:shd w:val="pct25" w:color="auto" w:fill="auto"/>
            <w:vAlign w:val="center"/>
          </w:tcPr>
          <w:p w:rsidR="001509AE" w:rsidRPr="008E6B1C" w:rsidRDefault="001509AE" w:rsidP="001509AE">
            <w:pPr>
              <w:keepNext/>
              <w:spacing w:after="0" w:line="240" w:lineRule="auto"/>
              <w:jc w:val="center"/>
            </w:pPr>
          </w:p>
        </w:tc>
        <w:tc>
          <w:tcPr>
            <w:tcW w:w="1278" w:type="dxa"/>
            <w:tcBorders>
              <w:left w:val="nil"/>
            </w:tcBorders>
            <w:shd w:val="pct25" w:color="auto" w:fill="auto"/>
            <w:vAlign w:val="center"/>
          </w:tcPr>
          <w:p w:rsidR="001509AE" w:rsidRPr="008E6B1C" w:rsidRDefault="001509AE" w:rsidP="001509AE">
            <w:pPr>
              <w:keepNext/>
              <w:spacing w:after="0" w:line="240" w:lineRule="auto"/>
              <w:jc w:val="right"/>
            </w:pPr>
          </w:p>
        </w:tc>
      </w:tr>
      <w:tr w:rsidR="001509AE" w:rsidRPr="008E6B1C" w:rsidTr="001509AE">
        <w:trPr>
          <w:jc w:val="center"/>
        </w:trPr>
        <w:tc>
          <w:tcPr>
            <w:tcW w:w="1947" w:type="dxa"/>
            <w:vAlign w:val="center"/>
          </w:tcPr>
          <w:p w:rsidR="001509AE" w:rsidRDefault="001509AE" w:rsidP="001509AE">
            <w:pPr>
              <w:spacing w:after="0"/>
              <w:rPr>
                <w:rFonts w:cs="Calibri"/>
                <w:color w:val="000000"/>
              </w:rPr>
            </w:pPr>
            <w:r>
              <w:rPr>
                <w:rFonts w:cs="Calibri"/>
                <w:color w:val="000000"/>
              </w:rPr>
              <w:t>SCE13LG109</w:t>
            </w:r>
          </w:p>
        </w:tc>
        <w:tc>
          <w:tcPr>
            <w:tcW w:w="583" w:type="dxa"/>
            <w:vAlign w:val="center"/>
          </w:tcPr>
          <w:p w:rsidR="001509AE" w:rsidRDefault="001509AE" w:rsidP="001509AE">
            <w:pPr>
              <w:keepNext/>
              <w:spacing w:after="0" w:line="240" w:lineRule="auto"/>
              <w:jc w:val="center"/>
            </w:pPr>
            <w:r>
              <w:t>1</w:t>
            </w:r>
          </w:p>
        </w:tc>
        <w:tc>
          <w:tcPr>
            <w:tcW w:w="4463" w:type="dxa"/>
            <w:vAlign w:val="center"/>
          </w:tcPr>
          <w:p w:rsidR="001509AE" w:rsidRDefault="001509AE" w:rsidP="001509AE">
            <w:pPr>
              <w:keepNext/>
              <w:spacing w:after="0" w:line="240" w:lineRule="auto"/>
            </w:pPr>
            <w:r w:rsidRPr="001509AE">
              <w:t>Exterior LED Lamp Replacement</w:t>
            </w:r>
          </w:p>
        </w:tc>
        <w:tc>
          <w:tcPr>
            <w:tcW w:w="658" w:type="dxa"/>
            <w:vAlign w:val="center"/>
          </w:tcPr>
          <w:p w:rsidR="001509AE" w:rsidRDefault="001509AE" w:rsidP="001509AE">
            <w:pPr>
              <w:keepNext/>
              <w:spacing w:after="0" w:line="240" w:lineRule="auto"/>
              <w:jc w:val="center"/>
            </w:pPr>
            <w:r>
              <w:t>LED</w:t>
            </w:r>
          </w:p>
        </w:tc>
        <w:tc>
          <w:tcPr>
            <w:tcW w:w="1278" w:type="dxa"/>
            <w:vAlign w:val="center"/>
          </w:tcPr>
          <w:p w:rsidR="001509AE" w:rsidRDefault="001509AE" w:rsidP="001509AE">
            <w:pPr>
              <w:keepNext/>
              <w:spacing w:after="0" w:line="240" w:lineRule="auto"/>
              <w:jc w:val="right"/>
            </w:pPr>
            <w:r>
              <w:t>12/21/2015</w:t>
            </w:r>
          </w:p>
        </w:tc>
      </w:tr>
    </w:tbl>
    <w:p w:rsidR="00F11C2D" w:rsidRPr="008774A6" w:rsidRDefault="00F11C2D" w:rsidP="00F11C2D">
      <w:pPr>
        <w:ind w:left="360" w:hanging="360"/>
      </w:pPr>
    </w:p>
    <w:p w:rsidR="00C26165" w:rsidRDefault="00C26165" w:rsidP="00235ACC">
      <w:pPr>
        <w:pStyle w:val="Body1"/>
      </w:pPr>
    </w:p>
    <w:p w:rsidR="00F11C2D" w:rsidRPr="00C26165" w:rsidRDefault="00F11C2D" w:rsidP="00235ACC">
      <w:pPr>
        <w:pStyle w:val="Body1"/>
      </w:pPr>
    </w:p>
    <w:p w:rsidR="00154E04" w:rsidRDefault="001C3A3C" w:rsidP="002E2F58">
      <w:pPr>
        <w:pStyle w:val="Heading1"/>
      </w:pPr>
      <w:bookmarkStart w:id="4" w:name="_Toc475967901"/>
      <w:bookmarkStart w:id="5" w:name="_Toc476066428"/>
      <w:r>
        <w:lastRenderedPageBreak/>
        <w:t>Directed Revisions to Workpapers</w:t>
      </w:r>
      <w:bookmarkEnd w:id="4"/>
      <w:bookmarkEnd w:id="5"/>
    </w:p>
    <w:p w:rsidR="001C3A3C" w:rsidRDefault="001C3A3C" w:rsidP="001C3A3C">
      <w:pPr>
        <w:pStyle w:val="Heading2"/>
      </w:pPr>
      <w:bookmarkStart w:id="6" w:name="_Ref475966922"/>
      <w:bookmarkStart w:id="7" w:name="_Toc475967902"/>
      <w:bookmarkStart w:id="8" w:name="_Toc476066429"/>
      <w:r w:rsidRPr="001C3A3C">
        <w:t xml:space="preserve">Directed Revisions to All </w:t>
      </w:r>
      <w:r w:rsidR="009C216B">
        <w:t xml:space="preserve">New and </w:t>
      </w:r>
      <w:r w:rsidR="00A04C90">
        <w:t xml:space="preserve">Existing </w:t>
      </w:r>
      <w:r w:rsidRPr="001C3A3C">
        <w:t>Workpapers Covering Screw-in Lamps</w:t>
      </w:r>
      <w:bookmarkEnd w:id="6"/>
      <w:bookmarkEnd w:id="7"/>
      <w:bookmarkEnd w:id="8"/>
    </w:p>
    <w:p w:rsidR="001C3A3C" w:rsidRDefault="001C3A3C" w:rsidP="00184D53">
      <w:pPr>
        <w:pStyle w:val="Body2"/>
      </w:pPr>
      <w:r>
        <w:t>The following revisions are required for all workpapers covering screw-in lamps where savings are calculated using a wattage reduction ratio (WRR)</w:t>
      </w:r>
      <w:r w:rsidR="009C216B">
        <w:t>:</w:t>
      </w:r>
      <w:r w:rsidR="00580CC6">
        <w:t xml:space="preserve"> </w:t>
      </w:r>
    </w:p>
    <w:p w:rsidR="00F26DE8" w:rsidRDefault="001C3A3C" w:rsidP="00184D53">
      <w:pPr>
        <w:pStyle w:val="Body2"/>
        <w:numPr>
          <w:ilvl w:val="0"/>
          <w:numId w:val="36"/>
        </w:numPr>
      </w:pPr>
      <w:r w:rsidRPr="00F26DE8">
        <w:t xml:space="preserve">Revise </w:t>
      </w:r>
      <w:r w:rsidR="00531411">
        <w:t>f</w:t>
      </w:r>
      <w:r w:rsidRPr="00F26DE8">
        <w:t xml:space="preserve">raction of CFLs in LED </w:t>
      </w:r>
      <w:r w:rsidR="00531411">
        <w:t>b</w:t>
      </w:r>
      <w:r w:rsidRPr="00F26DE8">
        <w:t>aseline</w:t>
      </w:r>
    </w:p>
    <w:p w:rsidR="00F26DE8" w:rsidRDefault="00F26DE8" w:rsidP="00184D53">
      <w:pPr>
        <w:pStyle w:val="Body2"/>
        <w:numPr>
          <w:ilvl w:val="0"/>
          <w:numId w:val="36"/>
        </w:numPr>
      </w:pPr>
      <w:r w:rsidRPr="00F26DE8">
        <w:t xml:space="preserve">Revise </w:t>
      </w:r>
      <w:r w:rsidR="00531411">
        <w:t>f</w:t>
      </w:r>
      <w:r w:rsidRPr="00F26DE8">
        <w:t xml:space="preserve">raction of CFLs and LEDs in CFL </w:t>
      </w:r>
      <w:r w:rsidR="00531411">
        <w:t>b</w:t>
      </w:r>
      <w:r w:rsidRPr="00F26DE8">
        <w:t>aseline</w:t>
      </w:r>
    </w:p>
    <w:p w:rsidR="009C216B" w:rsidRPr="00F26DE8" w:rsidRDefault="00F26DE8" w:rsidP="009C216B">
      <w:pPr>
        <w:pStyle w:val="Body2"/>
        <w:numPr>
          <w:ilvl w:val="0"/>
          <w:numId w:val="36"/>
        </w:numPr>
      </w:pPr>
      <w:r w:rsidRPr="00F26DE8">
        <w:t xml:space="preserve">Revise Net-to-Gross </w:t>
      </w:r>
      <w:r w:rsidR="00531411">
        <w:t>v</w:t>
      </w:r>
      <w:r w:rsidRPr="00F26DE8">
        <w:t xml:space="preserve">alues to </w:t>
      </w:r>
      <w:r w:rsidR="00531411">
        <w:t>i</w:t>
      </w:r>
      <w:r w:rsidRPr="00F26DE8">
        <w:t xml:space="preserve">ncorporate </w:t>
      </w:r>
      <w:r w:rsidR="00531411">
        <w:t>i</w:t>
      </w:r>
      <w:r w:rsidRPr="00F26DE8">
        <w:t xml:space="preserve">ncreased CFL </w:t>
      </w:r>
      <w:r w:rsidR="00531411">
        <w:t>l</w:t>
      </w:r>
      <w:r w:rsidRPr="00F26DE8">
        <w:t xml:space="preserve">amps in </w:t>
      </w:r>
      <w:r w:rsidR="00531411">
        <w:t>g</w:t>
      </w:r>
      <w:r w:rsidRPr="00F26DE8">
        <w:t xml:space="preserve">ross </w:t>
      </w:r>
      <w:r w:rsidR="00531411">
        <w:t>b</w:t>
      </w:r>
      <w:r w:rsidRPr="00F26DE8">
        <w:t>aseline</w:t>
      </w:r>
    </w:p>
    <w:p w:rsidR="001F6D54" w:rsidRPr="001F6D54" w:rsidRDefault="001F6D54" w:rsidP="001F6D54">
      <w:pPr>
        <w:pStyle w:val="Heading2"/>
      </w:pPr>
      <w:bookmarkStart w:id="9" w:name="_Toc475967903"/>
      <w:bookmarkStart w:id="10" w:name="_Toc476066430"/>
      <w:r w:rsidRPr="001F6D54">
        <w:t>Directed Revisions to PGECOLTG165</w:t>
      </w:r>
      <w:r w:rsidR="00A04C90">
        <w:t xml:space="preserve"> and any </w:t>
      </w:r>
      <w:r w:rsidR="009C216B">
        <w:t xml:space="preserve">Current and Future Screw-in </w:t>
      </w:r>
      <w:r w:rsidRPr="001F6D54">
        <w:t>LED</w:t>
      </w:r>
      <w:r w:rsidR="00A04C90">
        <w:t xml:space="preserve"> </w:t>
      </w:r>
      <w:bookmarkEnd w:id="9"/>
      <w:r w:rsidR="009C216B">
        <w:t>W</w:t>
      </w:r>
      <w:r w:rsidR="00A04C90">
        <w:t>orkpapers</w:t>
      </w:r>
      <w:bookmarkEnd w:id="10"/>
    </w:p>
    <w:p w:rsidR="00235ACC" w:rsidRDefault="00A04C90" w:rsidP="00184D53">
      <w:pPr>
        <w:pStyle w:val="Body2"/>
      </w:pPr>
      <w:r>
        <w:t xml:space="preserve">This section also applies </w:t>
      </w:r>
      <w:r w:rsidR="001F6D54">
        <w:t xml:space="preserve"> </w:t>
      </w:r>
      <w:r>
        <w:t xml:space="preserve">to the development of </w:t>
      </w:r>
      <w:r w:rsidR="001F6D54">
        <w:t>new workpapers for LED lamps that use savings calculations other than WRR values:</w:t>
      </w:r>
      <w:r w:rsidR="004923B6" w:rsidRPr="004923B6">
        <w:t xml:space="preserve"> </w:t>
      </w:r>
    </w:p>
    <w:p w:rsidR="00531411" w:rsidRDefault="00531411" w:rsidP="00184D53">
      <w:pPr>
        <w:pStyle w:val="Body2"/>
        <w:numPr>
          <w:ilvl w:val="0"/>
          <w:numId w:val="33"/>
        </w:numPr>
      </w:pPr>
      <w:r>
        <w:t xml:space="preserve">Revise savings </w:t>
      </w:r>
      <w:r w:rsidR="001F6D54">
        <w:t>methods shall be revised to either</w:t>
      </w:r>
      <w:r>
        <w:t>:</w:t>
      </w:r>
    </w:p>
    <w:p w:rsidR="00531411" w:rsidRDefault="00531411" w:rsidP="001E24C0">
      <w:pPr>
        <w:pStyle w:val="Body2"/>
        <w:numPr>
          <w:ilvl w:val="0"/>
          <w:numId w:val="39"/>
        </w:numPr>
        <w:spacing w:after="0"/>
        <w:ind w:left="1267"/>
      </w:pPr>
      <w:r>
        <w:t>Use previously approved methods, but revise the WRR</w:t>
      </w:r>
      <w:r w:rsidR="001F6D54">
        <w:t xml:space="preserve"> to include 80% CFLs in the gross baseline</w:t>
      </w:r>
      <w:r>
        <w:t>,</w:t>
      </w:r>
      <w:r w:rsidR="001F6D54">
        <w:t xml:space="preserve"> or</w:t>
      </w:r>
    </w:p>
    <w:p w:rsidR="001F6D54" w:rsidRPr="00820BD1" w:rsidRDefault="00531411" w:rsidP="00820BD1">
      <w:pPr>
        <w:pStyle w:val="Body2"/>
        <w:numPr>
          <w:ilvl w:val="0"/>
          <w:numId w:val="39"/>
        </w:numPr>
        <w:ind w:left="1260"/>
        <w:rPr>
          <w:rFonts w:eastAsiaTheme="majorEastAsia"/>
        </w:rPr>
      </w:pPr>
      <w:r>
        <w:t>E</w:t>
      </w:r>
      <w:r w:rsidR="001F6D54">
        <w:t>stablish a tiered savings m</w:t>
      </w:r>
      <w:r w:rsidR="001F6D54" w:rsidRPr="001F6D54">
        <w:t>ethod that</w:t>
      </w:r>
      <w:r w:rsidR="001F6D54">
        <w:t xml:space="preserve"> assigns increased savings for higher e</w:t>
      </w:r>
      <w:r w:rsidR="001F6D54" w:rsidRPr="001F6D54">
        <w:t>fficacy</w:t>
      </w:r>
      <w:r w:rsidR="001F6D54">
        <w:t xml:space="preserve"> lamps.</w:t>
      </w:r>
    </w:p>
    <w:p w:rsidR="00724B2C" w:rsidRDefault="00724B2C" w:rsidP="00724B2C">
      <w:pPr>
        <w:pStyle w:val="Body2"/>
        <w:ind w:left="576"/>
      </w:pPr>
      <w:r w:rsidRPr="00724B2C">
        <w:t>Refer to Section 4.3 for complete description of requirements for revisions to savings methods.</w:t>
      </w:r>
    </w:p>
    <w:p w:rsidR="00466E11" w:rsidRDefault="00B4196E" w:rsidP="00184D53">
      <w:pPr>
        <w:pStyle w:val="Body2"/>
        <w:numPr>
          <w:ilvl w:val="0"/>
          <w:numId w:val="33"/>
        </w:numPr>
      </w:pPr>
      <w:r>
        <w:t>Immediately revise p</w:t>
      </w:r>
      <w:r w:rsidRPr="00B4196E">
        <w:t xml:space="preserve">rogram eligibility rules </w:t>
      </w:r>
      <w:r w:rsidR="00C525A8">
        <w:t xml:space="preserve">for 2017 </w:t>
      </w:r>
      <w:r w:rsidRPr="00B4196E">
        <w:t>to include a minimum efficacy of 90 lm/w</w:t>
      </w:r>
      <w:r w:rsidR="00466E11">
        <w:t>.</w:t>
      </w:r>
    </w:p>
    <w:p w:rsidR="001F6D54" w:rsidRDefault="00466E11" w:rsidP="00184D53">
      <w:pPr>
        <w:pStyle w:val="Body2"/>
        <w:numPr>
          <w:ilvl w:val="0"/>
          <w:numId w:val="33"/>
        </w:numPr>
      </w:pPr>
      <w:r>
        <w:t>Raise</w:t>
      </w:r>
      <w:r w:rsidR="00B4196E" w:rsidRPr="00B4196E">
        <w:t xml:space="preserve"> the minimum </w:t>
      </w:r>
      <w:r>
        <w:t xml:space="preserve">efficacy </w:t>
      </w:r>
      <w:r w:rsidR="00B4196E" w:rsidRPr="00B4196E">
        <w:t xml:space="preserve">to 100 lm/w </w:t>
      </w:r>
      <w:r>
        <w:t xml:space="preserve">starting </w:t>
      </w:r>
      <w:r w:rsidR="00B4196E" w:rsidRPr="00B4196E">
        <w:t>1/1/2018.</w:t>
      </w:r>
    </w:p>
    <w:p w:rsidR="00E12E68" w:rsidRDefault="002D4E44" w:rsidP="002E2F58">
      <w:pPr>
        <w:pStyle w:val="Heading1"/>
      </w:pPr>
      <w:bookmarkStart w:id="11" w:name="_Toc475967904"/>
      <w:bookmarkStart w:id="12" w:name="_Toc476066431"/>
      <w:r>
        <w:t>Review of Workpapers Using Wattage Reduction Ratios for Savings Calculations</w:t>
      </w:r>
      <w:bookmarkEnd w:id="11"/>
      <w:bookmarkEnd w:id="12"/>
    </w:p>
    <w:p w:rsidR="00580CC6" w:rsidRDefault="009C216B" w:rsidP="001D30F6">
      <w:pPr>
        <w:pStyle w:val="Heading2"/>
      </w:pPr>
      <w:bookmarkStart w:id="13" w:name="_Toc476066432"/>
      <w:r>
        <w:t xml:space="preserve">Background on </w:t>
      </w:r>
      <w:bookmarkStart w:id="14" w:name="_Toc475967905"/>
      <w:r w:rsidR="001D30F6" w:rsidRPr="001D30F6">
        <w:t>Lamp Wattage Reduction Methods</w:t>
      </w:r>
      <w:bookmarkEnd w:id="13"/>
      <w:bookmarkEnd w:id="14"/>
    </w:p>
    <w:p w:rsidR="001D30F6" w:rsidRDefault="001D30F6" w:rsidP="00184D53">
      <w:pPr>
        <w:pStyle w:val="Body2"/>
      </w:pPr>
      <w:r>
        <w:t xml:space="preserve">The current approved workpaper methodology for all screw-in lamps uses a “Wattage Reduction Ratio” </w:t>
      </w:r>
      <w:r w:rsidR="00466E11">
        <w:t>t</w:t>
      </w:r>
      <w:r>
        <w:t>o determine the baseline wattage where:</w:t>
      </w:r>
    </w:p>
    <w:p w:rsidR="001D30F6" w:rsidRDefault="001D30F6" w:rsidP="00820BD1">
      <w:pPr>
        <w:pStyle w:val="Body2"/>
        <w:spacing w:after="0"/>
      </w:pPr>
      <w:r>
        <w:tab/>
        <w:t>Baseline Wattage</w:t>
      </w:r>
      <w:r>
        <w:tab/>
        <w:t>= Measure Wattage × WRR</w:t>
      </w:r>
    </w:p>
    <w:p w:rsidR="001D30F6" w:rsidRDefault="001D30F6" w:rsidP="00184D53">
      <w:pPr>
        <w:pStyle w:val="Body2"/>
      </w:pPr>
      <w:r>
        <w:tab/>
        <w:t>Wattage Reduction</w:t>
      </w:r>
      <w:r>
        <w:tab/>
        <w:t>= Measure Wattage × (1 – WRR)</w:t>
      </w:r>
    </w:p>
    <w:p w:rsidR="00DA224D" w:rsidRDefault="001D30F6" w:rsidP="00184D53">
      <w:pPr>
        <w:pStyle w:val="Body2"/>
      </w:pPr>
      <w:r>
        <w:t xml:space="preserve">Savings for measures defined using a WRR are only dependent on the installed measure lamp rated input power. There is no consideration for higher efficacy lamps and the possibility that two lamps with the same output but with different wattages, might replace the same wattage CFL or incandescent lamp. Under the current WRR approach, lamps with lower wattage, but high output, are assigned lower savings than higher wattage lamps with lower output. </w:t>
      </w:r>
    </w:p>
    <w:p w:rsidR="00706DC3" w:rsidRDefault="00BA3F2D" w:rsidP="00184D53">
      <w:pPr>
        <w:pStyle w:val="Body2"/>
      </w:pPr>
      <w:r>
        <w:lastRenderedPageBreak/>
        <w:t xml:space="preserve">To address the issue of savings and incentive structures that promote higher efficacy lamps </w:t>
      </w:r>
      <w:r w:rsidR="001D30F6">
        <w:t xml:space="preserve">PAs </w:t>
      </w:r>
      <w:r>
        <w:t>have begun</w:t>
      </w:r>
      <w:r w:rsidR="001D30F6">
        <w:t xml:space="preserve"> the process of developing new savings calculation methods that assign greater savings to higher efficacy lighting products. For example, lighting retrofit measures for ambient linear fluorescent troffer replacements have higher </w:t>
      </w:r>
      <w:r w:rsidR="00DA224D">
        <w:t xml:space="preserve">ex ante </w:t>
      </w:r>
      <w:r w:rsidR="001D30F6">
        <w:t>savings values for fixtures with 125 lumens/Watt (lm/w) output than fixtures with 100 lm/w.</w:t>
      </w:r>
      <w:r>
        <w:t xml:space="preserve"> However, as discussed below, the PA proposed approach for LED A-lamps does not reliably accomplish the desired result and thus this disposition takes steps to correct that shortfall. </w:t>
      </w:r>
    </w:p>
    <w:p w:rsidR="00154E04" w:rsidRPr="001C2764" w:rsidRDefault="001D30F6" w:rsidP="007121DC">
      <w:pPr>
        <w:pStyle w:val="Heading2"/>
      </w:pPr>
      <w:bookmarkStart w:id="15" w:name="_Toc475967906"/>
      <w:bookmarkStart w:id="16" w:name="_Toc476066433"/>
      <w:r>
        <w:t>Baseline Development</w:t>
      </w:r>
      <w:bookmarkEnd w:id="15"/>
      <w:bookmarkEnd w:id="16"/>
    </w:p>
    <w:p w:rsidR="001D30F6" w:rsidRDefault="001D30F6" w:rsidP="00184D53">
      <w:pPr>
        <w:pStyle w:val="Body2"/>
      </w:pPr>
      <w:r>
        <w:t>Current approved CFL savings include an assumption that 40% of all newly installed CFLs will be replacing previously installed CFLs and therefore no gross savings is assigned for that fraction of program lamps. The remaining 60% of lamps are assumed to be either new sockets where less efficient technologies would have been installed or existing sockets that would revert to less efficient lamps if the program incented lamps were not available. Currently approved LED savings assume that program incentivized lamps are installed into sockets where there would otherwise be a mixture of CFL, conventional incandescent and halogen incandescent lamps as listed below:</w:t>
      </w:r>
    </w:p>
    <w:p w:rsidR="00E56DF7" w:rsidRDefault="00E56DF7" w:rsidP="00820BD1">
      <w:pPr>
        <w:pStyle w:val="Body2"/>
        <w:spacing w:after="0"/>
      </w:pPr>
      <w:r>
        <w:tab/>
        <w:t>A-Lamps:</w:t>
      </w:r>
      <w:r>
        <w:tab/>
        <w:t>50% CFLs, 50% incandescent lamps</w:t>
      </w:r>
    </w:p>
    <w:p w:rsidR="00E56DF7" w:rsidRDefault="00E56DF7" w:rsidP="00820BD1">
      <w:pPr>
        <w:pStyle w:val="Body2"/>
        <w:spacing w:after="0"/>
      </w:pPr>
      <w:r>
        <w:tab/>
        <w:t>Reflectors:</w:t>
      </w:r>
      <w:r>
        <w:tab/>
        <w:t>25% CFLs, 75% incandescent lamps</w:t>
      </w:r>
    </w:p>
    <w:p w:rsidR="00E56DF7" w:rsidRDefault="00E56DF7" w:rsidP="00184D53">
      <w:pPr>
        <w:pStyle w:val="Body2"/>
      </w:pPr>
      <w:r>
        <w:tab/>
        <w:t>All others:</w:t>
      </w:r>
      <w:r>
        <w:tab/>
        <w:t>0% CFLs, 100% inc</w:t>
      </w:r>
      <w:r w:rsidR="00384A1E">
        <w:t>a</w:t>
      </w:r>
      <w:r>
        <w:t>ndescent lamps</w:t>
      </w:r>
    </w:p>
    <w:p w:rsidR="001D30F6" w:rsidRDefault="001D30F6" w:rsidP="00184D53">
      <w:pPr>
        <w:pStyle w:val="Body2"/>
      </w:pPr>
      <w:r>
        <w:t>At this time, the PAs’ programs include incentives for both LED and CFL lamps which raises the possibility that incentives for one technology are influencing choices over another technology. If CFL incentives are influencing the choice for a CFL over an LED, that implies a negative savings for at least some fraction of the installed CFLs</w:t>
      </w:r>
      <w:r w:rsidR="00C47612">
        <w:t>. This can happen in situations where a purchaser has decided to opt for a higher efficiency lamp (either a CFL or an LED product) and the program influences the</w:t>
      </w:r>
      <w:r w:rsidR="00BA3F2D">
        <w:t xml:space="preserve"> choice of a CFL over a lower wattage LED due to</w:t>
      </w:r>
      <w:r w:rsidR="00C47612">
        <w:t xml:space="preserve"> program incentives lowering the CFL price or causing a retailer to </w:t>
      </w:r>
      <w:r w:rsidR="00DA224D">
        <w:t>maintain</w:t>
      </w:r>
      <w:r w:rsidR="00C47612">
        <w:t xml:space="preserve"> CFL product availability at a higher level</w:t>
      </w:r>
      <w:r>
        <w:t xml:space="preserve">. </w:t>
      </w:r>
      <w:r w:rsidR="00C47612">
        <w:t xml:space="preserve">This is similar to the existing workpaper assumption that </w:t>
      </w:r>
      <w:r>
        <w:t>LED incentives influence the choice of an LED over a CFL (either replacing an existing CFL or the conversion of an incandescent</w:t>
      </w:r>
      <w:r w:rsidR="00DA224D">
        <w:t xml:space="preserve"> or CFL</w:t>
      </w:r>
      <w:r>
        <w:t xml:space="preserve"> to a</w:t>
      </w:r>
      <w:r w:rsidR="00B36114">
        <w:t>n LED</w:t>
      </w:r>
      <w:r>
        <w:t xml:space="preserve"> lamp)</w:t>
      </w:r>
      <w:r w:rsidR="00DA224D">
        <w:t>. Larger fractions of CFLs in a baseline</w:t>
      </w:r>
      <w:r>
        <w:t xml:space="preserve"> instead of incandescent</w:t>
      </w:r>
      <w:r w:rsidR="00DA224D">
        <w:t xml:space="preserve"> lamps</w:t>
      </w:r>
      <w:r w:rsidR="001E24C0">
        <w:t>, cause</w:t>
      </w:r>
      <w:r w:rsidR="00DA224D">
        <w:t xml:space="preserve"> the </w:t>
      </w:r>
      <w:r>
        <w:t>savings for the LED measure</w:t>
      </w:r>
      <w:r w:rsidR="00DA224D">
        <w:t>s</w:t>
      </w:r>
      <w:r>
        <w:t xml:space="preserve"> </w:t>
      </w:r>
      <w:r w:rsidR="00DA224D">
        <w:t>to</w:t>
      </w:r>
      <w:r>
        <w:t xml:space="preserve"> be lower.</w:t>
      </w:r>
    </w:p>
    <w:p w:rsidR="001D30F6" w:rsidRPr="004C5878" w:rsidRDefault="001D30F6" w:rsidP="00184D53">
      <w:pPr>
        <w:pStyle w:val="Body2"/>
      </w:pPr>
      <w:r>
        <w:t xml:space="preserve">Lamp shipment data published by the National Electrical Manufacturers Association (NEMA) shows a rapid increase in saturations of LED A-Lamps over the past two years (see </w:t>
      </w:r>
      <w:fldSimple w:instr=" REF _Ref475692132  \* MERGEFORMAT ">
        <w:r w:rsidR="00B25CDA">
          <w:t xml:space="preserve">Figure </w:t>
        </w:r>
        <w:r w:rsidR="00B25CDA">
          <w:rPr>
            <w:noProof/>
          </w:rPr>
          <w:t>1</w:t>
        </w:r>
      </w:fldSimple>
      <w:r>
        <w:t xml:space="preserve">). Currently, shipments of LEDs as a fraction of total lamps is about the same as CFLs were </w:t>
      </w:r>
      <w:r w:rsidR="00DA224D">
        <w:t xml:space="preserve">at the beginning of </w:t>
      </w:r>
      <w:r>
        <w:t>2012</w:t>
      </w:r>
      <w:r w:rsidR="00DA224D">
        <w:t>,</w:t>
      </w:r>
      <w:r w:rsidR="00115CF4">
        <w:t xml:space="preserve"> and CFL saturation has dropped off rapidly as LED saturation </w:t>
      </w:r>
      <w:r w:rsidR="00DA224D">
        <w:t>has risen</w:t>
      </w:r>
      <w:r>
        <w:t xml:space="preserve">. Early 2012 corresponds to the period where incentives for CFLs were at an all-time high. </w:t>
      </w:r>
      <w:fldSimple w:instr=" REF _Ref324175084  \* MERGEFORMAT ">
        <w:r w:rsidR="00E12B44" w:rsidRPr="00310BA9">
          <w:t xml:space="preserve">Table </w:t>
        </w:r>
        <w:r w:rsidR="00E12B44">
          <w:rPr>
            <w:noProof/>
          </w:rPr>
          <w:t>1</w:t>
        </w:r>
      </w:fldSimple>
      <w:r>
        <w:t xml:space="preserve"> compares the total quantities of program incented lamps by type for 2011 to those from the four quarters from </w:t>
      </w:r>
      <w:r w:rsidR="00B36114">
        <w:t>Q4</w:t>
      </w:r>
      <w:r>
        <w:t>-2015 through Q3-2016</w:t>
      </w:r>
      <w:r>
        <w:rPr>
          <w:rStyle w:val="FootnoteReference"/>
        </w:rPr>
        <w:footnoteReference w:id="2"/>
      </w:r>
      <w:r>
        <w:t xml:space="preserve">. The number of incented LED lamps over the last four quarters is small compared to the overall saturation of about 32% of LED lamps shown in </w:t>
      </w:r>
      <w:fldSimple w:instr=" REF _Ref475692132  \* MERGEFORMAT ">
        <w:r w:rsidR="00B25CDA">
          <w:t xml:space="preserve">Figure </w:t>
        </w:r>
        <w:r w:rsidR="00B25CDA">
          <w:rPr>
            <w:noProof/>
          </w:rPr>
          <w:t>1</w:t>
        </w:r>
      </w:fldSimple>
      <w:r>
        <w:t xml:space="preserve"> for Q3-2016. In contrast, PAs incented </w:t>
      </w:r>
      <w:r>
        <w:lastRenderedPageBreak/>
        <w:t>more than four times as many CFLs in 2011 yet the saturation of CFLs in Q1-2012 was about the same as the most recent LED saturation. This indicates that the shipments and demand for LEDs is growing rapidly, regardless of program incentives.</w:t>
      </w:r>
      <w:r w:rsidR="00115CF4">
        <w:t xml:space="preserve"> This also demonstrates a very high market acceptance of these products and also that these products have higher acceptance than CFLs at this time</w:t>
      </w:r>
      <w:r w:rsidR="00481FC4">
        <w:t>, and perhaps any time in the past</w:t>
      </w:r>
      <w:r w:rsidR="00115CF4">
        <w:t xml:space="preserve">. In fact, several manufacturers have already announced that CFL products are being, and will continue to be retired in favor of LED products. </w:t>
      </w:r>
      <w:r w:rsidR="00481FC4">
        <w:t xml:space="preserve">CPUC staff reviewers strongly suggest </w:t>
      </w:r>
      <w:r w:rsidR="00115CF4">
        <w:t>that the continued offering of incentives for CFLs is likely slowing the adoption of competing LED technologies</w:t>
      </w:r>
      <w:r w:rsidR="00481FC4">
        <w:t>. LEDs have clearly</w:t>
      </w:r>
      <w:r w:rsidR="00115CF4">
        <w:t xml:space="preserve"> </w:t>
      </w:r>
      <w:r w:rsidR="002746EA">
        <w:t>gained wide acceptance</w:t>
      </w:r>
      <w:r w:rsidR="00481FC4">
        <w:t>,</w:t>
      </w:r>
      <w:r w:rsidR="002746EA">
        <w:t xml:space="preserve"> </w:t>
      </w:r>
      <w:r w:rsidR="00115CF4">
        <w:t xml:space="preserve">and </w:t>
      </w:r>
      <w:r w:rsidR="00481FC4">
        <w:t xml:space="preserve">CFLs </w:t>
      </w:r>
      <w:r w:rsidR="00115CF4">
        <w:t>should be discontinued.</w:t>
      </w:r>
      <w:r w:rsidR="002746EA">
        <w:t xml:space="preserve"> In the case of </w:t>
      </w:r>
      <w:r w:rsidR="0067452F">
        <w:t>LEDs covered by this disposition</w:t>
      </w:r>
      <w:r w:rsidR="002746EA">
        <w:t xml:space="preserve">, national market saturation trends </w:t>
      </w:r>
      <w:r w:rsidR="0067452F">
        <w:t>and well as the dramatic pricing declines</w:t>
      </w:r>
      <w:r w:rsidR="00F87DA7">
        <w:rPr>
          <w:rStyle w:val="FootnoteReference"/>
        </w:rPr>
        <w:footnoteReference w:id="3"/>
      </w:r>
      <w:r w:rsidR="00F87DA7">
        <w:t xml:space="preserve"> </w:t>
      </w:r>
      <w:r w:rsidR="002746EA">
        <w:t>also indicate that incentives must be focused on the highest efficacy and quality products</w:t>
      </w:r>
      <w:r w:rsidR="00F87DA7">
        <w:t xml:space="preserve"> so as to further move the market.</w:t>
      </w:r>
      <w:r w:rsidR="003D06FD">
        <w:t xml:space="preserve"> CPUC staff reviewers note that an examination of 2016 Q1-Q3 claims indicates an average LED screw-in MSB A-Lamp incentive in the upstream program was slightly over $4 per lamp which seems either unnecessary or unreasonably high if typical non-program products meeting Energy Star and future code efficacy requirements can purchased at major retail stores for less than</w:t>
      </w:r>
      <w:r w:rsidR="00642C94">
        <w:t xml:space="preserve"> that $4 average. PAs must review their incentive levels for all LED products to ensure they not over paying and certainly do not exceed common pricing.</w:t>
      </w:r>
      <w:r w:rsidR="003D06FD">
        <w:t xml:space="preserve"> </w:t>
      </w:r>
    </w:p>
    <w:p w:rsidR="001D30F6" w:rsidRDefault="001D30F6" w:rsidP="00820BD1">
      <w:pPr>
        <w:pStyle w:val="Caption"/>
        <w:keepNext/>
        <w:spacing w:after="120"/>
        <w:jc w:val="center"/>
      </w:pPr>
      <w:bookmarkStart w:id="17" w:name="_Ref475692132"/>
      <w:r>
        <w:t xml:space="preserve">Figure </w:t>
      </w:r>
      <w:fldSimple w:instr=" SEQ Figure \* ARABIC ">
        <w:r w:rsidR="00DF3DAD">
          <w:rPr>
            <w:noProof/>
          </w:rPr>
          <w:t>1</w:t>
        </w:r>
      </w:fldSimple>
      <w:bookmarkEnd w:id="17"/>
      <w:r>
        <w:rPr>
          <w:noProof/>
        </w:rPr>
        <w:t xml:space="preserve"> - National Lamp Sales Saturations for A-Lamps</w:t>
      </w:r>
      <w:r>
        <w:rPr>
          <w:rStyle w:val="FootnoteReference"/>
          <w:noProof/>
        </w:rPr>
        <w:footnoteReference w:id="4"/>
      </w:r>
    </w:p>
    <w:p w:rsidR="001D30F6" w:rsidRDefault="00810DFD" w:rsidP="001D30F6">
      <w:pPr>
        <w:ind w:left="360" w:hanging="360"/>
        <w:jc w:val="center"/>
        <w:rPr>
          <w:b/>
        </w:rPr>
      </w:pPr>
      <w:r>
        <w:rPr>
          <w:b/>
          <w:noProof/>
        </w:rPr>
        <w:drawing>
          <wp:inline distT="0" distB="0" distL="0" distR="0">
            <wp:extent cx="4537710" cy="2722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7710" cy="2722880"/>
                    </a:xfrm>
                    <a:prstGeom prst="rect">
                      <a:avLst/>
                    </a:prstGeom>
                    <a:noFill/>
                    <a:ln>
                      <a:noFill/>
                    </a:ln>
                  </pic:spPr>
                </pic:pic>
              </a:graphicData>
            </a:graphic>
          </wp:inline>
        </w:drawing>
      </w:r>
    </w:p>
    <w:p w:rsidR="001D30F6" w:rsidRDefault="001D30F6" w:rsidP="00820BD1">
      <w:pPr>
        <w:pStyle w:val="Caption"/>
        <w:keepNext/>
        <w:spacing w:after="120"/>
        <w:jc w:val="center"/>
      </w:pPr>
      <w:r>
        <w:lastRenderedPageBreak/>
        <w:t xml:space="preserve">Table </w:t>
      </w:r>
      <w:fldSimple w:instr=" SEQ Table \* ARABIC ">
        <w:r w:rsidR="00B25CDA">
          <w:rPr>
            <w:noProof/>
          </w:rPr>
          <w:t>2</w:t>
        </w:r>
      </w:fldSimple>
      <w:r>
        <w:rPr>
          <w:noProof/>
        </w:rPr>
        <w:t xml:space="preserve"> - Comparison of Program Screw-in Lamps</w:t>
      </w:r>
    </w:p>
    <w:tbl>
      <w:tblPr>
        <w:tblStyle w:val="TableGrid"/>
        <w:tblW w:w="0" w:type="auto"/>
        <w:jc w:val="center"/>
        <w:tblLook w:val="04A0" w:firstRow="1" w:lastRow="0" w:firstColumn="1" w:lastColumn="0" w:noHBand="0" w:noVBand="1"/>
      </w:tblPr>
      <w:tblGrid>
        <w:gridCol w:w="3192"/>
        <w:gridCol w:w="1440"/>
        <w:gridCol w:w="1440"/>
      </w:tblGrid>
      <w:tr w:rsidR="001D30F6" w:rsidRPr="006A38BC" w:rsidTr="005F15E9">
        <w:trPr>
          <w:jc w:val="center"/>
        </w:trPr>
        <w:tc>
          <w:tcPr>
            <w:tcW w:w="3192" w:type="dxa"/>
            <w:tcBorders>
              <w:bottom w:val="nil"/>
            </w:tcBorders>
          </w:tcPr>
          <w:p w:rsidR="001D30F6" w:rsidRPr="006A38BC" w:rsidRDefault="001D30F6" w:rsidP="005F15E9">
            <w:pPr>
              <w:keepNext/>
              <w:spacing w:after="0"/>
              <w:rPr>
                <w:b/>
              </w:rPr>
            </w:pPr>
          </w:p>
        </w:tc>
        <w:tc>
          <w:tcPr>
            <w:tcW w:w="2880" w:type="dxa"/>
            <w:gridSpan w:val="2"/>
          </w:tcPr>
          <w:p w:rsidR="001D30F6" w:rsidRPr="006A38BC" w:rsidRDefault="001D30F6" w:rsidP="005F15E9">
            <w:pPr>
              <w:keepNext/>
              <w:spacing w:after="0"/>
              <w:jc w:val="center"/>
              <w:rPr>
                <w:b/>
              </w:rPr>
            </w:pPr>
            <w:r w:rsidRPr="006A38BC">
              <w:rPr>
                <w:b/>
              </w:rPr>
              <w:t>Claims Reporting Period</w:t>
            </w:r>
          </w:p>
        </w:tc>
      </w:tr>
      <w:tr w:rsidR="001D30F6" w:rsidRPr="006A38BC" w:rsidTr="005F15E9">
        <w:trPr>
          <w:jc w:val="center"/>
        </w:trPr>
        <w:tc>
          <w:tcPr>
            <w:tcW w:w="3192" w:type="dxa"/>
            <w:tcBorders>
              <w:top w:val="nil"/>
            </w:tcBorders>
            <w:vAlign w:val="bottom"/>
          </w:tcPr>
          <w:p w:rsidR="001D30F6" w:rsidRPr="006A38BC" w:rsidRDefault="001D30F6" w:rsidP="005F15E9">
            <w:pPr>
              <w:keepNext/>
              <w:spacing w:after="0"/>
              <w:jc w:val="center"/>
              <w:rPr>
                <w:b/>
              </w:rPr>
            </w:pPr>
            <w:r w:rsidRPr="006A38BC">
              <w:rPr>
                <w:b/>
              </w:rPr>
              <w:t>Lamp Type</w:t>
            </w:r>
          </w:p>
        </w:tc>
        <w:tc>
          <w:tcPr>
            <w:tcW w:w="1440" w:type="dxa"/>
            <w:vAlign w:val="bottom"/>
          </w:tcPr>
          <w:p w:rsidR="001D30F6" w:rsidRPr="006A38BC" w:rsidRDefault="001D30F6" w:rsidP="005F15E9">
            <w:pPr>
              <w:keepNext/>
              <w:spacing w:after="0"/>
              <w:jc w:val="center"/>
              <w:rPr>
                <w:b/>
              </w:rPr>
            </w:pPr>
            <w:r w:rsidRPr="006A38BC">
              <w:rPr>
                <w:b/>
              </w:rPr>
              <w:t>2011</w:t>
            </w:r>
          </w:p>
        </w:tc>
        <w:tc>
          <w:tcPr>
            <w:tcW w:w="1440" w:type="dxa"/>
            <w:vAlign w:val="bottom"/>
          </w:tcPr>
          <w:p w:rsidR="001D30F6" w:rsidRDefault="00B36114" w:rsidP="005F15E9">
            <w:pPr>
              <w:keepNext/>
              <w:spacing w:after="0"/>
              <w:jc w:val="center"/>
              <w:rPr>
                <w:b/>
              </w:rPr>
            </w:pPr>
            <w:r w:rsidRPr="006A38BC">
              <w:rPr>
                <w:b/>
              </w:rPr>
              <w:t>Q</w:t>
            </w:r>
            <w:r>
              <w:rPr>
                <w:b/>
              </w:rPr>
              <w:t xml:space="preserve">4 </w:t>
            </w:r>
            <w:r w:rsidR="001D30F6" w:rsidRPr="006A38BC">
              <w:rPr>
                <w:b/>
              </w:rPr>
              <w:t>2015</w:t>
            </w:r>
            <w:r w:rsidR="001D30F6">
              <w:rPr>
                <w:b/>
              </w:rPr>
              <w:t xml:space="preserve"> –</w:t>
            </w:r>
          </w:p>
          <w:p w:rsidR="001D30F6" w:rsidRPr="006A38BC" w:rsidRDefault="001D30F6" w:rsidP="005F15E9">
            <w:pPr>
              <w:keepNext/>
              <w:spacing w:after="0"/>
              <w:jc w:val="center"/>
              <w:rPr>
                <w:b/>
              </w:rPr>
            </w:pPr>
            <w:r w:rsidRPr="006A38BC">
              <w:rPr>
                <w:b/>
              </w:rPr>
              <w:t>Q3</w:t>
            </w:r>
            <w:r>
              <w:rPr>
                <w:b/>
              </w:rPr>
              <w:t xml:space="preserve"> </w:t>
            </w:r>
            <w:r w:rsidRPr="006A38BC">
              <w:rPr>
                <w:b/>
              </w:rPr>
              <w:t>2016</w:t>
            </w:r>
          </w:p>
        </w:tc>
      </w:tr>
      <w:tr w:rsidR="001D30F6" w:rsidTr="005F15E9">
        <w:trPr>
          <w:jc w:val="center"/>
        </w:trPr>
        <w:tc>
          <w:tcPr>
            <w:tcW w:w="3192" w:type="dxa"/>
          </w:tcPr>
          <w:p w:rsidR="001D30F6" w:rsidRPr="00761F76" w:rsidRDefault="001D30F6" w:rsidP="005F15E9">
            <w:pPr>
              <w:keepNext/>
              <w:spacing w:after="0"/>
            </w:pPr>
            <w:r w:rsidRPr="00761F76">
              <w:t>Lighting Indoor CFL Basic</w:t>
            </w:r>
          </w:p>
        </w:tc>
        <w:tc>
          <w:tcPr>
            <w:tcW w:w="1440" w:type="dxa"/>
            <w:vAlign w:val="center"/>
          </w:tcPr>
          <w:p w:rsidR="001D30F6" w:rsidRPr="00761F76" w:rsidRDefault="001D30F6" w:rsidP="005F15E9">
            <w:pPr>
              <w:keepNext/>
              <w:spacing w:after="0"/>
              <w:jc w:val="right"/>
            </w:pPr>
            <w:r w:rsidRPr="00761F76">
              <w:t xml:space="preserve"> 18,866,437 </w:t>
            </w:r>
          </w:p>
        </w:tc>
        <w:tc>
          <w:tcPr>
            <w:tcW w:w="1440" w:type="dxa"/>
            <w:vAlign w:val="center"/>
          </w:tcPr>
          <w:p w:rsidR="001D30F6" w:rsidRPr="00761F76" w:rsidRDefault="001D30F6" w:rsidP="005F15E9">
            <w:pPr>
              <w:keepNext/>
              <w:spacing w:after="0"/>
              <w:jc w:val="right"/>
            </w:pPr>
            <w:r w:rsidRPr="00761F76">
              <w:t xml:space="preserve"> 728,939 </w:t>
            </w:r>
          </w:p>
        </w:tc>
      </w:tr>
      <w:tr w:rsidR="001D30F6" w:rsidTr="005F15E9">
        <w:trPr>
          <w:jc w:val="center"/>
        </w:trPr>
        <w:tc>
          <w:tcPr>
            <w:tcW w:w="3192" w:type="dxa"/>
          </w:tcPr>
          <w:p w:rsidR="001D30F6" w:rsidRPr="00761F76" w:rsidRDefault="001D30F6" w:rsidP="005F15E9">
            <w:pPr>
              <w:keepNext/>
              <w:spacing w:after="0"/>
            </w:pPr>
            <w:r w:rsidRPr="00761F76">
              <w:t>Lighting Indoor CFL A Lamp</w:t>
            </w:r>
          </w:p>
        </w:tc>
        <w:tc>
          <w:tcPr>
            <w:tcW w:w="1440" w:type="dxa"/>
            <w:vAlign w:val="center"/>
          </w:tcPr>
          <w:p w:rsidR="001D30F6" w:rsidRPr="00761F76" w:rsidRDefault="001D30F6" w:rsidP="005F15E9">
            <w:pPr>
              <w:keepNext/>
              <w:spacing w:after="0"/>
              <w:jc w:val="right"/>
            </w:pPr>
            <w:r w:rsidRPr="00761F76">
              <w:t xml:space="preserve"> 1,721,009 </w:t>
            </w:r>
          </w:p>
        </w:tc>
        <w:tc>
          <w:tcPr>
            <w:tcW w:w="1440" w:type="dxa"/>
            <w:vAlign w:val="center"/>
          </w:tcPr>
          <w:p w:rsidR="001D30F6" w:rsidRPr="00761F76" w:rsidRDefault="001D30F6" w:rsidP="005F15E9">
            <w:pPr>
              <w:keepNext/>
              <w:spacing w:after="0"/>
              <w:jc w:val="right"/>
            </w:pPr>
            <w:r w:rsidRPr="00761F76">
              <w:t xml:space="preserve"> 1,721,080 </w:t>
            </w:r>
          </w:p>
        </w:tc>
      </w:tr>
      <w:tr w:rsidR="001D30F6" w:rsidTr="005F15E9">
        <w:trPr>
          <w:jc w:val="center"/>
        </w:trPr>
        <w:tc>
          <w:tcPr>
            <w:tcW w:w="3192" w:type="dxa"/>
          </w:tcPr>
          <w:p w:rsidR="001D30F6" w:rsidRPr="00761F76" w:rsidRDefault="001D30F6" w:rsidP="005F15E9">
            <w:pPr>
              <w:keepNext/>
              <w:spacing w:after="0"/>
            </w:pPr>
            <w:r w:rsidRPr="00761F76">
              <w:t>Lighting Indoor CFL &gt; 30 Watts</w:t>
            </w:r>
          </w:p>
        </w:tc>
        <w:tc>
          <w:tcPr>
            <w:tcW w:w="1440" w:type="dxa"/>
            <w:vAlign w:val="center"/>
          </w:tcPr>
          <w:p w:rsidR="001D30F6" w:rsidRPr="00761F76" w:rsidRDefault="001D30F6" w:rsidP="005F15E9">
            <w:pPr>
              <w:keepNext/>
              <w:spacing w:after="0"/>
              <w:jc w:val="right"/>
            </w:pPr>
            <w:r w:rsidRPr="00761F76">
              <w:t xml:space="preserve"> 351,062 </w:t>
            </w:r>
          </w:p>
        </w:tc>
        <w:tc>
          <w:tcPr>
            <w:tcW w:w="1440" w:type="dxa"/>
            <w:vAlign w:val="center"/>
          </w:tcPr>
          <w:p w:rsidR="001D30F6" w:rsidRPr="00761F76" w:rsidRDefault="001D30F6" w:rsidP="005F15E9">
            <w:pPr>
              <w:keepNext/>
              <w:spacing w:after="0"/>
              <w:jc w:val="right"/>
            </w:pPr>
            <w:r w:rsidRPr="00761F76">
              <w:t xml:space="preserve"> 3,303,935 </w:t>
            </w:r>
          </w:p>
        </w:tc>
      </w:tr>
      <w:tr w:rsidR="001D30F6" w:rsidTr="005F15E9">
        <w:trPr>
          <w:jc w:val="center"/>
        </w:trPr>
        <w:tc>
          <w:tcPr>
            <w:tcW w:w="3192" w:type="dxa"/>
          </w:tcPr>
          <w:p w:rsidR="001D30F6" w:rsidRPr="00761F76" w:rsidRDefault="001D30F6" w:rsidP="005F15E9">
            <w:pPr>
              <w:keepNext/>
              <w:spacing w:after="0"/>
            </w:pPr>
            <w:r w:rsidRPr="00761F76">
              <w:t>Lighting Indoor CFL Reflector</w:t>
            </w:r>
          </w:p>
        </w:tc>
        <w:tc>
          <w:tcPr>
            <w:tcW w:w="1440" w:type="dxa"/>
            <w:vAlign w:val="center"/>
          </w:tcPr>
          <w:p w:rsidR="001D30F6" w:rsidRPr="00761F76" w:rsidRDefault="001D30F6" w:rsidP="005F15E9">
            <w:pPr>
              <w:keepNext/>
              <w:spacing w:after="0"/>
              <w:jc w:val="right"/>
            </w:pPr>
            <w:r w:rsidRPr="00761F76">
              <w:t xml:space="preserve"> 4,130,011 </w:t>
            </w:r>
          </w:p>
        </w:tc>
        <w:tc>
          <w:tcPr>
            <w:tcW w:w="1440" w:type="dxa"/>
            <w:vAlign w:val="center"/>
          </w:tcPr>
          <w:p w:rsidR="001D30F6" w:rsidRPr="00761F76" w:rsidRDefault="001D30F6" w:rsidP="005F15E9">
            <w:pPr>
              <w:keepNext/>
              <w:spacing w:after="0"/>
              <w:jc w:val="right"/>
            </w:pPr>
            <w:r w:rsidRPr="00761F76">
              <w:t xml:space="preserve"> 839,373 </w:t>
            </w:r>
          </w:p>
        </w:tc>
      </w:tr>
      <w:tr w:rsidR="001D30F6" w:rsidTr="005F15E9">
        <w:trPr>
          <w:jc w:val="center"/>
        </w:trPr>
        <w:tc>
          <w:tcPr>
            <w:tcW w:w="3192" w:type="dxa"/>
          </w:tcPr>
          <w:p w:rsidR="001D30F6" w:rsidRPr="00761F76" w:rsidRDefault="001D30F6" w:rsidP="005F15E9">
            <w:pPr>
              <w:keepNext/>
              <w:spacing w:after="0"/>
            </w:pPr>
            <w:r w:rsidRPr="00761F76">
              <w:t>Lighting Indoor CFL Globe</w:t>
            </w:r>
          </w:p>
        </w:tc>
        <w:tc>
          <w:tcPr>
            <w:tcW w:w="1440" w:type="dxa"/>
            <w:vAlign w:val="center"/>
          </w:tcPr>
          <w:p w:rsidR="001D30F6" w:rsidRPr="00761F76" w:rsidRDefault="001D30F6" w:rsidP="005F15E9">
            <w:pPr>
              <w:keepNext/>
              <w:spacing w:after="0"/>
              <w:jc w:val="right"/>
            </w:pPr>
            <w:r w:rsidRPr="00761F76">
              <w:t xml:space="preserve"> 628,216 </w:t>
            </w:r>
          </w:p>
        </w:tc>
        <w:tc>
          <w:tcPr>
            <w:tcW w:w="1440" w:type="dxa"/>
            <w:vAlign w:val="center"/>
          </w:tcPr>
          <w:p w:rsidR="001D30F6" w:rsidRPr="00761F76" w:rsidRDefault="001D30F6" w:rsidP="005F15E9">
            <w:pPr>
              <w:keepNext/>
              <w:spacing w:after="0"/>
              <w:jc w:val="right"/>
            </w:pPr>
            <w:r w:rsidRPr="00761F76">
              <w:t xml:space="preserve"> 1,331 </w:t>
            </w:r>
          </w:p>
        </w:tc>
      </w:tr>
      <w:tr w:rsidR="001D30F6" w:rsidTr="005F15E9">
        <w:trPr>
          <w:jc w:val="center"/>
        </w:trPr>
        <w:tc>
          <w:tcPr>
            <w:tcW w:w="3192" w:type="dxa"/>
          </w:tcPr>
          <w:p w:rsidR="001D30F6" w:rsidRPr="00761F76" w:rsidRDefault="001D30F6" w:rsidP="005F15E9">
            <w:pPr>
              <w:keepNext/>
              <w:spacing w:after="0"/>
            </w:pPr>
            <w:r w:rsidRPr="00761F76">
              <w:t>Lighting Indoor CFL Other</w:t>
            </w:r>
          </w:p>
        </w:tc>
        <w:tc>
          <w:tcPr>
            <w:tcW w:w="1440" w:type="dxa"/>
            <w:vAlign w:val="center"/>
          </w:tcPr>
          <w:p w:rsidR="001D30F6" w:rsidRPr="00761F76" w:rsidRDefault="001D30F6" w:rsidP="005F15E9">
            <w:pPr>
              <w:keepNext/>
              <w:spacing w:after="0"/>
              <w:jc w:val="right"/>
            </w:pPr>
            <w:r w:rsidRPr="00761F76">
              <w:t xml:space="preserve"> 112,739 </w:t>
            </w:r>
          </w:p>
        </w:tc>
        <w:tc>
          <w:tcPr>
            <w:tcW w:w="1440" w:type="dxa"/>
            <w:vAlign w:val="center"/>
          </w:tcPr>
          <w:p w:rsidR="001D30F6" w:rsidRPr="00761F76" w:rsidRDefault="001D30F6" w:rsidP="005F15E9">
            <w:pPr>
              <w:keepNext/>
              <w:spacing w:after="0"/>
              <w:jc w:val="right"/>
            </w:pPr>
            <w:r w:rsidRPr="00761F76">
              <w:t xml:space="preserve"> 109 </w:t>
            </w:r>
          </w:p>
        </w:tc>
      </w:tr>
      <w:tr w:rsidR="001D30F6" w:rsidTr="005F15E9">
        <w:trPr>
          <w:jc w:val="center"/>
        </w:trPr>
        <w:tc>
          <w:tcPr>
            <w:tcW w:w="3192" w:type="dxa"/>
          </w:tcPr>
          <w:p w:rsidR="001D30F6" w:rsidRPr="00761F76" w:rsidRDefault="001D30F6" w:rsidP="005F15E9">
            <w:pPr>
              <w:keepNext/>
              <w:spacing w:after="0"/>
            </w:pPr>
            <w:r w:rsidRPr="00761F76">
              <w:t>Lighting Outdoor CFL Basic</w:t>
            </w:r>
          </w:p>
        </w:tc>
        <w:tc>
          <w:tcPr>
            <w:tcW w:w="1440" w:type="dxa"/>
            <w:vAlign w:val="center"/>
          </w:tcPr>
          <w:p w:rsidR="001D30F6" w:rsidRPr="00761F76" w:rsidRDefault="001D30F6" w:rsidP="005F15E9">
            <w:pPr>
              <w:keepNext/>
              <w:spacing w:after="0"/>
              <w:jc w:val="right"/>
            </w:pPr>
            <w:r w:rsidRPr="00761F76">
              <w:t xml:space="preserve"> 5,613 </w:t>
            </w:r>
          </w:p>
        </w:tc>
        <w:tc>
          <w:tcPr>
            <w:tcW w:w="1440" w:type="dxa"/>
            <w:vAlign w:val="center"/>
          </w:tcPr>
          <w:p w:rsidR="001D30F6" w:rsidRPr="00761F76" w:rsidRDefault="001D30F6" w:rsidP="005F15E9">
            <w:pPr>
              <w:keepNext/>
              <w:spacing w:after="0"/>
              <w:jc w:val="right"/>
            </w:pPr>
            <w:r w:rsidRPr="00761F76">
              <w:t xml:space="preserve"> 7,332 </w:t>
            </w:r>
          </w:p>
        </w:tc>
      </w:tr>
      <w:tr w:rsidR="001D30F6" w:rsidTr="005F15E9">
        <w:trPr>
          <w:jc w:val="center"/>
        </w:trPr>
        <w:tc>
          <w:tcPr>
            <w:tcW w:w="3192" w:type="dxa"/>
          </w:tcPr>
          <w:p w:rsidR="001D30F6" w:rsidRPr="00761F76" w:rsidRDefault="001D30F6" w:rsidP="005F15E9">
            <w:pPr>
              <w:keepNext/>
              <w:spacing w:after="0"/>
            </w:pPr>
            <w:r w:rsidRPr="00761F76">
              <w:t>Lighting Outdoor CFL &gt; 30 Watts</w:t>
            </w:r>
          </w:p>
        </w:tc>
        <w:tc>
          <w:tcPr>
            <w:tcW w:w="1440" w:type="dxa"/>
            <w:vAlign w:val="center"/>
          </w:tcPr>
          <w:p w:rsidR="001D30F6" w:rsidRPr="00761F76" w:rsidRDefault="001D30F6" w:rsidP="005F15E9">
            <w:pPr>
              <w:keepNext/>
              <w:spacing w:after="0"/>
              <w:jc w:val="right"/>
            </w:pPr>
            <w:r w:rsidRPr="00761F76">
              <w:t xml:space="preserve"> 53 </w:t>
            </w:r>
          </w:p>
        </w:tc>
        <w:tc>
          <w:tcPr>
            <w:tcW w:w="1440" w:type="dxa"/>
            <w:vAlign w:val="center"/>
          </w:tcPr>
          <w:p w:rsidR="001D30F6" w:rsidRPr="00761F76" w:rsidRDefault="001D30F6" w:rsidP="005F15E9">
            <w:pPr>
              <w:keepNext/>
              <w:spacing w:after="0"/>
              <w:jc w:val="right"/>
            </w:pPr>
            <w:r w:rsidRPr="00761F76">
              <w:t xml:space="preserve"> -   </w:t>
            </w:r>
          </w:p>
        </w:tc>
      </w:tr>
      <w:tr w:rsidR="001D30F6" w:rsidTr="005F15E9">
        <w:trPr>
          <w:jc w:val="center"/>
        </w:trPr>
        <w:tc>
          <w:tcPr>
            <w:tcW w:w="3192" w:type="dxa"/>
          </w:tcPr>
          <w:p w:rsidR="001D30F6" w:rsidRPr="00761F76" w:rsidRDefault="001D30F6" w:rsidP="005F15E9">
            <w:pPr>
              <w:keepNext/>
              <w:spacing w:after="0"/>
            </w:pPr>
            <w:r w:rsidRPr="00761F76">
              <w:t>Lighting Outdoor CFL Reflector</w:t>
            </w:r>
          </w:p>
        </w:tc>
        <w:tc>
          <w:tcPr>
            <w:tcW w:w="1440" w:type="dxa"/>
            <w:vAlign w:val="center"/>
          </w:tcPr>
          <w:p w:rsidR="001D30F6" w:rsidRPr="00761F76" w:rsidRDefault="001D30F6" w:rsidP="005F15E9">
            <w:pPr>
              <w:keepNext/>
              <w:spacing w:after="0"/>
              <w:jc w:val="right"/>
            </w:pPr>
            <w:r w:rsidRPr="00761F76">
              <w:t xml:space="preserve"> 3,286 </w:t>
            </w:r>
          </w:p>
        </w:tc>
        <w:tc>
          <w:tcPr>
            <w:tcW w:w="1440" w:type="dxa"/>
            <w:vAlign w:val="center"/>
          </w:tcPr>
          <w:p w:rsidR="001D30F6" w:rsidRPr="00761F76" w:rsidRDefault="001D30F6" w:rsidP="005F15E9">
            <w:pPr>
              <w:keepNext/>
              <w:spacing w:after="0"/>
              <w:jc w:val="right"/>
            </w:pPr>
            <w:r w:rsidRPr="00761F76">
              <w:t xml:space="preserve"> 18 </w:t>
            </w:r>
          </w:p>
        </w:tc>
      </w:tr>
      <w:tr w:rsidR="001D30F6" w:rsidTr="005F15E9">
        <w:trPr>
          <w:jc w:val="center"/>
        </w:trPr>
        <w:tc>
          <w:tcPr>
            <w:tcW w:w="3192" w:type="dxa"/>
          </w:tcPr>
          <w:p w:rsidR="001D30F6" w:rsidRPr="00761F76" w:rsidRDefault="001D30F6" w:rsidP="005F15E9">
            <w:pPr>
              <w:keepNext/>
              <w:spacing w:after="0"/>
            </w:pPr>
            <w:r w:rsidRPr="00761F76">
              <w:t>Lighting Indoor LED Lamp</w:t>
            </w:r>
          </w:p>
        </w:tc>
        <w:tc>
          <w:tcPr>
            <w:tcW w:w="1440" w:type="dxa"/>
            <w:vAlign w:val="center"/>
          </w:tcPr>
          <w:p w:rsidR="001D30F6" w:rsidRPr="00761F76" w:rsidRDefault="001D30F6" w:rsidP="005F15E9">
            <w:pPr>
              <w:keepNext/>
              <w:spacing w:after="0"/>
              <w:jc w:val="right"/>
            </w:pPr>
            <w:r w:rsidRPr="00761F76">
              <w:t xml:space="preserve"> -   </w:t>
            </w:r>
          </w:p>
        </w:tc>
        <w:tc>
          <w:tcPr>
            <w:tcW w:w="1440" w:type="dxa"/>
            <w:vAlign w:val="center"/>
          </w:tcPr>
          <w:p w:rsidR="001D30F6" w:rsidRPr="00761F76" w:rsidRDefault="001D30F6" w:rsidP="005F15E9">
            <w:pPr>
              <w:keepNext/>
              <w:spacing w:after="0"/>
              <w:jc w:val="right"/>
            </w:pPr>
            <w:r w:rsidRPr="00761F76">
              <w:t xml:space="preserve"> 5,101,923 </w:t>
            </w:r>
          </w:p>
        </w:tc>
      </w:tr>
      <w:tr w:rsidR="001D30F6" w:rsidTr="005F15E9">
        <w:trPr>
          <w:jc w:val="center"/>
        </w:trPr>
        <w:tc>
          <w:tcPr>
            <w:tcW w:w="3192" w:type="dxa"/>
          </w:tcPr>
          <w:p w:rsidR="001D30F6" w:rsidRPr="00761F76" w:rsidRDefault="001D30F6" w:rsidP="005F15E9">
            <w:pPr>
              <w:spacing w:after="0"/>
            </w:pPr>
            <w:r w:rsidRPr="00761F76">
              <w:t>Lighting Indoor LED Reflector Lamp</w:t>
            </w:r>
          </w:p>
        </w:tc>
        <w:tc>
          <w:tcPr>
            <w:tcW w:w="1440" w:type="dxa"/>
            <w:vAlign w:val="center"/>
          </w:tcPr>
          <w:p w:rsidR="001D30F6" w:rsidRPr="00761F76" w:rsidRDefault="001D30F6" w:rsidP="005F15E9">
            <w:pPr>
              <w:spacing w:after="0"/>
              <w:jc w:val="right"/>
            </w:pPr>
            <w:r w:rsidRPr="00761F76">
              <w:t xml:space="preserve"> 15,267 </w:t>
            </w:r>
          </w:p>
        </w:tc>
        <w:tc>
          <w:tcPr>
            <w:tcW w:w="1440" w:type="dxa"/>
            <w:vAlign w:val="center"/>
          </w:tcPr>
          <w:p w:rsidR="001D30F6" w:rsidRDefault="001D30F6" w:rsidP="005F15E9">
            <w:pPr>
              <w:spacing w:after="0"/>
              <w:jc w:val="right"/>
            </w:pPr>
            <w:r w:rsidRPr="00761F76">
              <w:t xml:space="preserve"> 5,423,470 </w:t>
            </w:r>
          </w:p>
        </w:tc>
      </w:tr>
    </w:tbl>
    <w:p w:rsidR="001D30F6" w:rsidRDefault="001D30F6" w:rsidP="001D30F6"/>
    <w:p w:rsidR="004D4B7D" w:rsidRPr="001C2764" w:rsidRDefault="00626680" w:rsidP="007121DC">
      <w:pPr>
        <w:pStyle w:val="Heading2"/>
      </w:pPr>
      <w:bookmarkStart w:id="18" w:name="_Toc475967907"/>
      <w:bookmarkStart w:id="19" w:name="_Toc476066434"/>
      <w:r>
        <w:t>Net-to-Gross Ratios</w:t>
      </w:r>
      <w:bookmarkEnd w:id="18"/>
      <w:bookmarkEnd w:id="19"/>
    </w:p>
    <w:p w:rsidR="008D2446" w:rsidRDefault="008D2446" w:rsidP="00184D53">
      <w:pPr>
        <w:pStyle w:val="Body2"/>
      </w:pPr>
      <w:r>
        <w:t>The 2016 DEER update revised the screw-in lamp gross baseline assumptions to include an efficient lamp case (only CFLs at that time) as part of the standard practice baseline. These updates were applied only to residential CFL measures</w:t>
      </w:r>
      <w:r w:rsidR="002D4B33">
        <w:rPr>
          <w:rStyle w:val="FootnoteReference"/>
        </w:rPr>
        <w:footnoteReference w:id="5"/>
      </w:r>
      <w:r>
        <w:t xml:space="preserve">. The 2016 DEER update to NTG has the effect of lowering the gross savings, raising the NTG value and keeping the total net savings roughly the same. </w:t>
      </w:r>
      <w:r w:rsidR="002D4B33">
        <w:t xml:space="preserve">All evaluations through the 2013-2014 program </w:t>
      </w:r>
      <w:r w:rsidR="001E24C0">
        <w:t>years estimated</w:t>
      </w:r>
      <w:r>
        <w:t xml:space="preserve"> gross savings above the inefficient lamp baseline and included any efficient baseline case as part of the Net-to-Gross analysis. The 2013-2014 upstream lighting evaluation (2013-2014 evaluation)</w:t>
      </w:r>
      <w:r>
        <w:rPr>
          <w:rStyle w:val="FootnoteReference"/>
        </w:rPr>
        <w:footnoteReference w:id="6"/>
      </w:r>
      <w:r>
        <w:t xml:space="preserve"> report included a secondary analysis, developing alternative NTG values for several classes of CFLs and LEDs that considered, in the baseline, some fraction of efficient case lamps as standard practice. Similar to the savings reduction from the 2016 DEER baseline update for residential CFLs,</w:t>
      </w:r>
      <w:r w:rsidR="003D77C9">
        <w:t xml:space="preserve"> and compared to previous evaluations,</w:t>
      </w:r>
      <w:r>
        <w:t xml:space="preserve"> </w:t>
      </w:r>
      <w:r w:rsidR="006734CC">
        <w:t xml:space="preserve">the </w:t>
      </w:r>
      <w:r>
        <w:t>2013-2014 evaluation finding has the effect of</w:t>
      </w:r>
      <w:r w:rsidR="002F71FF">
        <w:t xml:space="preserve"> </w:t>
      </w:r>
      <w:r>
        <w:t xml:space="preserve"> lowering the gross savings, raising the NTG values, and keeping the total net savings roughly the same. </w:t>
      </w:r>
      <w:r>
        <w:fldChar w:fldCharType="begin"/>
      </w:r>
      <w:r>
        <w:instrText xml:space="preserve"> REF _Ref475882376 \h </w:instrText>
      </w:r>
      <w:r>
        <w:fldChar w:fldCharType="separate"/>
      </w:r>
      <w:r w:rsidR="00B25CDA">
        <w:t xml:space="preserve">Table </w:t>
      </w:r>
      <w:r w:rsidR="00B25CDA">
        <w:rPr>
          <w:noProof/>
        </w:rPr>
        <w:t>3</w:t>
      </w:r>
      <w:r>
        <w:fldChar w:fldCharType="end"/>
      </w:r>
      <w:r>
        <w:t xml:space="preserve"> provides a comparison of current DEER values, 2013-2014 </w:t>
      </w:r>
      <w:r w:rsidR="006734CC">
        <w:t>evaluation reported</w:t>
      </w:r>
      <w:r>
        <w:t xml:space="preserve"> NTG values with no efficient lamps in the baseline, and 2013-2014 evaluation values when considering the efficient case as standard practice in the baseline.</w:t>
      </w:r>
    </w:p>
    <w:p w:rsidR="008D2446" w:rsidRDefault="008D2446" w:rsidP="00820BD1">
      <w:pPr>
        <w:pStyle w:val="Caption"/>
        <w:keepNext/>
        <w:spacing w:after="120"/>
        <w:jc w:val="center"/>
      </w:pPr>
      <w:bookmarkStart w:id="20" w:name="_Ref475882376"/>
      <w:r>
        <w:lastRenderedPageBreak/>
        <w:t xml:space="preserve">Table </w:t>
      </w:r>
      <w:fldSimple w:instr=" SEQ Table \* ARABIC ">
        <w:r w:rsidR="00B25CDA">
          <w:rPr>
            <w:noProof/>
          </w:rPr>
          <w:t>3</w:t>
        </w:r>
      </w:fldSimple>
      <w:bookmarkEnd w:id="20"/>
      <w:r>
        <w:t xml:space="preserve"> - Comparison of DEER and Evaluation Net-To-Gross Values</w:t>
      </w:r>
    </w:p>
    <w:tbl>
      <w:tblPr>
        <w:tblStyle w:val="TableGrid"/>
        <w:tblW w:w="7848" w:type="dxa"/>
        <w:jc w:val="center"/>
        <w:tblLook w:val="04A0" w:firstRow="1" w:lastRow="0" w:firstColumn="1" w:lastColumn="0" w:noHBand="0" w:noVBand="1"/>
      </w:tblPr>
      <w:tblGrid>
        <w:gridCol w:w="2988"/>
        <w:gridCol w:w="1530"/>
        <w:gridCol w:w="1710"/>
        <w:gridCol w:w="1620"/>
      </w:tblGrid>
      <w:tr w:rsidR="008D2446" w:rsidRPr="0054186F" w:rsidTr="00AD5CA0">
        <w:trPr>
          <w:jc w:val="center"/>
        </w:trPr>
        <w:tc>
          <w:tcPr>
            <w:tcW w:w="2988" w:type="dxa"/>
            <w:vAlign w:val="bottom"/>
          </w:tcPr>
          <w:p w:rsidR="008D2446" w:rsidRDefault="008D2446" w:rsidP="00AD5CA0">
            <w:pPr>
              <w:keepNext/>
              <w:spacing w:after="0"/>
              <w:jc w:val="center"/>
              <w:rPr>
                <w:b/>
              </w:rPr>
            </w:pPr>
            <w:r w:rsidRPr="0054186F">
              <w:rPr>
                <w:b/>
              </w:rPr>
              <w:t>Lamp Type</w:t>
            </w:r>
          </w:p>
          <w:p w:rsidR="003D77C9" w:rsidRPr="00820BD1" w:rsidRDefault="003D77C9" w:rsidP="00AD5CA0">
            <w:pPr>
              <w:keepNext/>
              <w:spacing w:after="0"/>
              <w:jc w:val="center"/>
            </w:pPr>
            <w:r>
              <w:t>(Note: “MSB” refers to “Medium Screw Base”)</w:t>
            </w:r>
          </w:p>
        </w:tc>
        <w:tc>
          <w:tcPr>
            <w:tcW w:w="1530" w:type="dxa"/>
            <w:vAlign w:val="bottom"/>
          </w:tcPr>
          <w:p w:rsidR="008D2446" w:rsidRPr="0054186F" w:rsidRDefault="008D2446" w:rsidP="00AD5CA0">
            <w:pPr>
              <w:keepNext/>
              <w:spacing w:after="0"/>
              <w:jc w:val="center"/>
              <w:rPr>
                <w:b/>
              </w:rPr>
            </w:pPr>
            <w:r w:rsidRPr="0054186F">
              <w:rPr>
                <w:b/>
              </w:rPr>
              <w:t>DEER NTG</w:t>
            </w:r>
          </w:p>
        </w:tc>
        <w:tc>
          <w:tcPr>
            <w:tcW w:w="1710" w:type="dxa"/>
            <w:vAlign w:val="bottom"/>
          </w:tcPr>
          <w:p w:rsidR="008D2446" w:rsidRPr="0054186F" w:rsidRDefault="008D2446" w:rsidP="00AD5CA0">
            <w:pPr>
              <w:keepNext/>
              <w:spacing w:after="0"/>
              <w:jc w:val="center"/>
              <w:rPr>
                <w:b/>
              </w:rPr>
            </w:pPr>
            <w:r>
              <w:rPr>
                <w:b/>
              </w:rPr>
              <w:t>2013-2014 Evaluation</w:t>
            </w:r>
            <w:r w:rsidRPr="0054186F">
              <w:rPr>
                <w:b/>
              </w:rPr>
              <w:t xml:space="preserve"> NTG (Inefficient Base)</w:t>
            </w:r>
          </w:p>
        </w:tc>
        <w:tc>
          <w:tcPr>
            <w:tcW w:w="1620" w:type="dxa"/>
            <w:vAlign w:val="bottom"/>
          </w:tcPr>
          <w:p w:rsidR="008D2446" w:rsidRPr="0054186F" w:rsidRDefault="008D2446" w:rsidP="00AD5CA0">
            <w:pPr>
              <w:keepNext/>
              <w:spacing w:after="0"/>
              <w:jc w:val="center"/>
              <w:rPr>
                <w:b/>
              </w:rPr>
            </w:pPr>
            <w:r>
              <w:rPr>
                <w:b/>
              </w:rPr>
              <w:t>2013-2014 Evaluation</w:t>
            </w:r>
            <w:r w:rsidRPr="0054186F">
              <w:rPr>
                <w:b/>
              </w:rPr>
              <w:t xml:space="preserve"> NTG (Partial Efficient Base)</w:t>
            </w:r>
          </w:p>
        </w:tc>
      </w:tr>
      <w:tr w:rsidR="008D2446" w:rsidTr="00AD5CA0">
        <w:trPr>
          <w:jc w:val="center"/>
        </w:trPr>
        <w:tc>
          <w:tcPr>
            <w:tcW w:w="2988" w:type="dxa"/>
            <w:vAlign w:val="center"/>
          </w:tcPr>
          <w:p w:rsidR="008D2446" w:rsidRPr="00496374" w:rsidRDefault="008D2446" w:rsidP="00AD5CA0">
            <w:pPr>
              <w:keepNext/>
              <w:spacing w:after="0"/>
            </w:pPr>
            <w:r w:rsidRPr="00496374">
              <w:t xml:space="preserve">MSB CFL basic spiral ≤ 30 W </w:t>
            </w:r>
          </w:p>
        </w:tc>
        <w:tc>
          <w:tcPr>
            <w:tcW w:w="1530" w:type="dxa"/>
            <w:vAlign w:val="center"/>
          </w:tcPr>
          <w:p w:rsidR="008D2446" w:rsidRDefault="008D2446" w:rsidP="00AD5CA0">
            <w:pPr>
              <w:keepNext/>
              <w:spacing w:after="0"/>
              <w:jc w:val="center"/>
            </w:pPr>
            <w:r>
              <w:t>0.90</w:t>
            </w:r>
          </w:p>
        </w:tc>
        <w:tc>
          <w:tcPr>
            <w:tcW w:w="1710" w:type="dxa"/>
            <w:vAlign w:val="center"/>
          </w:tcPr>
          <w:p w:rsidR="008D2446" w:rsidRPr="00072D0A" w:rsidRDefault="008D2446" w:rsidP="00AD5CA0">
            <w:pPr>
              <w:keepNext/>
              <w:spacing w:after="0"/>
              <w:jc w:val="center"/>
            </w:pPr>
            <w:r w:rsidRPr="00072D0A">
              <w:t>0.25</w:t>
            </w:r>
          </w:p>
        </w:tc>
        <w:tc>
          <w:tcPr>
            <w:tcW w:w="1620" w:type="dxa"/>
            <w:vAlign w:val="center"/>
          </w:tcPr>
          <w:p w:rsidR="008D2446" w:rsidRPr="007D314F" w:rsidRDefault="008D2446" w:rsidP="00AD5CA0">
            <w:pPr>
              <w:keepNext/>
              <w:spacing w:after="0"/>
              <w:jc w:val="center"/>
            </w:pPr>
            <w:r w:rsidRPr="007D314F">
              <w:t>0.39</w:t>
            </w:r>
          </w:p>
        </w:tc>
      </w:tr>
      <w:tr w:rsidR="008D2446" w:rsidTr="00AD5CA0">
        <w:trPr>
          <w:jc w:val="center"/>
        </w:trPr>
        <w:tc>
          <w:tcPr>
            <w:tcW w:w="2988" w:type="dxa"/>
            <w:vAlign w:val="center"/>
          </w:tcPr>
          <w:p w:rsidR="008D2446" w:rsidRPr="00496374" w:rsidRDefault="008D2446" w:rsidP="00AD5CA0">
            <w:pPr>
              <w:keepNext/>
              <w:spacing w:after="0"/>
            </w:pPr>
            <w:r w:rsidRPr="00496374">
              <w:t xml:space="preserve">MSB CFL A-lamp ≤ 30 W </w:t>
            </w:r>
          </w:p>
        </w:tc>
        <w:tc>
          <w:tcPr>
            <w:tcW w:w="1530" w:type="dxa"/>
            <w:vAlign w:val="center"/>
          </w:tcPr>
          <w:p w:rsidR="008D2446" w:rsidRDefault="008D2446" w:rsidP="00AD5CA0">
            <w:pPr>
              <w:keepNext/>
              <w:spacing w:after="0"/>
              <w:jc w:val="center"/>
            </w:pPr>
            <w:r>
              <w:t>0.90</w:t>
            </w:r>
          </w:p>
        </w:tc>
        <w:tc>
          <w:tcPr>
            <w:tcW w:w="1710" w:type="dxa"/>
            <w:vAlign w:val="center"/>
          </w:tcPr>
          <w:p w:rsidR="008D2446" w:rsidRPr="00072D0A" w:rsidRDefault="008D2446" w:rsidP="00AD5CA0">
            <w:pPr>
              <w:keepNext/>
              <w:spacing w:after="0"/>
              <w:jc w:val="center"/>
            </w:pPr>
            <w:r w:rsidRPr="00072D0A">
              <w:t>0.64</w:t>
            </w:r>
          </w:p>
        </w:tc>
        <w:tc>
          <w:tcPr>
            <w:tcW w:w="1620" w:type="dxa"/>
            <w:vAlign w:val="center"/>
          </w:tcPr>
          <w:p w:rsidR="008D2446" w:rsidRPr="007D314F" w:rsidRDefault="008D2446" w:rsidP="00AD5CA0">
            <w:pPr>
              <w:keepNext/>
              <w:spacing w:after="0"/>
              <w:jc w:val="center"/>
            </w:pPr>
            <w:r w:rsidRPr="007D314F">
              <w:t>1.01</w:t>
            </w:r>
          </w:p>
        </w:tc>
      </w:tr>
      <w:tr w:rsidR="008D2446" w:rsidTr="00AD5CA0">
        <w:trPr>
          <w:jc w:val="center"/>
        </w:trPr>
        <w:tc>
          <w:tcPr>
            <w:tcW w:w="2988" w:type="dxa"/>
            <w:vAlign w:val="center"/>
          </w:tcPr>
          <w:p w:rsidR="008D2446" w:rsidRPr="00496374" w:rsidRDefault="008D2446" w:rsidP="00AD5CA0">
            <w:pPr>
              <w:keepNext/>
              <w:spacing w:after="0"/>
            </w:pPr>
            <w:r w:rsidRPr="00496374">
              <w:t xml:space="preserve">MSB CFL reflector ≤ 30 W </w:t>
            </w:r>
          </w:p>
        </w:tc>
        <w:tc>
          <w:tcPr>
            <w:tcW w:w="1530" w:type="dxa"/>
            <w:vAlign w:val="center"/>
          </w:tcPr>
          <w:p w:rsidR="008D2446" w:rsidRDefault="008D2446" w:rsidP="00AD5CA0">
            <w:pPr>
              <w:keepNext/>
              <w:spacing w:after="0"/>
              <w:jc w:val="center"/>
            </w:pPr>
            <w:r>
              <w:t>0.90</w:t>
            </w:r>
          </w:p>
        </w:tc>
        <w:tc>
          <w:tcPr>
            <w:tcW w:w="1710" w:type="dxa"/>
            <w:vAlign w:val="center"/>
          </w:tcPr>
          <w:p w:rsidR="008D2446" w:rsidRPr="00072D0A" w:rsidRDefault="008D2446" w:rsidP="00AD5CA0">
            <w:pPr>
              <w:keepNext/>
              <w:spacing w:after="0"/>
              <w:jc w:val="center"/>
            </w:pPr>
            <w:r w:rsidRPr="00072D0A">
              <w:t>0.25</w:t>
            </w:r>
          </w:p>
        </w:tc>
        <w:tc>
          <w:tcPr>
            <w:tcW w:w="1620" w:type="dxa"/>
            <w:vAlign w:val="center"/>
          </w:tcPr>
          <w:p w:rsidR="008D2446" w:rsidRPr="007D314F" w:rsidRDefault="008D2446" w:rsidP="00AD5CA0">
            <w:pPr>
              <w:keepNext/>
              <w:spacing w:after="0"/>
              <w:jc w:val="center"/>
            </w:pPr>
            <w:r w:rsidRPr="007D314F">
              <w:t>0.37</w:t>
            </w:r>
          </w:p>
        </w:tc>
      </w:tr>
      <w:tr w:rsidR="008D2446" w:rsidTr="00AD5CA0">
        <w:trPr>
          <w:jc w:val="center"/>
        </w:trPr>
        <w:tc>
          <w:tcPr>
            <w:tcW w:w="2988" w:type="dxa"/>
            <w:vAlign w:val="center"/>
          </w:tcPr>
          <w:p w:rsidR="008D2446" w:rsidRPr="00496374" w:rsidRDefault="008D2446" w:rsidP="00AD5CA0">
            <w:pPr>
              <w:keepNext/>
              <w:spacing w:after="0"/>
            </w:pPr>
            <w:r w:rsidRPr="00496374">
              <w:t xml:space="preserve">MSB CFL globe ≤ 30 W </w:t>
            </w:r>
          </w:p>
        </w:tc>
        <w:tc>
          <w:tcPr>
            <w:tcW w:w="1530" w:type="dxa"/>
            <w:vAlign w:val="center"/>
          </w:tcPr>
          <w:p w:rsidR="008D2446" w:rsidRDefault="008D2446" w:rsidP="00AD5CA0">
            <w:pPr>
              <w:keepNext/>
              <w:spacing w:after="0"/>
              <w:jc w:val="center"/>
            </w:pPr>
            <w:r>
              <w:t>0.90</w:t>
            </w:r>
          </w:p>
        </w:tc>
        <w:tc>
          <w:tcPr>
            <w:tcW w:w="1710" w:type="dxa"/>
            <w:vAlign w:val="center"/>
          </w:tcPr>
          <w:p w:rsidR="008D2446" w:rsidRPr="00072D0A" w:rsidRDefault="008D2446" w:rsidP="00AD5CA0">
            <w:pPr>
              <w:keepNext/>
              <w:spacing w:after="0"/>
              <w:jc w:val="center"/>
            </w:pPr>
            <w:r w:rsidRPr="00072D0A">
              <w:t>0.68</w:t>
            </w:r>
          </w:p>
        </w:tc>
        <w:tc>
          <w:tcPr>
            <w:tcW w:w="1620" w:type="dxa"/>
            <w:vAlign w:val="center"/>
          </w:tcPr>
          <w:p w:rsidR="008D2446" w:rsidRPr="007D314F" w:rsidRDefault="008D2446" w:rsidP="00AD5CA0">
            <w:pPr>
              <w:keepNext/>
              <w:spacing w:after="0"/>
              <w:jc w:val="center"/>
            </w:pPr>
            <w:r w:rsidRPr="007D314F">
              <w:t>1.34</w:t>
            </w:r>
          </w:p>
        </w:tc>
      </w:tr>
      <w:tr w:rsidR="008D2446" w:rsidTr="00AD5CA0">
        <w:trPr>
          <w:jc w:val="center"/>
        </w:trPr>
        <w:tc>
          <w:tcPr>
            <w:tcW w:w="2988" w:type="dxa"/>
            <w:vAlign w:val="center"/>
          </w:tcPr>
          <w:p w:rsidR="008D2446" w:rsidRPr="00496374" w:rsidRDefault="008D2446" w:rsidP="00AD5CA0">
            <w:pPr>
              <w:keepNext/>
              <w:spacing w:after="0"/>
            </w:pPr>
            <w:r w:rsidRPr="00496374">
              <w:t xml:space="preserve">MSB CFL high-wattage (&gt; 30 W) </w:t>
            </w:r>
          </w:p>
        </w:tc>
        <w:tc>
          <w:tcPr>
            <w:tcW w:w="1530" w:type="dxa"/>
            <w:vAlign w:val="center"/>
          </w:tcPr>
          <w:p w:rsidR="008D2446" w:rsidRDefault="008D2446" w:rsidP="00AD5CA0">
            <w:pPr>
              <w:keepNext/>
              <w:spacing w:after="0"/>
              <w:jc w:val="center"/>
            </w:pPr>
            <w:r>
              <w:t>0.54</w:t>
            </w:r>
          </w:p>
        </w:tc>
        <w:tc>
          <w:tcPr>
            <w:tcW w:w="1710" w:type="dxa"/>
            <w:vAlign w:val="center"/>
          </w:tcPr>
          <w:p w:rsidR="008D2446" w:rsidRPr="00072D0A" w:rsidRDefault="008D2446" w:rsidP="00AD5CA0">
            <w:pPr>
              <w:keepNext/>
              <w:spacing w:after="0"/>
              <w:jc w:val="center"/>
            </w:pPr>
            <w:r w:rsidRPr="00072D0A">
              <w:t>0.45</w:t>
            </w:r>
          </w:p>
        </w:tc>
        <w:tc>
          <w:tcPr>
            <w:tcW w:w="1620" w:type="dxa"/>
            <w:vAlign w:val="center"/>
          </w:tcPr>
          <w:p w:rsidR="008D2446" w:rsidRPr="007D314F" w:rsidRDefault="008D2446" w:rsidP="00AD5CA0">
            <w:pPr>
              <w:keepNext/>
              <w:spacing w:after="0"/>
              <w:jc w:val="center"/>
            </w:pPr>
            <w:r w:rsidRPr="007D314F">
              <w:t>0.67</w:t>
            </w:r>
          </w:p>
        </w:tc>
      </w:tr>
      <w:tr w:rsidR="008D2446" w:rsidRPr="008D2446" w:rsidTr="00AD5CA0">
        <w:trPr>
          <w:jc w:val="center"/>
        </w:trPr>
        <w:tc>
          <w:tcPr>
            <w:tcW w:w="2988" w:type="dxa"/>
            <w:vAlign w:val="center"/>
          </w:tcPr>
          <w:p w:rsidR="008D2446" w:rsidRPr="008D2446" w:rsidRDefault="008D2446" w:rsidP="00AD5CA0">
            <w:pPr>
              <w:keepNext/>
              <w:spacing w:after="0"/>
              <w:rPr>
                <w:b/>
              </w:rPr>
            </w:pPr>
            <w:r w:rsidRPr="008D2446">
              <w:rPr>
                <w:b/>
              </w:rPr>
              <w:t>All CFL</w:t>
            </w:r>
          </w:p>
        </w:tc>
        <w:tc>
          <w:tcPr>
            <w:tcW w:w="1530" w:type="dxa"/>
            <w:vAlign w:val="center"/>
          </w:tcPr>
          <w:p w:rsidR="008D2446" w:rsidRPr="008D2446" w:rsidRDefault="008D2446" w:rsidP="00AD5CA0">
            <w:pPr>
              <w:keepNext/>
              <w:spacing w:after="0"/>
              <w:jc w:val="center"/>
              <w:rPr>
                <w:b/>
              </w:rPr>
            </w:pPr>
            <w:r w:rsidRPr="008D2446">
              <w:rPr>
                <w:b/>
              </w:rPr>
              <w:t>varies</w:t>
            </w:r>
          </w:p>
        </w:tc>
        <w:tc>
          <w:tcPr>
            <w:tcW w:w="1710" w:type="dxa"/>
            <w:vAlign w:val="center"/>
          </w:tcPr>
          <w:p w:rsidR="008D2446" w:rsidRPr="008D2446" w:rsidRDefault="008D2446" w:rsidP="00AD5CA0">
            <w:pPr>
              <w:keepNext/>
              <w:spacing w:after="0"/>
              <w:jc w:val="center"/>
              <w:rPr>
                <w:b/>
              </w:rPr>
            </w:pPr>
            <w:r w:rsidRPr="008D2446">
              <w:rPr>
                <w:b/>
              </w:rPr>
              <w:t>0.40</w:t>
            </w:r>
          </w:p>
        </w:tc>
        <w:tc>
          <w:tcPr>
            <w:tcW w:w="1620" w:type="dxa"/>
            <w:vAlign w:val="center"/>
          </w:tcPr>
          <w:p w:rsidR="008D2446" w:rsidRPr="008D2446" w:rsidRDefault="008D2446" w:rsidP="00AD5CA0">
            <w:pPr>
              <w:keepNext/>
              <w:spacing w:after="0"/>
              <w:jc w:val="center"/>
              <w:rPr>
                <w:b/>
              </w:rPr>
            </w:pPr>
            <w:r w:rsidRPr="008D2446">
              <w:rPr>
                <w:b/>
              </w:rPr>
              <w:t>0.65</w:t>
            </w:r>
          </w:p>
        </w:tc>
      </w:tr>
      <w:tr w:rsidR="008D2446" w:rsidTr="00AD5CA0">
        <w:trPr>
          <w:jc w:val="center"/>
        </w:trPr>
        <w:tc>
          <w:tcPr>
            <w:tcW w:w="2988" w:type="dxa"/>
            <w:vAlign w:val="center"/>
          </w:tcPr>
          <w:p w:rsidR="008D2446" w:rsidRPr="00496374" w:rsidRDefault="008D2446" w:rsidP="00AD5CA0">
            <w:pPr>
              <w:keepNext/>
              <w:spacing w:after="0"/>
            </w:pPr>
            <w:r w:rsidRPr="00496374">
              <w:t xml:space="preserve">LED A-lamp, all wattages </w:t>
            </w:r>
          </w:p>
        </w:tc>
        <w:tc>
          <w:tcPr>
            <w:tcW w:w="1530" w:type="dxa"/>
            <w:vMerge w:val="restart"/>
            <w:vAlign w:val="center"/>
          </w:tcPr>
          <w:p w:rsidR="008D2446" w:rsidRDefault="008D2446" w:rsidP="00AD5CA0">
            <w:pPr>
              <w:keepNext/>
              <w:spacing w:after="0"/>
              <w:jc w:val="center"/>
            </w:pPr>
            <w:r>
              <w:t>Com: 0.60</w:t>
            </w:r>
          </w:p>
          <w:p w:rsidR="008D2446" w:rsidRDefault="008D2446" w:rsidP="00AD5CA0">
            <w:pPr>
              <w:keepNext/>
              <w:spacing w:after="0"/>
              <w:jc w:val="center"/>
            </w:pPr>
            <w:r>
              <w:t>Res: 0.55</w:t>
            </w:r>
          </w:p>
        </w:tc>
        <w:tc>
          <w:tcPr>
            <w:tcW w:w="1710" w:type="dxa"/>
            <w:vAlign w:val="center"/>
          </w:tcPr>
          <w:p w:rsidR="008D2446" w:rsidRPr="00072D0A" w:rsidRDefault="008D2446" w:rsidP="00AD5CA0">
            <w:pPr>
              <w:keepNext/>
              <w:spacing w:after="0"/>
              <w:jc w:val="center"/>
            </w:pPr>
            <w:r w:rsidRPr="00072D0A">
              <w:t>0.39</w:t>
            </w:r>
          </w:p>
        </w:tc>
        <w:tc>
          <w:tcPr>
            <w:tcW w:w="1620" w:type="dxa"/>
            <w:vAlign w:val="center"/>
          </w:tcPr>
          <w:p w:rsidR="008D2446" w:rsidRPr="007D314F" w:rsidRDefault="008D2446" w:rsidP="00AD5CA0">
            <w:pPr>
              <w:keepNext/>
              <w:spacing w:after="0"/>
              <w:jc w:val="center"/>
            </w:pPr>
            <w:r w:rsidRPr="007D314F">
              <w:t>0.33</w:t>
            </w:r>
          </w:p>
        </w:tc>
      </w:tr>
      <w:tr w:rsidR="008D2446" w:rsidTr="00AD5CA0">
        <w:trPr>
          <w:jc w:val="center"/>
        </w:trPr>
        <w:tc>
          <w:tcPr>
            <w:tcW w:w="2988" w:type="dxa"/>
            <w:vAlign w:val="center"/>
          </w:tcPr>
          <w:p w:rsidR="008D2446" w:rsidRDefault="008D2446" w:rsidP="00AD5CA0">
            <w:pPr>
              <w:spacing w:after="0"/>
            </w:pPr>
            <w:r w:rsidRPr="00496374">
              <w:t xml:space="preserve">LED reflector, all wattages </w:t>
            </w:r>
          </w:p>
        </w:tc>
        <w:tc>
          <w:tcPr>
            <w:tcW w:w="1530" w:type="dxa"/>
            <w:vMerge/>
            <w:vAlign w:val="center"/>
          </w:tcPr>
          <w:p w:rsidR="008D2446" w:rsidRDefault="008D2446" w:rsidP="00AD5CA0">
            <w:pPr>
              <w:spacing w:after="0"/>
              <w:jc w:val="center"/>
            </w:pPr>
          </w:p>
        </w:tc>
        <w:tc>
          <w:tcPr>
            <w:tcW w:w="1710" w:type="dxa"/>
            <w:vAlign w:val="center"/>
          </w:tcPr>
          <w:p w:rsidR="008D2446" w:rsidRDefault="008D2446" w:rsidP="00AD5CA0">
            <w:pPr>
              <w:spacing w:after="0"/>
              <w:jc w:val="center"/>
            </w:pPr>
            <w:r w:rsidRPr="00072D0A">
              <w:t>0.27</w:t>
            </w:r>
          </w:p>
        </w:tc>
        <w:tc>
          <w:tcPr>
            <w:tcW w:w="1620" w:type="dxa"/>
            <w:vAlign w:val="center"/>
          </w:tcPr>
          <w:p w:rsidR="008D2446" w:rsidRDefault="008D2446" w:rsidP="00AD5CA0">
            <w:pPr>
              <w:spacing w:after="0"/>
              <w:jc w:val="center"/>
            </w:pPr>
            <w:r w:rsidRPr="007D314F">
              <w:t>0.31</w:t>
            </w:r>
          </w:p>
        </w:tc>
      </w:tr>
      <w:tr w:rsidR="008D2446" w:rsidTr="00AD5CA0">
        <w:trPr>
          <w:jc w:val="center"/>
        </w:trPr>
        <w:tc>
          <w:tcPr>
            <w:tcW w:w="2988" w:type="dxa"/>
            <w:vAlign w:val="center"/>
          </w:tcPr>
          <w:p w:rsidR="008D2446" w:rsidRPr="008D2446" w:rsidRDefault="008D2446" w:rsidP="00AD5CA0">
            <w:pPr>
              <w:spacing w:after="0"/>
              <w:rPr>
                <w:b/>
              </w:rPr>
            </w:pPr>
            <w:r w:rsidRPr="008D2446">
              <w:rPr>
                <w:b/>
              </w:rPr>
              <w:t>All LED</w:t>
            </w:r>
          </w:p>
        </w:tc>
        <w:tc>
          <w:tcPr>
            <w:tcW w:w="1530" w:type="dxa"/>
            <w:vMerge/>
            <w:vAlign w:val="center"/>
          </w:tcPr>
          <w:p w:rsidR="008D2446" w:rsidRDefault="008D2446" w:rsidP="00AD5CA0">
            <w:pPr>
              <w:spacing w:after="0"/>
              <w:jc w:val="center"/>
            </w:pPr>
          </w:p>
        </w:tc>
        <w:tc>
          <w:tcPr>
            <w:tcW w:w="1710" w:type="dxa"/>
            <w:vAlign w:val="center"/>
          </w:tcPr>
          <w:p w:rsidR="008D2446" w:rsidRPr="008D2446" w:rsidRDefault="008D2446" w:rsidP="00AD5CA0">
            <w:pPr>
              <w:spacing w:after="0"/>
              <w:jc w:val="center"/>
              <w:rPr>
                <w:b/>
              </w:rPr>
            </w:pPr>
            <w:r w:rsidRPr="008D2446">
              <w:rPr>
                <w:b/>
              </w:rPr>
              <w:t>0.30</w:t>
            </w:r>
          </w:p>
        </w:tc>
        <w:tc>
          <w:tcPr>
            <w:tcW w:w="1620" w:type="dxa"/>
            <w:vAlign w:val="center"/>
          </w:tcPr>
          <w:p w:rsidR="008D2446" w:rsidRPr="008D2446" w:rsidRDefault="008D2446" w:rsidP="00AD5CA0">
            <w:pPr>
              <w:spacing w:after="0"/>
              <w:jc w:val="center"/>
              <w:rPr>
                <w:b/>
              </w:rPr>
            </w:pPr>
            <w:r w:rsidRPr="008D2446">
              <w:rPr>
                <w:b/>
              </w:rPr>
              <w:t>0.96</w:t>
            </w:r>
          </w:p>
        </w:tc>
      </w:tr>
    </w:tbl>
    <w:p w:rsidR="00B26946" w:rsidRDefault="00B26946" w:rsidP="00184D53">
      <w:pPr>
        <w:pStyle w:val="Body2"/>
      </w:pPr>
    </w:p>
    <w:p w:rsidR="003B1395" w:rsidRDefault="003B1395" w:rsidP="00184D53">
      <w:pPr>
        <w:pStyle w:val="Body2"/>
      </w:pPr>
      <w:r>
        <w:fldChar w:fldCharType="begin"/>
      </w:r>
      <w:r>
        <w:instrText xml:space="preserve"> REF _Ref475882376 \h </w:instrText>
      </w:r>
      <w:r>
        <w:fldChar w:fldCharType="separate"/>
      </w:r>
      <w:r w:rsidR="00B25CDA">
        <w:t xml:space="preserve">Table </w:t>
      </w:r>
      <w:r w:rsidR="00B25CDA">
        <w:rPr>
          <w:noProof/>
        </w:rPr>
        <w:t>3</w:t>
      </w:r>
      <w:r>
        <w:fldChar w:fldCharType="end"/>
      </w:r>
      <w:r>
        <w:t xml:space="preserve"> shows that the NTG for all CFLs </w:t>
      </w:r>
      <w:r w:rsidR="007960F6">
        <w:t xml:space="preserve">of 0.40 </w:t>
      </w:r>
      <w:r>
        <w:t>reported in the 2013-2014 evaluation, assuming the inefficient baseline</w:t>
      </w:r>
      <w:r w:rsidR="007960F6">
        <w:t xml:space="preserve">.  This NTG </w:t>
      </w:r>
      <w:r>
        <w:t>is much lower than the DEER 20</w:t>
      </w:r>
      <w:r w:rsidR="003D77C9">
        <w:t>11</w:t>
      </w:r>
      <w:r>
        <w:t xml:space="preserve"> value, which was 0.54</w:t>
      </w:r>
      <w:r w:rsidR="00232AF7">
        <w:rPr>
          <w:rStyle w:val="FootnoteReference"/>
        </w:rPr>
        <w:footnoteReference w:id="7"/>
      </w:r>
      <w:r>
        <w:t>, indicating an even larger number of CFLs should be included in the gross baseline as a matter of standard practice.</w:t>
      </w:r>
      <w:r w:rsidR="00F11C2D">
        <w:t xml:space="preserve"> </w:t>
      </w:r>
      <w:r w:rsidR="00F11C2D">
        <w:fldChar w:fldCharType="begin"/>
      </w:r>
      <w:r w:rsidR="00F11C2D">
        <w:instrText xml:space="preserve"> REF _Ref475956773 \h </w:instrText>
      </w:r>
      <w:r w:rsidR="00F11C2D">
        <w:fldChar w:fldCharType="separate"/>
      </w:r>
      <w:r w:rsidR="00B25CDA">
        <w:t xml:space="preserve">Table </w:t>
      </w:r>
      <w:r w:rsidR="00B25CDA">
        <w:rPr>
          <w:noProof/>
        </w:rPr>
        <w:t>4</w:t>
      </w:r>
      <w:r w:rsidR="00F11C2D">
        <w:fldChar w:fldCharType="end"/>
      </w:r>
      <w:r w:rsidR="00F11C2D">
        <w:t xml:space="preserve"> provides adjusted NTG values, with and without consideration for market effects (spillover)</w:t>
      </w:r>
      <w:r w:rsidR="005B30E1">
        <w:t xml:space="preserve"> that are currently directed to be applied to the entire portfolio</w:t>
      </w:r>
      <w:r w:rsidR="00F87D33">
        <w:t xml:space="preserve">. </w:t>
      </w:r>
      <w:r w:rsidR="005B30E1">
        <w:t>If the default portfolio level market effects are utilized</w:t>
      </w:r>
      <w:r w:rsidR="001E24C0">
        <w:t>, the</w:t>
      </w:r>
      <w:r w:rsidR="005B30E1">
        <w:t xml:space="preserve"> NTG values without market effects </w:t>
      </w:r>
      <w:r w:rsidR="001E24C0">
        <w:t>shall be</w:t>
      </w:r>
      <w:r w:rsidR="005B30E1">
        <w:t xml:space="preserve"> utilized in ex ante claims. </w:t>
      </w:r>
      <w:r w:rsidR="00F87D33">
        <w:t xml:space="preserve">The overall NTG values for all CFLs and all LEDs are taken from the 2013-2014 evaluation report, also shown in </w:t>
      </w:r>
      <w:r w:rsidR="00F87D33">
        <w:fldChar w:fldCharType="begin"/>
      </w:r>
      <w:r w:rsidR="00F87D33">
        <w:instrText xml:space="preserve"> REF _Ref475882376 \h </w:instrText>
      </w:r>
      <w:r w:rsidR="00F87D33">
        <w:fldChar w:fldCharType="separate"/>
      </w:r>
      <w:r w:rsidR="00B25CDA">
        <w:t xml:space="preserve">Table </w:t>
      </w:r>
      <w:r w:rsidR="00B25CDA">
        <w:rPr>
          <w:noProof/>
        </w:rPr>
        <w:t>3</w:t>
      </w:r>
      <w:r w:rsidR="00F87D33">
        <w:fldChar w:fldCharType="end"/>
      </w:r>
      <w:r w:rsidR="00F87D33">
        <w:t xml:space="preserve">. Adjusted NTG values for CFLs have been calculated assuming 50% CFLs in the gross baseline while LED the LED adjusted NTG values is taken directly from the 2013-2014 evaluation report. </w:t>
      </w:r>
    </w:p>
    <w:p w:rsidR="00F11C2D" w:rsidRDefault="00F11C2D" w:rsidP="00820BD1">
      <w:pPr>
        <w:pStyle w:val="Caption"/>
        <w:keepNext/>
        <w:spacing w:after="120"/>
        <w:jc w:val="center"/>
      </w:pPr>
      <w:bookmarkStart w:id="21" w:name="_Ref475956773"/>
      <w:r>
        <w:lastRenderedPageBreak/>
        <w:t xml:space="preserve">Table </w:t>
      </w:r>
      <w:fldSimple w:instr=" SEQ Table \* ARABIC ">
        <w:r w:rsidR="00B25CDA">
          <w:rPr>
            <w:noProof/>
          </w:rPr>
          <w:t>4</w:t>
        </w:r>
      </w:fldSimple>
      <w:bookmarkEnd w:id="21"/>
      <w:r>
        <w:t xml:space="preserve"> - Adjusted Net-To-Gross </w:t>
      </w:r>
      <w:r w:rsidR="0031210A">
        <w:t>With Consideration of</w:t>
      </w:r>
      <w:r>
        <w:t xml:space="preserve"> CFLs in Baseline</w:t>
      </w:r>
    </w:p>
    <w:tbl>
      <w:tblPr>
        <w:tblStyle w:val="TableGrid"/>
        <w:tblW w:w="10008" w:type="dxa"/>
        <w:tblLayout w:type="fixed"/>
        <w:tblLook w:val="04A0" w:firstRow="1" w:lastRow="0" w:firstColumn="1" w:lastColumn="0" w:noHBand="0" w:noVBand="1"/>
      </w:tblPr>
      <w:tblGrid>
        <w:gridCol w:w="1458"/>
        <w:gridCol w:w="1027"/>
        <w:gridCol w:w="953"/>
        <w:gridCol w:w="792"/>
        <w:gridCol w:w="792"/>
        <w:gridCol w:w="792"/>
        <w:gridCol w:w="864"/>
        <w:gridCol w:w="792"/>
        <w:gridCol w:w="792"/>
        <w:gridCol w:w="846"/>
        <w:gridCol w:w="900"/>
      </w:tblGrid>
      <w:tr w:rsidR="003B1395" w:rsidRPr="003B1395" w:rsidTr="003B1395">
        <w:tc>
          <w:tcPr>
            <w:tcW w:w="1458" w:type="dxa"/>
            <w:vAlign w:val="bottom"/>
          </w:tcPr>
          <w:p w:rsidR="003B1395" w:rsidRPr="003B1395" w:rsidRDefault="003B1395" w:rsidP="00F11C2D">
            <w:pPr>
              <w:keepNext/>
              <w:spacing w:after="0"/>
              <w:jc w:val="center"/>
              <w:rPr>
                <w:b/>
                <w:sz w:val="18"/>
                <w:szCs w:val="18"/>
              </w:rPr>
            </w:pPr>
            <w:r w:rsidRPr="003B1395">
              <w:rPr>
                <w:b/>
                <w:sz w:val="18"/>
                <w:szCs w:val="18"/>
              </w:rPr>
              <w:t>CFL Type</w:t>
            </w:r>
          </w:p>
        </w:tc>
        <w:tc>
          <w:tcPr>
            <w:tcW w:w="1027" w:type="dxa"/>
            <w:vAlign w:val="bottom"/>
          </w:tcPr>
          <w:p w:rsidR="003B1395" w:rsidRPr="003B1395" w:rsidRDefault="003B1395" w:rsidP="00F11C2D">
            <w:pPr>
              <w:keepNext/>
              <w:spacing w:after="0"/>
              <w:jc w:val="center"/>
              <w:rPr>
                <w:b/>
                <w:sz w:val="18"/>
                <w:szCs w:val="18"/>
              </w:rPr>
            </w:pPr>
            <w:r w:rsidRPr="003B1395">
              <w:rPr>
                <w:b/>
                <w:sz w:val="18"/>
                <w:szCs w:val="18"/>
              </w:rPr>
              <w:t>2013-2014 NTG (no CFLs in baseline)</w:t>
            </w:r>
          </w:p>
        </w:tc>
        <w:tc>
          <w:tcPr>
            <w:tcW w:w="953" w:type="dxa"/>
            <w:vAlign w:val="bottom"/>
          </w:tcPr>
          <w:p w:rsidR="003B1395" w:rsidRPr="003B1395" w:rsidRDefault="003B1395" w:rsidP="00F11C2D">
            <w:pPr>
              <w:keepNext/>
              <w:spacing w:after="0"/>
              <w:jc w:val="center"/>
              <w:rPr>
                <w:b/>
                <w:sz w:val="18"/>
                <w:szCs w:val="18"/>
              </w:rPr>
            </w:pPr>
            <w:r w:rsidRPr="003B1395">
              <w:rPr>
                <w:b/>
                <w:sz w:val="18"/>
                <w:szCs w:val="18"/>
              </w:rPr>
              <w:t>DEER 2011 Measure Watts</w:t>
            </w:r>
          </w:p>
        </w:tc>
        <w:tc>
          <w:tcPr>
            <w:tcW w:w="792" w:type="dxa"/>
            <w:vAlign w:val="bottom"/>
          </w:tcPr>
          <w:p w:rsidR="003B1395" w:rsidRPr="003B1395" w:rsidRDefault="003B1395" w:rsidP="00F11C2D">
            <w:pPr>
              <w:keepNext/>
              <w:spacing w:after="0"/>
              <w:jc w:val="center"/>
              <w:rPr>
                <w:b/>
                <w:sz w:val="18"/>
                <w:szCs w:val="18"/>
              </w:rPr>
            </w:pPr>
            <w:r w:rsidRPr="003B1395">
              <w:rPr>
                <w:b/>
                <w:sz w:val="18"/>
                <w:szCs w:val="18"/>
              </w:rPr>
              <w:t>DEER 2011 Base Watts</w:t>
            </w:r>
          </w:p>
        </w:tc>
        <w:tc>
          <w:tcPr>
            <w:tcW w:w="792" w:type="dxa"/>
            <w:vAlign w:val="bottom"/>
          </w:tcPr>
          <w:p w:rsidR="003B1395" w:rsidRPr="003B1395" w:rsidRDefault="003B1395" w:rsidP="00F11C2D">
            <w:pPr>
              <w:keepNext/>
              <w:spacing w:after="0"/>
              <w:jc w:val="center"/>
              <w:rPr>
                <w:b/>
                <w:sz w:val="18"/>
                <w:szCs w:val="18"/>
              </w:rPr>
            </w:pPr>
            <w:r w:rsidRPr="003B1395">
              <w:rPr>
                <w:b/>
                <w:sz w:val="18"/>
                <w:szCs w:val="18"/>
              </w:rPr>
              <w:t>DEER 2011  WRR</w:t>
            </w:r>
          </w:p>
        </w:tc>
        <w:tc>
          <w:tcPr>
            <w:tcW w:w="792" w:type="dxa"/>
            <w:vAlign w:val="bottom"/>
          </w:tcPr>
          <w:p w:rsidR="003B1395" w:rsidRPr="003B1395" w:rsidRDefault="003B1395" w:rsidP="00F11C2D">
            <w:pPr>
              <w:keepNext/>
              <w:spacing w:after="0"/>
              <w:jc w:val="center"/>
              <w:rPr>
                <w:b/>
                <w:sz w:val="18"/>
                <w:szCs w:val="18"/>
              </w:rPr>
            </w:pPr>
            <w:r w:rsidRPr="003B1395">
              <w:rPr>
                <w:b/>
                <w:sz w:val="18"/>
                <w:szCs w:val="18"/>
              </w:rPr>
              <w:t>Frac-tion CFL</w:t>
            </w:r>
          </w:p>
        </w:tc>
        <w:tc>
          <w:tcPr>
            <w:tcW w:w="864" w:type="dxa"/>
            <w:vAlign w:val="bottom"/>
          </w:tcPr>
          <w:p w:rsidR="003B1395" w:rsidRPr="003B1395" w:rsidRDefault="003B1395" w:rsidP="00F11C2D">
            <w:pPr>
              <w:keepNext/>
              <w:spacing w:after="0"/>
              <w:jc w:val="center"/>
              <w:rPr>
                <w:b/>
                <w:sz w:val="18"/>
                <w:szCs w:val="18"/>
              </w:rPr>
            </w:pPr>
            <w:r w:rsidRPr="003B1395">
              <w:rPr>
                <w:b/>
                <w:sz w:val="18"/>
                <w:szCs w:val="18"/>
              </w:rPr>
              <w:t>Revised Base-</w:t>
            </w:r>
          </w:p>
          <w:p w:rsidR="003B1395" w:rsidRPr="003B1395" w:rsidRDefault="003B1395" w:rsidP="00F11C2D">
            <w:pPr>
              <w:keepNext/>
              <w:spacing w:after="0"/>
              <w:jc w:val="center"/>
              <w:rPr>
                <w:b/>
                <w:sz w:val="18"/>
                <w:szCs w:val="18"/>
              </w:rPr>
            </w:pPr>
            <w:r w:rsidRPr="003B1395">
              <w:rPr>
                <w:b/>
                <w:sz w:val="18"/>
                <w:szCs w:val="18"/>
              </w:rPr>
              <w:t>line w/CFL</w:t>
            </w:r>
          </w:p>
        </w:tc>
        <w:tc>
          <w:tcPr>
            <w:tcW w:w="792" w:type="dxa"/>
            <w:vAlign w:val="bottom"/>
          </w:tcPr>
          <w:p w:rsidR="003B1395" w:rsidRPr="003B1395" w:rsidRDefault="003B1395" w:rsidP="00F11C2D">
            <w:pPr>
              <w:keepNext/>
              <w:spacing w:after="0"/>
              <w:jc w:val="center"/>
              <w:rPr>
                <w:b/>
                <w:sz w:val="18"/>
                <w:szCs w:val="18"/>
              </w:rPr>
            </w:pPr>
            <w:r w:rsidRPr="003B1395">
              <w:rPr>
                <w:b/>
                <w:sz w:val="18"/>
                <w:szCs w:val="18"/>
              </w:rPr>
              <w:t>WRR CFL Base-line</w:t>
            </w:r>
          </w:p>
        </w:tc>
        <w:tc>
          <w:tcPr>
            <w:tcW w:w="792" w:type="dxa"/>
            <w:vAlign w:val="bottom"/>
          </w:tcPr>
          <w:p w:rsidR="003B1395" w:rsidRPr="003B1395" w:rsidRDefault="003B1395" w:rsidP="00F11C2D">
            <w:pPr>
              <w:keepNext/>
              <w:spacing w:after="0"/>
              <w:jc w:val="center"/>
              <w:rPr>
                <w:b/>
                <w:sz w:val="18"/>
                <w:szCs w:val="18"/>
              </w:rPr>
            </w:pPr>
            <w:r w:rsidRPr="003B1395">
              <w:rPr>
                <w:b/>
                <w:sz w:val="18"/>
                <w:szCs w:val="18"/>
              </w:rPr>
              <w:t>Gross Savings Reduc-tion</w:t>
            </w:r>
          </w:p>
        </w:tc>
        <w:tc>
          <w:tcPr>
            <w:tcW w:w="846" w:type="dxa"/>
            <w:vAlign w:val="bottom"/>
          </w:tcPr>
          <w:p w:rsidR="003B1395" w:rsidRPr="003B1395" w:rsidRDefault="003B1395" w:rsidP="00F11C2D">
            <w:pPr>
              <w:keepNext/>
              <w:spacing w:after="0"/>
              <w:jc w:val="center"/>
              <w:rPr>
                <w:b/>
                <w:sz w:val="18"/>
                <w:szCs w:val="18"/>
              </w:rPr>
            </w:pPr>
            <w:r w:rsidRPr="003B1395">
              <w:rPr>
                <w:b/>
                <w:sz w:val="18"/>
                <w:szCs w:val="18"/>
              </w:rPr>
              <w:t>Revised NTG</w:t>
            </w:r>
          </w:p>
        </w:tc>
        <w:tc>
          <w:tcPr>
            <w:tcW w:w="900" w:type="dxa"/>
            <w:vAlign w:val="bottom"/>
          </w:tcPr>
          <w:p w:rsidR="003B1395" w:rsidRPr="003B1395" w:rsidRDefault="003B1395" w:rsidP="00F11C2D">
            <w:pPr>
              <w:keepNext/>
              <w:spacing w:after="0"/>
              <w:jc w:val="center"/>
              <w:rPr>
                <w:b/>
                <w:sz w:val="18"/>
                <w:szCs w:val="18"/>
              </w:rPr>
            </w:pPr>
            <w:r w:rsidRPr="003B1395">
              <w:rPr>
                <w:b/>
                <w:sz w:val="18"/>
                <w:szCs w:val="18"/>
              </w:rPr>
              <w:t>Revised NTG w/out Market Effects</w:t>
            </w:r>
          </w:p>
        </w:tc>
      </w:tr>
      <w:tr w:rsidR="003B1395" w:rsidRPr="003B1395" w:rsidTr="003B1395">
        <w:tc>
          <w:tcPr>
            <w:tcW w:w="1458" w:type="dxa"/>
          </w:tcPr>
          <w:p w:rsidR="003B1395" w:rsidRPr="003B1395" w:rsidRDefault="003B1395" w:rsidP="00F11C2D">
            <w:pPr>
              <w:keepNext/>
              <w:spacing w:after="0"/>
              <w:rPr>
                <w:sz w:val="18"/>
                <w:szCs w:val="18"/>
              </w:rPr>
            </w:pPr>
            <w:r w:rsidRPr="003B1395">
              <w:rPr>
                <w:sz w:val="18"/>
                <w:szCs w:val="18"/>
              </w:rPr>
              <w:t>CFL Interior reflector lamps</w:t>
            </w:r>
          </w:p>
        </w:tc>
        <w:tc>
          <w:tcPr>
            <w:tcW w:w="1027" w:type="dxa"/>
            <w:vAlign w:val="center"/>
          </w:tcPr>
          <w:p w:rsidR="003B1395" w:rsidRPr="003B1395" w:rsidRDefault="003B1395" w:rsidP="00F11C2D">
            <w:pPr>
              <w:keepNext/>
              <w:spacing w:after="0"/>
              <w:jc w:val="center"/>
              <w:rPr>
                <w:sz w:val="18"/>
                <w:szCs w:val="18"/>
              </w:rPr>
            </w:pPr>
            <w:r w:rsidRPr="003B1395">
              <w:rPr>
                <w:sz w:val="18"/>
                <w:szCs w:val="18"/>
              </w:rPr>
              <w:t>0.40</w:t>
            </w:r>
          </w:p>
        </w:tc>
        <w:tc>
          <w:tcPr>
            <w:tcW w:w="953" w:type="dxa"/>
            <w:vAlign w:val="center"/>
          </w:tcPr>
          <w:p w:rsidR="003B1395" w:rsidRPr="003B1395" w:rsidRDefault="003B1395" w:rsidP="00F11C2D">
            <w:pPr>
              <w:keepNext/>
              <w:spacing w:after="0"/>
              <w:jc w:val="center"/>
              <w:rPr>
                <w:sz w:val="18"/>
                <w:szCs w:val="18"/>
              </w:rPr>
            </w:pPr>
            <w:r w:rsidRPr="003B1395">
              <w:rPr>
                <w:sz w:val="18"/>
                <w:szCs w:val="18"/>
              </w:rPr>
              <w:t>16.28</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66.62</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4.09</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50%</w:t>
            </w:r>
          </w:p>
        </w:tc>
        <w:tc>
          <w:tcPr>
            <w:tcW w:w="864" w:type="dxa"/>
            <w:vAlign w:val="center"/>
          </w:tcPr>
          <w:p w:rsidR="003B1395" w:rsidRPr="003B1395" w:rsidRDefault="003B1395" w:rsidP="00F11C2D">
            <w:pPr>
              <w:keepNext/>
              <w:spacing w:after="0"/>
              <w:jc w:val="center"/>
              <w:rPr>
                <w:sz w:val="18"/>
                <w:szCs w:val="18"/>
              </w:rPr>
            </w:pPr>
            <w:r w:rsidRPr="003B1395">
              <w:rPr>
                <w:sz w:val="18"/>
                <w:szCs w:val="18"/>
              </w:rPr>
              <w:t>41.45</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2.55</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50%</w:t>
            </w:r>
          </w:p>
        </w:tc>
        <w:tc>
          <w:tcPr>
            <w:tcW w:w="846" w:type="dxa"/>
            <w:vAlign w:val="center"/>
          </w:tcPr>
          <w:p w:rsidR="003B1395" w:rsidRPr="003B1395" w:rsidRDefault="003B1395" w:rsidP="00F11C2D">
            <w:pPr>
              <w:keepNext/>
              <w:spacing w:after="0"/>
              <w:jc w:val="center"/>
              <w:rPr>
                <w:sz w:val="18"/>
                <w:szCs w:val="18"/>
              </w:rPr>
            </w:pPr>
            <w:r w:rsidRPr="003B1395">
              <w:rPr>
                <w:sz w:val="18"/>
                <w:szCs w:val="18"/>
              </w:rPr>
              <w:t>0.90</w:t>
            </w:r>
          </w:p>
        </w:tc>
        <w:tc>
          <w:tcPr>
            <w:tcW w:w="900" w:type="dxa"/>
            <w:vAlign w:val="center"/>
          </w:tcPr>
          <w:p w:rsidR="003B1395" w:rsidRPr="003B1395" w:rsidRDefault="003B1395" w:rsidP="00F11C2D">
            <w:pPr>
              <w:keepNext/>
              <w:spacing w:after="0"/>
              <w:jc w:val="center"/>
              <w:rPr>
                <w:sz w:val="18"/>
                <w:szCs w:val="18"/>
              </w:rPr>
            </w:pPr>
            <w:r w:rsidRPr="003B1395">
              <w:rPr>
                <w:sz w:val="18"/>
                <w:szCs w:val="18"/>
              </w:rPr>
              <w:t>0.85</w:t>
            </w:r>
          </w:p>
        </w:tc>
      </w:tr>
      <w:tr w:rsidR="003B1395" w:rsidRPr="003B1395" w:rsidTr="003B1395">
        <w:trPr>
          <w:trHeight w:val="665"/>
        </w:trPr>
        <w:tc>
          <w:tcPr>
            <w:tcW w:w="1458" w:type="dxa"/>
          </w:tcPr>
          <w:p w:rsidR="003B1395" w:rsidRPr="003B1395" w:rsidRDefault="003B1395" w:rsidP="00F11C2D">
            <w:pPr>
              <w:keepNext/>
              <w:spacing w:after="0"/>
              <w:rPr>
                <w:sz w:val="18"/>
                <w:szCs w:val="18"/>
              </w:rPr>
            </w:pPr>
            <w:r w:rsidRPr="003B1395">
              <w:rPr>
                <w:sz w:val="18"/>
                <w:szCs w:val="18"/>
              </w:rPr>
              <w:t>CFL Interior non-reflector lamps</w:t>
            </w:r>
          </w:p>
        </w:tc>
        <w:tc>
          <w:tcPr>
            <w:tcW w:w="1027" w:type="dxa"/>
            <w:vAlign w:val="center"/>
          </w:tcPr>
          <w:p w:rsidR="003B1395" w:rsidRPr="003B1395" w:rsidRDefault="003B1395" w:rsidP="00F11C2D">
            <w:pPr>
              <w:keepNext/>
              <w:spacing w:after="0"/>
              <w:jc w:val="center"/>
              <w:rPr>
                <w:sz w:val="18"/>
                <w:szCs w:val="18"/>
              </w:rPr>
            </w:pPr>
            <w:r w:rsidRPr="003B1395">
              <w:rPr>
                <w:sz w:val="18"/>
                <w:szCs w:val="18"/>
              </w:rPr>
              <w:t>0.40</w:t>
            </w:r>
          </w:p>
        </w:tc>
        <w:tc>
          <w:tcPr>
            <w:tcW w:w="953" w:type="dxa"/>
            <w:vAlign w:val="center"/>
          </w:tcPr>
          <w:p w:rsidR="003B1395" w:rsidRPr="003B1395" w:rsidRDefault="003B1395" w:rsidP="00F11C2D">
            <w:pPr>
              <w:keepNext/>
              <w:spacing w:after="0"/>
              <w:jc w:val="center"/>
              <w:rPr>
                <w:sz w:val="18"/>
                <w:szCs w:val="18"/>
              </w:rPr>
            </w:pPr>
            <w:r w:rsidRPr="003B1395">
              <w:rPr>
                <w:sz w:val="18"/>
                <w:szCs w:val="18"/>
              </w:rPr>
              <w:t>17.19</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59.67</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3.47</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50%</w:t>
            </w:r>
          </w:p>
        </w:tc>
        <w:tc>
          <w:tcPr>
            <w:tcW w:w="864" w:type="dxa"/>
            <w:vAlign w:val="center"/>
          </w:tcPr>
          <w:p w:rsidR="003B1395" w:rsidRPr="003B1395" w:rsidRDefault="003B1395" w:rsidP="00F11C2D">
            <w:pPr>
              <w:keepNext/>
              <w:spacing w:after="0"/>
              <w:jc w:val="center"/>
              <w:rPr>
                <w:sz w:val="18"/>
                <w:szCs w:val="18"/>
              </w:rPr>
            </w:pPr>
            <w:r w:rsidRPr="003B1395">
              <w:rPr>
                <w:sz w:val="18"/>
                <w:szCs w:val="18"/>
              </w:rPr>
              <w:t>38.43</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2.24</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50%</w:t>
            </w:r>
          </w:p>
        </w:tc>
        <w:tc>
          <w:tcPr>
            <w:tcW w:w="846" w:type="dxa"/>
            <w:vAlign w:val="center"/>
          </w:tcPr>
          <w:p w:rsidR="003B1395" w:rsidRPr="003B1395" w:rsidRDefault="003B1395" w:rsidP="00F11C2D">
            <w:pPr>
              <w:keepNext/>
              <w:spacing w:after="0"/>
              <w:jc w:val="center"/>
              <w:rPr>
                <w:sz w:val="18"/>
                <w:szCs w:val="18"/>
              </w:rPr>
            </w:pPr>
            <w:r w:rsidRPr="003B1395">
              <w:rPr>
                <w:sz w:val="18"/>
                <w:szCs w:val="18"/>
              </w:rPr>
              <w:t>0.90</w:t>
            </w:r>
          </w:p>
        </w:tc>
        <w:tc>
          <w:tcPr>
            <w:tcW w:w="900" w:type="dxa"/>
            <w:vAlign w:val="center"/>
          </w:tcPr>
          <w:p w:rsidR="003B1395" w:rsidRPr="003B1395" w:rsidRDefault="003B1395" w:rsidP="00F11C2D">
            <w:pPr>
              <w:keepNext/>
              <w:spacing w:after="0"/>
              <w:jc w:val="center"/>
              <w:rPr>
                <w:sz w:val="18"/>
                <w:szCs w:val="18"/>
              </w:rPr>
            </w:pPr>
            <w:r w:rsidRPr="003B1395">
              <w:rPr>
                <w:sz w:val="18"/>
                <w:szCs w:val="18"/>
              </w:rPr>
              <w:t>0.85</w:t>
            </w:r>
          </w:p>
        </w:tc>
      </w:tr>
      <w:tr w:rsidR="003B1395" w:rsidRPr="003B1395" w:rsidTr="003B1395">
        <w:tc>
          <w:tcPr>
            <w:tcW w:w="1458" w:type="dxa"/>
          </w:tcPr>
          <w:p w:rsidR="003B1395" w:rsidRPr="003B1395" w:rsidRDefault="003B1395" w:rsidP="00F11C2D">
            <w:pPr>
              <w:keepNext/>
              <w:spacing w:after="0"/>
              <w:rPr>
                <w:sz w:val="18"/>
                <w:szCs w:val="18"/>
              </w:rPr>
            </w:pPr>
            <w:r w:rsidRPr="003B1395">
              <w:rPr>
                <w:sz w:val="18"/>
                <w:szCs w:val="18"/>
              </w:rPr>
              <w:t>CFL Exterior lamps</w:t>
            </w:r>
          </w:p>
        </w:tc>
        <w:tc>
          <w:tcPr>
            <w:tcW w:w="1027" w:type="dxa"/>
            <w:vAlign w:val="center"/>
          </w:tcPr>
          <w:p w:rsidR="003B1395" w:rsidRPr="003B1395" w:rsidRDefault="003B1395" w:rsidP="00F11C2D">
            <w:pPr>
              <w:keepNext/>
              <w:spacing w:after="0"/>
              <w:jc w:val="center"/>
              <w:rPr>
                <w:sz w:val="18"/>
                <w:szCs w:val="18"/>
              </w:rPr>
            </w:pPr>
            <w:r w:rsidRPr="003B1395">
              <w:rPr>
                <w:sz w:val="18"/>
                <w:szCs w:val="18"/>
              </w:rPr>
              <w:t>0.40</w:t>
            </w:r>
          </w:p>
        </w:tc>
        <w:tc>
          <w:tcPr>
            <w:tcW w:w="953" w:type="dxa"/>
            <w:vAlign w:val="center"/>
          </w:tcPr>
          <w:p w:rsidR="003B1395" w:rsidRPr="003B1395" w:rsidRDefault="003B1395" w:rsidP="00F11C2D">
            <w:pPr>
              <w:keepNext/>
              <w:spacing w:after="0"/>
              <w:jc w:val="center"/>
              <w:rPr>
                <w:sz w:val="18"/>
                <w:szCs w:val="18"/>
              </w:rPr>
            </w:pPr>
            <w:r w:rsidRPr="003B1395">
              <w:rPr>
                <w:sz w:val="18"/>
                <w:szCs w:val="18"/>
              </w:rPr>
              <w:t>17.88</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72.72</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4.07</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50%</w:t>
            </w:r>
          </w:p>
        </w:tc>
        <w:tc>
          <w:tcPr>
            <w:tcW w:w="864" w:type="dxa"/>
            <w:vAlign w:val="center"/>
          </w:tcPr>
          <w:p w:rsidR="003B1395" w:rsidRPr="003B1395" w:rsidRDefault="003B1395" w:rsidP="00F11C2D">
            <w:pPr>
              <w:keepNext/>
              <w:spacing w:after="0"/>
              <w:jc w:val="center"/>
              <w:rPr>
                <w:sz w:val="18"/>
                <w:szCs w:val="18"/>
              </w:rPr>
            </w:pPr>
            <w:r w:rsidRPr="003B1395">
              <w:rPr>
                <w:sz w:val="18"/>
                <w:szCs w:val="18"/>
              </w:rPr>
              <w:t>45.30</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2.53</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50%</w:t>
            </w:r>
          </w:p>
        </w:tc>
        <w:tc>
          <w:tcPr>
            <w:tcW w:w="846" w:type="dxa"/>
            <w:vAlign w:val="center"/>
          </w:tcPr>
          <w:p w:rsidR="003B1395" w:rsidRPr="003B1395" w:rsidRDefault="003B1395" w:rsidP="00F11C2D">
            <w:pPr>
              <w:keepNext/>
              <w:spacing w:after="0"/>
              <w:jc w:val="center"/>
              <w:rPr>
                <w:sz w:val="18"/>
                <w:szCs w:val="18"/>
              </w:rPr>
            </w:pPr>
            <w:r w:rsidRPr="003B1395">
              <w:rPr>
                <w:sz w:val="18"/>
                <w:szCs w:val="18"/>
              </w:rPr>
              <w:t>0.90</w:t>
            </w:r>
          </w:p>
        </w:tc>
        <w:tc>
          <w:tcPr>
            <w:tcW w:w="900" w:type="dxa"/>
            <w:vAlign w:val="center"/>
          </w:tcPr>
          <w:p w:rsidR="003B1395" w:rsidRPr="003B1395" w:rsidRDefault="003B1395" w:rsidP="00F11C2D">
            <w:pPr>
              <w:keepNext/>
              <w:spacing w:after="0"/>
              <w:jc w:val="center"/>
              <w:rPr>
                <w:sz w:val="18"/>
                <w:szCs w:val="18"/>
              </w:rPr>
            </w:pPr>
            <w:r w:rsidRPr="003B1395">
              <w:rPr>
                <w:sz w:val="18"/>
                <w:szCs w:val="18"/>
              </w:rPr>
              <w:t>0.85</w:t>
            </w:r>
          </w:p>
        </w:tc>
      </w:tr>
      <w:tr w:rsidR="003B1395" w:rsidRPr="003B1395" w:rsidTr="003B1395">
        <w:tc>
          <w:tcPr>
            <w:tcW w:w="1458" w:type="dxa"/>
          </w:tcPr>
          <w:p w:rsidR="003B1395" w:rsidRPr="003B1395" w:rsidRDefault="003B1395" w:rsidP="00F11C2D">
            <w:pPr>
              <w:keepNext/>
              <w:spacing w:after="0"/>
              <w:rPr>
                <w:sz w:val="18"/>
                <w:szCs w:val="18"/>
              </w:rPr>
            </w:pPr>
            <w:r w:rsidRPr="003B1395">
              <w:rPr>
                <w:sz w:val="18"/>
                <w:szCs w:val="18"/>
              </w:rPr>
              <w:t>CFL All nonresidential</w:t>
            </w:r>
          </w:p>
        </w:tc>
        <w:tc>
          <w:tcPr>
            <w:tcW w:w="1027" w:type="dxa"/>
            <w:vAlign w:val="center"/>
          </w:tcPr>
          <w:p w:rsidR="003B1395" w:rsidRPr="003B1395" w:rsidRDefault="003B1395" w:rsidP="00F11C2D">
            <w:pPr>
              <w:keepNext/>
              <w:spacing w:after="0"/>
              <w:jc w:val="center"/>
              <w:rPr>
                <w:sz w:val="18"/>
                <w:szCs w:val="18"/>
              </w:rPr>
            </w:pPr>
            <w:r w:rsidRPr="003B1395">
              <w:rPr>
                <w:sz w:val="18"/>
                <w:szCs w:val="18"/>
              </w:rPr>
              <w:t>0.40</w:t>
            </w:r>
          </w:p>
        </w:tc>
        <w:tc>
          <w:tcPr>
            <w:tcW w:w="953" w:type="dxa"/>
            <w:vAlign w:val="center"/>
          </w:tcPr>
          <w:p w:rsidR="003B1395" w:rsidRPr="003B1395" w:rsidRDefault="003B1395" w:rsidP="00F11C2D">
            <w:pPr>
              <w:keepNext/>
              <w:spacing w:after="0"/>
              <w:jc w:val="center"/>
              <w:rPr>
                <w:sz w:val="18"/>
                <w:szCs w:val="18"/>
              </w:rPr>
            </w:pPr>
            <w:r w:rsidRPr="003B1395">
              <w:rPr>
                <w:sz w:val="18"/>
                <w:szCs w:val="18"/>
              </w:rPr>
              <w:t>17.13</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61.10</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3.57</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50%</w:t>
            </w:r>
          </w:p>
        </w:tc>
        <w:tc>
          <w:tcPr>
            <w:tcW w:w="864" w:type="dxa"/>
            <w:vAlign w:val="center"/>
          </w:tcPr>
          <w:p w:rsidR="003B1395" w:rsidRPr="003B1395" w:rsidRDefault="003B1395" w:rsidP="00F11C2D">
            <w:pPr>
              <w:keepNext/>
              <w:spacing w:after="0"/>
              <w:jc w:val="center"/>
              <w:rPr>
                <w:sz w:val="18"/>
                <w:szCs w:val="18"/>
              </w:rPr>
            </w:pPr>
            <w:r w:rsidRPr="003B1395">
              <w:rPr>
                <w:sz w:val="18"/>
                <w:szCs w:val="18"/>
              </w:rPr>
              <w:t>39.11</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2.28</w:t>
            </w:r>
          </w:p>
        </w:tc>
        <w:tc>
          <w:tcPr>
            <w:tcW w:w="792" w:type="dxa"/>
            <w:vAlign w:val="center"/>
          </w:tcPr>
          <w:p w:rsidR="003B1395" w:rsidRPr="003B1395" w:rsidRDefault="003B1395" w:rsidP="00F11C2D">
            <w:pPr>
              <w:keepNext/>
              <w:spacing w:after="0"/>
              <w:jc w:val="center"/>
              <w:rPr>
                <w:sz w:val="18"/>
                <w:szCs w:val="18"/>
              </w:rPr>
            </w:pPr>
            <w:r w:rsidRPr="003B1395">
              <w:rPr>
                <w:sz w:val="18"/>
                <w:szCs w:val="18"/>
              </w:rPr>
              <w:t>50%</w:t>
            </w:r>
          </w:p>
        </w:tc>
        <w:tc>
          <w:tcPr>
            <w:tcW w:w="846" w:type="dxa"/>
            <w:vAlign w:val="center"/>
          </w:tcPr>
          <w:p w:rsidR="003B1395" w:rsidRPr="003B1395" w:rsidRDefault="003B1395" w:rsidP="00F11C2D">
            <w:pPr>
              <w:keepNext/>
              <w:spacing w:after="0"/>
              <w:jc w:val="center"/>
              <w:rPr>
                <w:sz w:val="18"/>
                <w:szCs w:val="18"/>
              </w:rPr>
            </w:pPr>
            <w:r w:rsidRPr="003B1395">
              <w:rPr>
                <w:sz w:val="18"/>
                <w:szCs w:val="18"/>
              </w:rPr>
              <w:t>0.90</w:t>
            </w:r>
          </w:p>
        </w:tc>
        <w:tc>
          <w:tcPr>
            <w:tcW w:w="900" w:type="dxa"/>
            <w:vAlign w:val="center"/>
          </w:tcPr>
          <w:p w:rsidR="003B1395" w:rsidRPr="003B1395" w:rsidRDefault="003B1395" w:rsidP="00F11C2D">
            <w:pPr>
              <w:keepNext/>
              <w:spacing w:after="0"/>
              <w:jc w:val="center"/>
              <w:rPr>
                <w:sz w:val="18"/>
                <w:szCs w:val="18"/>
              </w:rPr>
            </w:pPr>
            <w:r w:rsidRPr="003B1395">
              <w:rPr>
                <w:sz w:val="18"/>
                <w:szCs w:val="18"/>
              </w:rPr>
              <w:t>0.85</w:t>
            </w:r>
          </w:p>
        </w:tc>
      </w:tr>
      <w:tr w:rsidR="003B1395" w:rsidRPr="003B1395" w:rsidTr="003B1395">
        <w:tc>
          <w:tcPr>
            <w:tcW w:w="1458" w:type="dxa"/>
          </w:tcPr>
          <w:p w:rsidR="003B1395" w:rsidRPr="003B1395" w:rsidRDefault="003B1395" w:rsidP="003B1395">
            <w:pPr>
              <w:spacing w:after="0"/>
              <w:rPr>
                <w:sz w:val="18"/>
                <w:szCs w:val="18"/>
              </w:rPr>
            </w:pPr>
            <w:r w:rsidRPr="003B1395">
              <w:rPr>
                <w:sz w:val="18"/>
                <w:szCs w:val="18"/>
              </w:rPr>
              <w:t xml:space="preserve">LED A-lamp, all wattages </w:t>
            </w:r>
          </w:p>
        </w:tc>
        <w:tc>
          <w:tcPr>
            <w:tcW w:w="1027" w:type="dxa"/>
            <w:vAlign w:val="center"/>
          </w:tcPr>
          <w:p w:rsidR="003B1395" w:rsidRPr="003B1395" w:rsidRDefault="003B1395" w:rsidP="003B1395">
            <w:pPr>
              <w:spacing w:after="0"/>
              <w:jc w:val="center"/>
              <w:rPr>
                <w:sz w:val="18"/>
                <w:szCs w:val="18"/>
              </w:rPr>
            </w:pPr>
            <w:r w:rsidRPr="003B1395">
              <w:rPr>
                <w:sz w:val="18"/>
                <w:szCs w:val="18"/>
              </w:rPr>
              <w:t>0.30</w:t>
            </w:r>
          </w:p>
        </w:tc>
        <w:tc>
          <w:tcPr>
            <w:tcW w:w="5777" w:type="dxa"/>
            <w:gridSpan w:val="7"/>
            <w:vMerge w:val="restart"/>
            <w:vAlign w:val="center"/>
          </w:tcPr>
          <w:p w:rsidR="003B1395" w:rsidRPr="003B1395" w:rsidRDefault="003B1395" w:rsidP="003B1395">
            <w:pPr>
              <w:spacing w:after="0"/>
              <w:jc w:val="center"/>
              <w:rPr>
                <w:sz w:val="18"/>
                <w:szCs w:val="18"/>
              </w:rPr>
            </w:pPr>
            <w:r>
              <w:rPr>
                <w:sz w:val="18"/>
                <w:szCs w:val="18"/>
              </w:rPr>
              <w:t>Revised NTG with and without market effects taken directly from 2013-2014 lighting evaluation</w:t>
            </w:r>
          </w:p>
        </w:tc>
        <w:tc>
          <w:tcPr>
            <w:tcW w:w="846" w:type="dxa"/>
            <w:vAlign w:val="center"/>
          </w:tcPr>
          <w:p w:rsidR="003B1395" w:rsidRPr="003B1395" w:rsidRDefault="003B1395" w:rsidP="003B1395">
            <w:pPr>
              <w:spacing w:after="0"/>
              <w:jc w:val="center"/>
              <w:rPr>
                <w:sz w:val="18"/>
                <w:szCs w:val="18"/>
              </w:rPr>
            </w:pPr>
            <w:r w:rsidRPr="003B1395">
              <w:rPr>
                <w:sz w:val="18"/>
                <w:szCs w:val="18"/>
              </w:rPr>
              <w:t>0.96</w:t>
            </w:r>
          </w:p>
        </w:tc>
        <w:tc>
          <w:tcPr>
            <w:tcW w:w="900" w:type="dxa"/>
            <w:vAlign w:val="center"/>
          </w:tcPr>
          <w:p w:rsidR="003B1395" w:rsidRPr="003B1395" w:rsidRDefault="003B1395" w:rsidP="003B1395">
            <w:pPr>
              <w:spacing w:after="0"/>
              <w:jc w:val="center"/>
              <w:rPr>
                <w:sz w:val="18"/>
                <w:szCs w:val="18"/>
              </w:rPr>
            </w:pPr>
            <w:r w:rsidRPr="003B1395">
              <w:rPr>
                <w:sz w:val="18"/>
                <w:szCs w:val="18"/>
              </w:rPr>
              <w:t>0.91</w:t>
            </w:r>
          </w:p>
        </w:tc>
      </w:tr>
      <w:tr w:rsidR="003B1395" w:rsidRPr="003B1395" w:rsidTr="003B1395">
        <w:tc>
          <w:tcPr>
            <w:tcW w:w="1458" w:type="dxa"/>
          </w:tcPr>
          <w:p w:rsidR="003B1395" w:rsidRPr="003B1395" w:rsidRDefault="003B1395" w:rsidP="003B1395">
            <w:pPr>
              <w:spacing w:after="0"/>
              <w:rPr>
                <w:sz w:val="18"/>
                <w:szCs w:val="18"/>
              </w:rPr>
            </w:pPr>
            <w:r w:rsidRPr="003B1395">
              <w:rPr>
                <w:sz w:val="18"/>
                <w:szCs w:val="18"/>
              </w:rPr>
              <w:t xml:space="preserve">LED reflector, all wattages </w:t>
            </w:r>
          </w:p>
        </w:tc>
        <w:tc>
          <w:tcPr>
            <w:tcW w:w="1027" w:type="dxa"/>
            <w:vAlign w:val="center"/>
          </w:tcPr>
          <w:p w:rsidR="003B1395" w:rsidRPr="003B1395" w:rsidRDefault="003B1395" w:rsidP="003B1395">
            <w:pPr>
              <w:spacing w:after="0"/>
              <w:jc w:val="center"/>
              <w:rPr>
                <w:sz w:val="18"/>
                <w:szCs w:val="18"/>
              </w:rPr>
            </w:pPr>
            <w:r w:rsidRPr="003B1395">
              <w:rPr>
                <w:sz w:val="18"/>
                <w:szCs w:val="18"/>
              </w:rPr>
              <w:t>0.30</w:t>
            </w:r>
          </w:p>
        </w:tc>
        <w:tc>
          <w:tcPr>
            <w:tcW w:w="5777" w:type="dxa"/>
            <w:gridSpan w:val="7"/>
            <w:vMerge/>
            <w:vAlign w:val="center"/>
          </w:tcPr>
          <w:p w:rsidR="003B1395" w:rsidRPr="003B1395" w:rsidRDefault="003B1395" w:rsidP="003B1395">
            <w:pPr>
              <w:spacing w:after="0"/>
              <w:jc w:val="center"/>
              <w:rPr>
                <w:sz w:val="18"/>
                <w:szCs w:val="18"/>
              </w:rPr>
            </w:pPr>
          </w:p>
        </w:tc>
        <w:tc>
          <w:tcPr>
            <w:tcW w:w="846" w:type="dxa"/>
            <w:vAlign w:val="center"/>
          </w:tcPr>
          <w:p w:rsidR="003B1395" w:rsidRPr="003B1395" w:rsidRDefault="003B1395" w:rsidP="003B1395">
            <w:pPr>
              <w:spacing w:after="0"/>
              <w:jc w:val="center"/>
              <w:rPr>
                <w:sz w:val="18"/>
                <w:szCs w:val="18"/>
              </w:rPr>
            </w:pPr>
            <w:r w:rsidRPr="003B1395">
              <w:rPr>
                <w:sz w:val="18"/>
                <w:szCs w:val="18"/>
              </w:rPr>
              <w:t>0.96</w:t>
            </w:r>
          </w:p>
        </w:tc>
        <w:tc>
          <w:tcPr>
            <w:tcW w:w="900" w:type="dxa"/>
            <w:vAlign w:val="center"/>
          </w:tcPr>
          <w:p w:rsidR="003B1395" w:rsidRPr="003B1395" w:rsidRDefault="003B1395" w:rsidP="003B1395">
            <w:pPr>
              <w:spacing w:after="0"/>
              <w:jc w:val="center"/>
              <w:rPr>
                <w:sz w:val="18"/>
                <w:szCs w:val="18"/>
              </w:rPr>
            </w:pPr>
            <w:r w:rsidRPr="003B1395">
              <w:rPr>
                <w:sz w:val="18"/>
                <w:szCs w:val="18"/>
              </w:rPr>
              <w:t>0.91</w:t>
            </w:r>
          </w:p>
        </w:tc>
      </w:tr>
    </w:tbl>
    <w:p w:rsidR="006734CC" w:rsidRDefault="003B1395" w:rsidP="00184D53">
      <w:pPr>
        <w:pStyle w:val="Body2"/>
      </w:pPr>
      <w:r>
        <w:t xml:space="preserve"> </w:t>
      </w:r>
    </w:p>
    <w:p w:rsidR="00DE193E" w:rsidRDefault="00626680" w:rsidP="00626680">
      <w:pPr>
        <w:pStyle w:val="Heading2"/>
      </w:pPr>
      <w:bookmarkStart w:id="22" w:name="_Toc475967908"/>
      <w:bookmarkStart w:id="23" w:name="_Toc476066435"/>
      <w:r w:rsidRPr="00626680">
        <w:t>Decision Language Supporting the Revision of DEER Values</w:t>
      </w:r>
      <w:bookmarkEnd w:id="22"/>
      <w:bookmarkEnd w:id="23"/>
    </w:p>
    <w:p w:rsidR="00626680" w:rsidRPr="00626680" w:rsidRDefault="00626680" w:rsidP="00184D53">
      <w:pPr>
        <w:pStyle w:val="Body2"/>
      </w:pPr>
      <w:r w:rsidRPr="00626680">
        <w:t>D.15-10-028 laid out a schedule for updating both DEER and non-DEER workpapers based upon the best available data. The direction in the Decision established a March 1 “bus stop” each year</w:t>
      </w:r>
      <w:r w:rsidRPr="00E56DF7">
        <w:rPr>
          <w:rStyle w:val="FootnoteReference"/>
        </w:rPr>
        <w:footnoteReference w:id="8"/>
      </w:r>
      <w:r w:rsidRPr="00626680">
        <w:t>; generally, evaluation and other research results available by the bus stop are expected to be included in the analysis used to develop DEER by September 1</w:t>
      </w:r>
      <w:r w:rsidRPr="00E56DF7">
        <w:rPr>
          <w:rStyle w:val="FootnoteReference"/>
        </w:rPr>
        <w:footnoteReference w:id="9"/>
      </w:r>
      <w:r w:rsidRPr="00626680">
        <w:t xml:space="preserve"> and non-DEER workpaper updates submitted by the following January 1 or later for new measures</w:t>
      </w:r>
      <w:r w:rsidRPr="00E56DF7">
        <w:rPr>
          <w:rStyle w:val="FootnoteReference"/>
        </w:rPr>
        <w:footnoteReference w:id="10"/>
      </w:r>
      <w:r w:rsidRPr="00626680">
        <w:t xml:space="preserve">. Then the new update cycle begins again; </w:t>
      </w:r>
      <w:r w:rsidR="005B30E1" w:rsidRPr="00626680">
        <w:t>research</w:t>
      </w:r>
      <w:r w:rsidRPr="00626680">
        <w:t xml:space="preserve"> results by March 1, DEER by September 1 and workpaper updates by the following January 1</w:t>
      </w:r>
      <w:r w:rsidRPr="00E56DF7">
        <w:rPr>
          <w:rStyle w:val="FootnoteReference"/>
        </w:rPr>
        <w:footnoteReference w:id="11"/>
      </w:r>
      <w:r w:rsidRPr="00626680">
        <w:t>.</w:t>
      </w:r>
      <w:r w:rsidR="00F87D33">
        <w:t xml:space="preserve"> </w:t>
      </w:r>
      <w:r w:rsidRPr="00626680">
        <w:lastRenderedPageBreak/>
        <w:t>However, workpapers are expected to be updated whe</w:t>
      </w:r>
      <w:r w:rsidR="00F87D33">
        <w:t>never research results indicate</w:t>
      </w:r>
      <w:r w:rsidRPr="00626680">
        <w:t xml:space="preserve"> values are significantly out-of-date</w:t>
      </w:r>
      <w:r w:rsidRPr="00E56DF7">
        <w:rPr>
          <w:rStyle w:val="FootnoteReference"/>
        </w:rPr>
        <w:footnoteReference w:id="12"/>
      </w:r>
      <w:r w:rsidR="005B30E1">
        <w:t xml:space="preserve"> whereas DEER is only expected to be updated annually</w:t>
      </w:r>
      <w:r w:rsidR="00E56DF7">
        <w:t>.</w:t>
      </w:r>
    </w:p>
    <w:p w:rsidR="00AE671B" w:rsidRDefault="00AE671B" w:rsidP="00AE671B">
      <w:pPr>
        <w:pStyle w:val="Heading2"/>
      </w:pPr>
      <w:bookmarkStart w:id="24" w:name="_Toc475967909"/>
      <w:bookmarkStart w:id="25" w:name="_Toc476066436"/>
      <w:r w:rsidRPr="00AE671B">
        <w:t>Directed Revisions to All Workpapers Covering Screw-in Lamps</w:t>
      </w:r>
      <w:bookmarkEnd w:id="24"/>
      <w:r w:rsidR="005D2083">
        <w:t>, with exceptions</w:t>
      </w:r>
      <w:bookmarkEnd w:id="25"/>
      <w:r w:rsidRPr="00AE671B">
        <w:t xml:space="preserve"> </w:t>
      </w:r>
    </w:p>
    <w:p w:rsidR="00AE671B" w:rsidRPr="00F87D33" w:rsidRDefault="00AE671B" w:rsidP="00F87D33">
      <w:pPr>
        <w:pStyle w:val="Heading3"/>
      </w:pPr>
      <w:r w:rsidRPr="00F87D33">
        <w:t>Revise Fraction of CFLs in LED Baseline</w:t>
      </w:r>
    </w:p>
    <w:p w:rsidR="00AE671B" w:rsidRDefault="00AE671B" w:rsidP="00184D53">
      <w:pPr>
        <w:pStyle w:val="Body3"/>
      </w:pPr>
      <w:r w:rsidRPr="00AE671B">
        <w:t xml:space="preserve">All LED workpapers except for those covering </w:t>
      </w:r>
      <w:r w:rsidR="009A121A">
        <w:t xml:space="preserve">LED </w:t>
      </w:r>
      <w:r w:rsidRPr="00AE671B">
        <w:t>A-lamps</w:t>
      </w:r>
      <w:r w:rsidR="005D2083">
        <w:t xml:space="preserve"> (e.g PGECOLTG165)</w:t>
      </w:r>
      <w:r w:rsidRPr="00AE671B">
        <w:t xml:space="preserve"> shall be revised to include 40% CFLs in the gross baseline, which is the same value CFL fraction used in calculating DEER wattage reductions for CFLs.</w:t>
      </w:r>
    </w:p>
    <w:p w:rsidR="00AE671B" w:rsidRDefault="00AE671B" w:rsidP="00F87D33">
      <w:pPr>
        <w:pStyle w:val="Heading3"/>
      </w:pPr>
      <w:r w:rsidRPr="00AE671B">
        <w:t xml:space="preserve">Revise Fraction of CFLs and LEDs </w:t>
      </w:r>
      <w:r w:rsidR="00F87D33">
        <w:t xml:space="preserve">in </w:t>
      </w:r>
      <w:r w:rsidRPr="00AE671B">
        <w:t>CFL Baseline</w:t>
      </w:r>
    </w:p>
    <w:p w:rsidR="00AE671B" w:rsidRDefault="00AE671B" w:rsidP="00184D53">
      <w:pPr>
        <w:pStyle w:val="Body3"/>
      </w:pPr>
      <w:r>
        <w:t xml:space="preserve">All CFL workpapers shall be revised to include 50% CFLs and 25% LEDs in the gross baseline. </w:t>
      </w:r>
      <w:r>
        <w:fldChar w:fldCharType="begin"/>
      </w:r>
      <w:r>
        <w:instrText xml:space="preserve"> REF _Ref475906399 \h  \* MERGEFORMAT </w:instrText>
      </w:r>
      <w:r>
        <w:fldChar w:fldCharType="separate"/>
      </w:r>
      <w:r w:rsidR="002D46C6">
        <w:t xml:space="preserve">Table </w:t>
      </w:r>
      <w:r w:rsidR="002D46C6">
        <w:rPr>
          <w:noProof/>
        </w:rPr>
        <w:t>5</w:t>
      </w:r>
      <w:r>
        <w:fldChar w:fldCharType="end"/>
      </w:r>
      <w:r>
        <w:t xml:space="preserve"> shows the development of revised WRR values for all CFL measures starting January 1, 2017.</w:t>
      </w:r>
    </w:p>
    <w:p w:rsidR="00AE671B" w:rsidRDefault="00AE671B" w:rsidP="00820BD1">
      <w:pPr>
        <w:pStyle w:val="Caption"/>
        <w:keepNext/>
        <w:spacing w:after="120"/>
        <w:jc w:val="center"/>
      </w:pPr>
      <w:bookmarkStart w:id="26" w:name="_Ref475906399"/>
      <w:r>
        <w:t xml:space="preserve">Table </w:t>
      </w:r>
      <w:fldSimple w:instr=" SEQ Table \* ARABIC ">
        <w:r w:rsidR="00B25CDA">
          <w:rPr>
            <w:noProof/>
          </w:rPr>
          <w:t>5</w:t>
        </w:r>
      </w:fldSimple>
      <w:bookmarkEnd w:id="26"/>
      <w:r>
        <w:t xml:space="preserve"> - Revised CFL Wattage Reduction Ratio Values Effective 1/1/2017</w:t>
      </w:r>
    </w:p>
    <w:tbl>
      <w:tblPr>
        <w:tblStyle w:val="TableGrid"/>
        <w:tblW w:w="9666" w:type="dxa"/>
        <w:tblLayout w:type="fixed"/>
        <w:tblLook w:val="04A0" w:firstRow="1" w:lastRow="0" w:firstColumn="1" w:lastColumn="0" w:noHBand="0" w:noVBand="1"/>
      </w:tblPr>
      <w:tblGrid>
        <w:gridCol w:w="1511"/>
        <w:gridCol w:w="1027"/>
        <w:gridCol w:w="792"/>
        <w:gridCol w:w="792"/>
        <w:gridCol w:w="792"/>
        <w:gridCol w:w="792"/>
        <w:gridCol w:w="792"/>
        <w:gridCol w:w="792"/>
        <w:gridCol w:w="792"/>
        <w:gridCol w:w="792"/>
        <w:gridCol w:w="792"/>
      </w:tblGrid>
      <w:tr w:rsidR="00AE6891" w:rsidRPr="00761265" w:rsidTr="00AE6891">
        <w:tc>
          <w:tcPr>
            <w:tcW w:w="1511" w:type="dxa"/>
            <w:vAlign w:val="bottom"/>
          </w:tcPr>
          <w:p w:rsidR="00AE6891" w:rsidRPr="00C40C29" w:rsidRDefault="00AE6891" w:rsidP="00AE6891">
            <w:pPr>
              <w:spacing w:after="0"/>
              <w:jc w:val="center"/>
              <w:rPr>
                <w:b/>
              </w:rPr>
            </w:pPr>
            <w:r>
              <w:rPr>
                <w:b/>
              </w:rPr>
              <w:t>CFL</w:t>
            </w:r>
            <w:r w:rsidRPr="00C40C29">
              <w:rPr>
                <w:b/>
              </w:rPr>
              <w:t xml:space="preserve"> Type</w:t>
            </w:r>
          </w:p>
        </w:tc>
        <w:tc>
          <w:tcPr>
            <w:tcW w:w="1027" w:type="dxa"/>
            <w:vAlign w:val="bottom"/>
          </w:tcPr>
          <w:p w:rsidR="00AE6891" w:rsidRPr="00C40C29" w:rsidRDefault="00AE6891" w:rsidP="00AE6891">
            <w:pPr>
              <w:spacing w:after="0"/>
              <w:jc w:val="center"/>
              <w:rPr>
                <w:b/>
              </w:rPr>
            </w:pPr>
            <w:r w:rsidRPr="00C40C29">
              <w:rPr>
                <w:b/>
              </w:rPr>
              <w:t>DEER 2011 Measure Watts</w:t>
            </w:r>
          </w:p>
        </w:tc>
        <w:tc>
          <w:tcPr>
            <w:tcW w:w="792" w:type="dxa"/>
            <w:vAlign w:val="bottom"/>
          </w:tcPr>
          <w:p w:rsidR="00AE6891" w:rsidRPr="00C40C29" w:rsidRDefault="00AE6891" w:rsidP="00AE6891">
            <w:pPr>
              <w:spacing w:after="0"/>
              <w:jc w:val="center"/>
              <w:rPr>
                <w:b/>
              </w:rPr>
            </w:pPr>
            <w:r w:rsidRPr="00C40C29">
              <w:rPr>
                <w:b/>
              </w:rPr>
              <w:t>DEER 2011 Base Watts</w:t>
            </w:r>
          </w:p>
        </w:tc>
        <w:tc>
          <w:tcPr>
            <w:tcW w:w="792" w:type="dxa"/>
            <w:vAlign w:val="bottom"/>
          </w:tcPr>
          <w:p w:rsidR="00AE6891" w:rsidRPr="00C40C29" w:rsidRDefault="00AE6891" w:rsidP="00AE6891">
            <w:pPr>
              <w:spacing w:after="0"/>
              <w:jc w:val="center"/>
              <w:rPr>
                <w:b/>
              </w:rPr>
            </w:pPr>
            <w:r w:rsidRPr="00C40C29">
              <w:rPr>
                <w:b/>
              </w:rPr>
              <w:t xml:space="preserve">DEER </w:t>
            </w:r>
            <w:r w:rsidR="00F90DBC">
              <w:rPr>
                <w:b/>
              </w:rPr>
              <w:t>2011</w:t>
            </w:r>
            <w:r w:rsidRPr="00C40C29">
              <w:rPr>
                <w:b/>
              </w:rPr>
              <w:t xml:space="preserve"> WRR</w:t>
            </w:r>
          </w:p>
        </w:tc>
        <w:tc>
          <w:tcPr>
            <w:tcW w:w="792" w:type="dxa"/>
            <w:vAlign w:val="bottom"/>
          </w:tcPr>
          <w:p w:rsidR="00AE6891" w:rsidRPr="00C40C29" w:rsidRDefault="00AE6891" w:rsidP="00AE6891">
            <w:pPr>
              <w:spacing w:after="0"/>
              <w:jc w:val="center"/>
              <w:rPr>
                <w:b/>
              </w:rPr>
            </w:pPr>
            <w:r w:rsidRPr="00C40C29">
              <w:rPr>
                <w:b/>
              </w:rPr>
              <w:t>LED WRR w/out CFLs</w:t>
            </w:r>
          </w:p>
        </w:tc>
        <w:tc>
          <w:tcPr>
            <w:tcW w:w="792" w:type="dxa"/>
            <w:vAlign w:val="bottom"/>
          </w:tcPr>
          <w:p w:rsidR="00AE6891" w:rsidRPr="00C40C29" w:rsidRDefault="00AE6891" w:rsidP="00AE6891">
            <w:pPr>
              <w:spacing w:after="0"/>
              <w:jc w:val="center"/>
              <w:rPr>
                <w:b/>
              </w:rPr>
            </w:pPr>
            <w:r w:rsidRPr="00C40C29">
              <w:rPr>
                <w:b/>
              </w:rPr>
              <w:t>LED Watts</w:t>
            </w:r>
          </w:p>
        </w:tc>
        <w:tc>
          <w:tcPr>
            <w:tcW w:w="792" w:type="dxa"/>
            <w:vAlign w:val="bottom"/>
          </w:tcPr>
          <w:p w:rsidR="00AE6891" w:rsidRPr="00C40C29" w:rsidRDefault="00AE6891" w:rsidP="00AE6891">
            <w:pPr>
              <w:spacing w:after="0"/>
              <w:jc w:val="center"/>
              <w:rPr>
                <w:b/>
              </w:rPr>
            </w:pPr>
            <w:r w:rsidRPr="00C40C29">
              <w:rPr>
                <w:b/>
              </w:rPr>
              <w:t>CFL Frac-tion</w:t>
            </w:r>
          </w:p>
        </w:tc>
        <w:tc>
          <w:tcPr>
            <w:tcW w:w="792" w:type="dxa"/>
            <w:vAlign w:val="bottom"/>
          </w:tcPr>
          <w:p w:rsidR="00AE6891" w:rsidRPr="00C40C29" w:rsidRDefault="00AE6891" w:rsidP="00AE6891">
            <w:pPr>
              <w:spacing w:after="0"/>
              <w:jc w:val="center"/>
              <w:rPr>
                <w:b/>
              </w:rPr>
            </w:pPr>
            <w:r w:rsidRPr="00C40C29">
              <w:rPr>
                <w:b/>
              </w:rPr>
              <w:t>LED Frac-tion</w:t>
            </w:r>
          </w:p>
        </w:tc>
        <w:tc>
          <w:tcPr>
            <w:tcW w:w="792" w:type="dxa"/>
            <w:vAlign w:val="bottom"/>
          </w:tcPr>
          <w:p w:rsidR="00AE6891" w:rsidRPr="00C40C29" w:rsidRDefault="00AE6891" w:rsidP="00AE6891">
            <w:pPr>
              <w:spacing w:after="0"/>
              <w:jc w:val="center"/>
              <w:rPr>
                <w:b/>
              </w:rPr>
            </w:pPr>
            <w:r w:rsidRPr="00C40C29">
              <w:rPr>
                <w:b/>
              </w:rPr>
              <w:t>2017 Base Watts</w:t>
            </w:r>
          </w:p>
        </w:tc>
        <w:tc>
          <w:tcPr>
            <w:tcW w:w="792" w:type="dxa"/>
            <w:vAlign w:val="bottom"/>
          </w:tcPr>
          <w:p w:rsidR="00AE6891" w:rsidRPr="00C40C29" w:rsidRDefault="00AE6891" w:rsidP="00AE6891">
            <w:pPr>
              <w:spacing w:after="0"/>
              <w:jc w:val="center"/>
              <w:rPr>
                <w:b/>
              </w:rPr>
            </w:pPr>
            <w:r w:rsidRPr="00C40C29">
              <w:rPr>
                <w:b/>
              </w:rPr>
              <w:t>2017 WRR</w:t>
            </w:r>
          </w:p>
        </w:tc>
        <w:tc>
          <w:tcPr>
            <w:tcW w:w="792" w:type="dxa"/>
            <w:vAlign w:val="bottom"/>
          </w:tcPr>
          <w:p w:rsidR="00AE6891" w:rsidRPr="00C40C29" w:rsidRDefault="00AE6891" w:rsidP="00AE6891">
            <w:pPr>
              <w:spacing w:after="0"/>
              <w:jc w:val="center"/>
              <w:rPr>
                <w:b/>
              </w:rPr>
            </w:pPr>
            <w:r>
              <w:rPr>
                <w:b/>
              </w:rPr>
              <w:t>2016 DEER WRR</w:t>
            </w:r>
          </w:p>
        </w:tc>
      </w:tr>
      <w:tr w:rsidR="00AE6891" w:rsidTr="00AE6891">
        <w:tc>
          <w:tcPr>
            <w:tcW w:w="1511" w:type="dxa"/>
            <w:vAlign w:val="center"/>
          </w:tcPr>
          <w:p w:rsidR="00AE6891" w:rsidRDefault="00AE6891" w:rsidP="00AE6891">
            <w:pPr>
              <w:spacing w:after="0"/>
            </w:pPr>
            <w:r w:rsidRPr="00CC4CF5">
              <w:t>Interior reflector lamps</w:t>
            </w:r>
          </w:p>
        </w:tc>
        <w:tc>
          <w:tcPr>
            <w:tcW w:w="1027" w:type="dxa"/>
            <w:vAlign w:val="center"/>
          </w:tcPr>
          <w:p w:rsidR="00AE6891" w:rsidRDefault="00AE6891" w:rsidP="00AE6891">
            <w:pPr>
              <w:spacing w:after="0"/>
              <w:jc w:val="center"/>
            </w:pPr>
            <w:r w:rsidRPr="00CC4CF5">
              <w:t>16.28</w:t>
            </w:r>
          </w:p>
        </w:tc>
        <w:tc>
          <w:tcPr>
            <w:tcW w:w="792" w:type="dxa"/>
            <w:vAlign w:val="center"/>
          </w:tcPr>
          <w:p w:rsidR="00AE6891" w:rsidRDefault="00AE6891" w:rsidP="00AE6891">
            <w:pPr>
              <w:spacing w:after="0"/>
              <w:jc w:val="center"/>
            </w:pPr>
            <w:r w:rsidRPr="00CC4CF5">
              <w:t>66.62</w:t>
            </w:r>
          </w:p>
        </w:tc>
        <w:tc>
          <w:tcPr>
            <w:tcW w:w="792" w:type="dxa"/>
            <w:vAlign w:val="center"/>
          </w:tcPr>
          <w:p w:rsidR="00AE6891" w:rsidRDefault="00AE6891" w:rsidP="00AE6891">
            <w:pPr>
              <w:spacing w:after="0"/>
              <w:jc w:val="center"/>
            </w:pPr>
            <w:r w:rsidRPr="00CC4CF5">
              <w:t>4.09</w:t>
            </w:r>
          </w:p>
        </w:tc>
        <w:tc>
          <w:tcPr>
            <w:tcW w:w="792" w:type="dxa"/>
            <w:vAlign w:val="center"/>
          </w:tcPr>
          <w:p w:rsidR="00AE6891" w:rsidRDefault="00AE6891" w:rsidP="00AE6891">
            <w:pPr>
              <w:spacing w:after="0"/>
              <w:jc w:val="center"/>
            </w:pPr>
            <w:r w:rsidRPr="00CC4CF5">
              <w:t>4.70</w:t>
            </w:r>
          </w:p>
        </w:tc>
        <w:tc>
          <w:tcPr>
            <w:tcW w:w="792" w:type="dxa"/>
            <w:vAlign w:val="center"/>
          </w:tcPr>
          <w:p w:rsidR="00AE6891" w:rsidRDefault="00AE6891" w:rsidP="00AE6891">
            <w:pPr>
              <w:spacing w:after="0"/>
              <w:jc w:val="center"/>
            </w:pPr>
            <w:r w:rsidRPr="00CC4CF5">
              <w:t>14.17</w:t>
            </w:r>
          </w:p>
        </w:tc>
        <w:tc>
          <w:tcPr>
            <w:tcW w:w="792" w:type="dxa"/>
            <w:vAlign w:val="center"/>
          </w:tcPr>
          <w:p w:rsidR="00AE6891" w:rsidRDefault="00AE6891" w:rsidP="00AE6891">
            <w:pPr>
              <w:spacing w:after="0"/>
              <w:jc w:val="center"/>
            </w:pPr>
            <w:r w:rsidRPr="00CC4CF5">
              <w:t>0.50</w:t>
            </w:r>
          </w:p>
        </w:tc>
        <w:tc>
          <w:tcPr>
            <w:tcW w:w="792" w:type="dxa"/>
            <w:vAlign w:val="center"/>
          </w:tcPr>
          <w:p w:rsidR="00AE6891" w:rsidRDefault="00AE6891" w:rsidP="00AE6891">
            <w:pPr>
              <w:spacing w:after="0"/>
              <w:jc w:val="center"/>
            </w:pPr>
            <w:r w:rsidRPr="00CC4CF5">
              <w:t>0.25</w:t>
            </w:r>
          </w:p>
        </w:tc>
        <w:tc>
          <w:tcPr>
            <w:tcW w:w="792" w:type="dxa"/>
            <w:vAlign w:val="center"/>
          </w:tcPr>
          <w:p w:rsidR="00AE6891" w:rsidRDefault="00AE6891" w:rsidP="00AE6891">
            <w:pPr>
              <w:spacing w:after="0"/>
              <w:jc w:val="center"/>
            </w:pPr>
            <w:r w:rsidRPr="00CC4CF5">
              <w:t>28.34</w:t>
            </w:r>
          </w:p>
        </w:tc>
        <w:tc>
          <w:tcPr>
            <w:tcW w:w="792" w:type="dxa"/>
            <w:vAlign w:val="center"/>
          </w:tcPr>
          <w:p w:rsidR="00AE6891" w:rsidRPr="00820BD1" w:rsidRDefault="00AE6891" w:rsidP="00AE6891">
            <w:pPr>
              <w:spacing w:after="0"/>
              <w:jc w:val="center"/>
              <w:rPr>
                <w:b/>
              </w:rPr>
            </w:pPr>
            <w:r w:rsidRPr="00820BD1">
              <w:rPr>
                <w:b/>
              </w:rPr>
              <w:t>1.74</w:t>
            </w:r>
          </w:p>
        </w:tc>
        <w:tc>
          <w:tcPr>
            <w:tcW w:w="792" w:type="dxa"/>
            <w:vAlign w:val="center"/>
          </w:tcPr>
          <w:p w:rsidR="00AE6891" w:rsidRPr="00246F7E" w:rsidRDefault="00AE6891" w:rsidP="00AE6891">
            <w:pPr>
              <w:spacing w:after="0"/>
              <w:jc w:val="center"/>
            </w:pPr>
            <w:r w:rsidRPr="00246F7E">
              <w:t>2.86</w:t>
            </w:r>
          </w:p>
        </w:tc>
      </w:tr>
      <w:tr w:rsidR="00AE6891" w:rsidTr="00AE6891">
        <w:trPr>
          <w:trHeight w:val="665"/>
        </w:trPr>
        <w:tc>
          <w:tcPr>
            <w:tcW w:w="1511" w:type="dxa"/>
            <w:vAlign w:val="center"/>
          </w:tcPr>
          <w:p w:rsidR="00AE6891" w:rsidRDefault="00AE6891" w:rsidP="00AE6891">
            <w:pPr>
              <w:spacing w:after="0"/>
            </w:pPr>
            <w:r w:rsidRPr="00CC4CF5">
              <w:t>Interior non-reflector lamps</w:t>
            </w:r>
          </w:p>
        </w:tc>
        <w:tc>
          <w:tcPr>
            <w:tcW w:w="1027" w:type="dxa"/>
            <w:vAlign w:val="center"/>
          </w:tcPr>
          <w:p w:rsidR="00AE6891" w:rsidRDefault="00AE6891" w:rsidP="00AE6891">
            <w:pPr>
              <w:spacing w:after="0"/>
              <w:jc w:val="center"/>
            </w:pPr>
            <w:r w:rsidRPr="00CC4CF5">
              <w:t>17.19</w:t>
            </w:r>
          </w:p>
        </w:tc>
        <w:tc>
          <w:tcPr>
            <w:tcW w:w="792" w:type="dxa"/>
            <w:vAlign w:val="center"/>
          </w:tcPr>
          <w:p w:rsidR="00AE6891" w:rsidRDefault="00AE6891" w:rsidP="00AE6891">
            <w:pPr>
              <w:spacing w:after="0"/>
              <w:jc w:val="center"/>
            </w:pPr>
            <w:r w:rsidRPr="00CC4CF5">
              <w:t>59.67</w:t>
            </w:r>
          </w:p>
        </w:tc>
        <w:tc>
          <w:tcPr>
            <w:tcW w:w="792" w:type="dxa"/>
            <w:vAlign w:val="center"/>
          </w:tcPr>
          <w:p w:rsidR="00AE6891" w:rsidRDefault="00AE6891" w:rsidP="00AE6891">
            <w:pPr>
              <w:spacing w:after="0"/>
              <w:jc w:val="center"/>
            </w:pPr>
            <w:r w:rsidRPr="00CC4CF5">
              <w:t>3.47</w:t>
            </w:r>
          </w:p>
        </w:tc>
        <w:tc>
          <w:tcPr>
            <w:tcW w:w="792" w:type="dxa"/>
            <w:vAlign w:val="center"/>
          </w:tcPr>
          <w:p w:rsidR="00AE6891" w:rsidRDefault="00AE6891" w:rsidP="00AE6891">
            <w:pPr>
              <w:spacing w:after="0"/>
              <w:jc w:val="center"/>
            </w:pPr>
            <w:r w:rsidRPr="00CC4CF5">
              <w:t>4.60</w:t>
            </w:r>
          </w:p>
        </w:tc>
        <w:tc>
          <w:tcPr>
            <w:tcW w:w="792" w:type="dxa"/>
            <w:vAlign w:val="center"/>
          </w:tcPr>
          <w:p w:rsidR="00AE6891" w:rsidRDefault="00AE6891" w:rsidP="00AE6891">
            <w:pPr>
              <w:spacing w:after="0"/>
              <w:jc w:val="center"/>
            </w:pPr>
            <w:r w:rsidRPr="00CC4CF5">
              <w:t>12.97</w:t>
            </w:r>
          </w:p>
        </w:tc>
        <w:tc>
          <w:tcPr>
            <w:tcW w:w="792" w:type="dxa"/>
            <w:vAlign w:val="center"/>
          </w:tcPr>
          <w:p w:rsidR="00AE6891" w:rsidRDefault="00AE6891" w:rsidP="00AE6891">
            <w:pPr>
              <w:spacing w:after="0"/>
              <w:jc w:val="center"/>
            </w:pPr>
            <w:r w:rsidRPr="00CC4CF5">
              <w:t>0.50</w:t>
            </w:r>
          </w:p>
        </w:tc>
        <w:tc>
          <w:tcPr>
            <w:tcW w:w="792" w:type="dxa"/>
            <w:vAlign w:val="center"/>
          </w:tcPr>
          <w:p w:rsidR="00AE6891" w:rsidRDefault="00AE6891" w:rsidP="00AE6891">
            <w:pPr>
              <w:spacing w:after="0"/>
              <w:jc w:val="center"/>
            </w:pPr>
            <w:r w:rsidRPr="00CC4CF5">
              <w:t>0.25</w:t>
            </w:r>
          </w:p>
        </w:tc>
        <w:tc>
          <w:tcPr>
            <w:tcW w:w="792" w:type="dxa"/>
            <w:vAlign w:val="center"/>
          </w:tcPr>
          <w:p w:rsidR="00AE6891" w:rsidRDefault="00AE6891" w:rsidP="00AE6891">
            <w:pPr>
              <w:spacing w:after="0"/>
              <w:jc w:val="center"/>
            </w:pPr>
            <w:r w:rsidRPr="00CC4CF5">
              <w:t>26.76</w:t>
            </w:r>
          </w:p>
        </w:tc>
        <w:tc>
          <w:tcPr>
            <w:tcW w:w="792" w:type="dxa"/>
            <w:vAlign w:val="center"/>
          </w:tcPr>
          <w:p w:rsidR="00AE6891" w:rsidRPr="00820BD1" w:rsidRDefault="00AE6891" w:rsidP="00AE6891">
            <w:pPr>
              <w:spacing w:after="0"/>
              <w:jc w:val="center"/>
              <w:rPr>
                <w:b/>
              </w:rPr>
            </w:pPr>
            <w:r w:rsidRPr="00820BD1">
              <w:rPr>
                <w:b/>
              </w:rPr>
              <w:t>1.56</w:t>
            </w:r>
          </w:p>
        </w:tc>
        <w:tc>
          <w:tcPr>
            <w:tcW w:w="792" w:type="dxa"/>
            <w:vAlign w:val="center"/>
          </w:tcPr>
          <w:p w:rsidR="00AE6891" w:rsidRPr="00246F7E" w:rsidRDefault="00AE6891" w:rsidP="00AE6891">
            <w:pPr>
              <w:spacing w:after="0"/>
              <w:jc w:val="center"/>
            </w:pPr>
            <w:r w:rsidRPr="00246F7E">
              <w:t>2.48</w:t>
            </w:r>
          </w:p>
        </w:tc>
      </w:tr>
      <w:tr w:rsidR="00AE6891" w:rsidTr="00AE6891">
        <w:tc>
          <w:tcPr>
            <w:tcW w:w="1511" w:type="dxa"/>
            <w:vAlign w:val="center"/>
          </w:tcPr>
          <w:p w:rsidR="00AE6891" w:rsidRDefault="00AE6891" w:rsidP="00AE6891">
            <w:pPr>
              <w:spacing w:after="0"/>
            </w:pPr>
            <w:r w:rsidRPr="00CC4CF5">
              <w:t>Exterior lamps</w:t>
            </w:r>
          </w:p>
        </w:tc>
        <w:tc>
          <w:tcPr>
            <w:tcW w:w="1027" w:type="dxa"/>
            <w:vAlign w:val="center"/>
          </w:tcPr>
          <w:p w:rsidR="00AE6891" w:rsidRDefault="00AE6891" w:rsidP="00AE6891">
            <w:pPr>
              <w:spacing w:after="0"/>
              <w:jc w:val="center"/>
            </w:pPr>
            <w:r w:rsidRPr="00CC4CF5">
              <w:t>17.88</w:t>
            </w:r>
          </w:p>
        </w:tc>
        <w:tc>
          <w:tcPr>
            <w:tcW w:w="792" w:type="dxa"/>
            <w:vAlign w:val="center"/>
          </w:tcPr>
          <w:p w:rsidR="00AE6891" w:rsidRDefault="00AE6891" w:rsidP="00AE6891">
            <w:pPr>
              <w:spacing w:after="0"/>
              <w:jc w:val="center"/>
            </w:pPr>
            <w:r w:rsidRPr="00CC4CF5">
              <w:t>72.72</w:t>
            </w:r>
          </w:p>
        </w:tc>
        <w:tc>
          <w:tcPr>
            <w:tcW w:w="792" w:type="dxa"/>
            <w:vAlign w:val="center"/>
          </w:tcPr>
          <w:p w:rsidR="00AE6891" w:rsidRDefault="00AE6891" w:rsidP="00AE6891">
            <w:pPr>
              <w:spacing w:after="0"/>
              <w:jc w:val="center"/>
            </w:pPr>
            <w:r w:rsidRPr="00CC4CF5">
              <w:t>4.07</w:t>
            </w:r>
          </w:p>
        </w:tc>
        <w:tc>
          <w:tcPr>
            <w:tcW w:w="792" w:type="dxa"/>
            <w:vAlign w:val="center"/>
          </w:tcPr>
          <w:p w:rsidR="00AE6891" w:rsidRDefault="00AE6891" w:rsidP="00AE6891">
            <w:pPr>
              <w:spacing w:after="0"/>
              <w:jc w:val="center"/>
            </w:pPr>
            <w:r w:rsidRPr="00CC4CF5">
              <w:t>4.60</w:t>
            </w:r>
          </w:p>
        </w:tc>
        <w:tc>
          <w:tcPr>
            <w:tcW w:w="792" w:type="dxa"/>
            <w:vAlign w:val="center"/>
          </w:tcPr>
          <w:p w:rsidR="00AE6891" w:rsidRDefault="00AE6891" w:rsidP="00AE6891">
            <w:pPr>
              <w:spacing w:after="0"/>
              <w:jc w:val="center"/>
            </w:pPr>
            <w:r w:rsidRPr="00CC4CF5">
              <w:t>15.81</w:t>
            </w:r>
          </w:p>
        </w:tc>
        <w:tc>
          <w:tcPr>
            <w:tcW w:w="792" w:type="dxa"/>
            <w:vAlign w:val="center"/>
          </w:tcPr>
          <w:p w:rsidR="00AE6891" w:rsidRDefault="00AE6891" w:rsidP="00AE6891">
            <w:pPr>
              <w:spacing w:after="0"/>
              <w:jc w:val="center"/>
            </w:pPr>
            <w:r w:rsidRPr="00CC4CF5">
              <w:t>0.50</w:t>
            </w:r>
          </w:p>
        </w:tc>
        <w:tc>
          <w:tcPr>
            <w:tcW w:w="792" w:type="dxa"/>
            <w:vAlign w:val="center"/>
          </w:tcPr>
          <w:p w:rsidR="00AE6891" w:rsidRDefault="00AE6891" w:rsidP="00AE6891">
            <w:pPr>
              <w:spacing w:after="0"/>
              <w:jc w:val="center"/>
            </w:pPr>
            <w:r w:rsidRPr="00CC4CF5">
              <w:t>0.25</w:t>
            </w:r>
          </w:p>
        </w:tc>
        <w:tc>
          <w:tcPr>
            <w:tcW w:w="792" w:type="dxa"/>
            <w:vAlign w:val="center"/>
          </w:tcPr>
          <w:p w:rsidR="00AE6891" w:rsidRDefault="00AE6891" w:rsidP="00AE6891">
            <w:pPr>
              <w:spacing w:after="0"/>
              <w:jc w:val="center"/>
            </w:pPr>
            <w:r w:rsidRPr="00CC4CF5">
              <w:t>31.07</w:t>
            </w:r>
          </w:p>
        </w:tc>
        <w:tc>
          <w:tcPr>
            <w:tcW w:w="792" w:type="dxa"/>
            <w:vAlign w:val="center"/>
          </w:tcPr>
          <w:p w:rsidR="00AE6891" w:rsidRPr="00820BD1" w:rsidRDefault="00AE6891" w:rsidP="00AE6891">
            <w:pPr>
              <w:spacing w:after="0"/>
              <w:jc w:val="center"/>
              <w:rPr>
                <w:b/>
              </w:rPr>
            </w:pPr>
            <w:r w:rsidRPr="00820BD1">
              <w:rPr>
                <w:b/>
              </w:rPr>
              <w:t>1.74</w:t>
            </w:r>
          </w:p>
        </w:tc>
        <w:tc>
          <w:tcPr>
            <w:tcW w:w="792" w:type="dxa"/>
            <w:vAlign w:val="center"/>
          </w:tcPr>
          <w:p w:rsidR="00AE6891" w:rsidRPr="00246F7E" w:rsidRDefault="00AE6891" w:rsidP="00AE6891">
            <w:pPr>
              <w:spacing w:after="0"/>
              <w:jc w:val="center"/>
            </w:pPr>
            <w:r w:rsidRPr="00246F7E">
              <w:t>2.84</w:t>
            </w:r>
          </w:p>
        </w:tc>
      </w:tr>
      <w:tr w:rsidR="00AE6891" w:rsidTr="00AE6891">
        <w:tc>
          <w:tcPr>
            <w:tcW w:w="1511" w:type="dxa"/>
            <w:vAlign w:val="center"/>
          </w:tcPr>
          <w:p w:rsidR="00AE6891" w:rsidRDefault="00AE6891" w:rsidP="00AE6891">
            <w:pPr>
              <w:spacing w:after="0"/>
            </w:pPr>
            <w:r w:rsidRPr="00CC4CF5">
              <w:t>All nonresidential</w:t>
            </w:r>
          </w:p>
        </w:tc>
        <w:tc>
          <w:tcPr>
            <w:tcW w:w="1027" w:type="dxa"/>
            <w:vAlign w:val="center"/>
          </w:tcPr>
          <w:p w:rsidR="00AE6891" w:rsidRDefault="00AE6891" w:rsidP="00AE6891">
            <w:pPr>
              <w:spacing w:after="0"/>
              <w:jc w:val="center"/>
            </w:pPr>
            <w:r w:rsidRPr="00CC4CF5">
              <w:t>17.13</w:t>
            </w:r>
          </w:p>
        </w:tc>
        <w:tc>
          <w:tcPr>
            <w:tcW w:w="792" w:type="dxa"/>
            <w:vAlign w:val="center"/>
          </w:tcPr>
          <w:p w:rsidR="00AE6891" w:rsidRDefault="00AE6891" w:rsidP="00AE6891">
            <w:pPr>
              <w:spacing w:after="0"/>
              <w:jc w:val="center"/>
            </w:pPr>
            <w:r w:rsidRPr="00CC4CF5">
              <w:t>61.10</w:t>
            </w:r>
          </w:p>
        </w:tc>
        <w:tc>
          <w:tcPr>
            <w:tcW w:w="792" w:type="dxa"/>
            <w:vAlign w:val="center"/>
          </w:tcPr>
          <w:p w:rsidR="00AE6891" w:rsidRDefault="00AE6891" w:rsidP="00AE6891">
            <w:pPr>
              <w:spacing w:after="0"/>
              <w:jc w:val="center"/>
            </w:pPr>
            <w:r w:rsidRPr="00CC4CF5">
              <w:t>3.57</w:t>
            </w:r>
          </w:p>
        </w:tc>
        <w:tc>
          <w:tcPr>
            <w:tcW w:w="792" w:type="dxa"/>
            <w:vAlign w:val="center"/>
          </w:tcPr>
          <w:p w:rsidR="00AE6891" w:rsidRDefault="00AE6891" w:rsidP="00AE6891">
            <w:pPr>
              <w:spacing w:after="0"/>
              <w:jc w:val="center"/>
            </w:pPr>
            <w:r w:rsidRPr="00CC4CF5">
              <w:t>4.60</w:t>
            </w:r>
          </w:p>
        </w:tc>
        <w:tc>
          <w:tcPr>
            <w:tcW w:w="792" w:type="dxa"/>
            <w:vAlign w:val="center"/>
          </w:tcPr>
          <w:p w:rsidR="00AE6891" w:rsidRDefault="00AE6891" w:rsidP="00AE6891">
            <w:pPr>
              <w:spacing w:after="0"/>
              <w:jc w:val="center"/>
            </w:pPr>
            <w:r w:rsidRPr="00CC4CF5">
              <w:t>13.28</w:t>
            </w:r>
          </w:p>
        </w:tc>
        <w:tc>
          <w:tcPr>
            <w:tcW w:w="792" w:type="dxa"/>
            <w:vAlign w:val="center"/>
          </w:tcPr>
          <w:p w:rsidR="00AE6891" w:rsidRDefault="00AE6891" w:rsidP="00AE6891">
            <w:pPr>
              <w:spacing w:after="0"/>
              <w:jc w:val="center"/>
            </w:pPr>
            <w:r w:rsidRPr="00CC4CF5">
              <w:t>0.50</w:t>
            </w:r>
          </w:p>
        </w:tc>
        <w:tc>
          <w:tcPr>
            <w:tcW w:w="792" w:type="dxa"/>
            <w:vAlign w:val="center"/>
          </w:tcPr>
          <w:p w:rsidR="00AE6891" w:rsidRDefault="00AE6891" w:rsidP="00AE6891">
            <w:pPr>
              <w:spacing w:after="0"/>
              <w:jc w:val="center"/>
            </w:pPr>
            <w:r w:rsidRPr="00CC4CF5">
              <w:t>0.25</w:t>
            </w:r>
          </w:p>
        </w:tc>
        <w:tc>
          <w:tcPr>
            <w:tcW w:w="792" w:type="dxa"/>
            <w:vAlign w:val="center"/>
          </w:tcPr>
          <w:p w:rsidR="00AE6891" w:rsidRDefault="00AE6891" w:rsidP="00AE6891">
            <w:pPr>
              <w:spacing w:after="0"/>
              <w:jc w:val="center"/>
            </w:pPr>
            <w:r w:rsidRPr="00CC4CF5">
              <w:t>27.16</w:t>
            </w:r>
          </w:p>
        </w:tc>
        <w:tc>
          <w:tcPr>
            <w:tcW w:w="792" w:type="dxa"/>
            <w:vAlign w:val="center"/>
          </w:tcPr>
          <w:p w:rsidR="00AE6891" w:rsidRPr="00820BD1" w:rsidRDefault="00AE6891" w:rsidP="00AE6891">
            <w:pPr>
              <w:spacing w:after="0"/>
              <w:jc w:val="center"/>
              <w:rPr>
                <w:b/>
              </w:rPr>
            </w:pPr>
            <w:r w:rsidRPr="00820BD1">
              <w:rPr>
                <w:b/>
              </w:rPr>
              <w:t>1.59</w:t>
            </w:r>
          </w:p>
        </w:tc>
        <w:tc>
          <w:tcPr>
            <w:tcW w:w="792" w:type="dxa"/>
            <w:vAlign w:val="center"/>
          </w:tcPr>
          <w:p w:rsidR="00AE6891" w:rsidRDefault="00AE6891" w:rsidP="00AE6891">
            <w:pPr>
              <w:spacing w:after="0"/>
              <w:jc w:val="center"/>
            </w:pPr>
            <w:r w:rsidRPr="00246F7E">
              <w:t>3.57</w:t>
            </w:r>
          </w:p>
        </w:tc>
      </w:tr>
    </w:tbl>
    <w:p w:rsidR="00AE671B" w:rsidRDefault="005F15E9" w:rsidP="00F87D33">
      <w:pPr>
        <w:pStyle w:val="Heading3"/>
      </w:pPr>
      <w:bookmarkStart w:id="27" w:name="_Ref475962684"/>
      <w:r w:rsidRPr="005F15E9">
        <w:t xml:space="preserve">Revise Net-to-Gross Values to Incorporate </w:t>
      </w:r>
      <w:r w:rsidR="00AE6891">
        <w:t>Increased CFL Lamps in Gross Baseline</w:t>
      </w:r>
      <w:bookmarkEnd w:id="27"/>
    </w:p>
    <w:p w:rsidR="009A121A" w:rsidRDefault="00F87D33" w:rsidP="009A121A">
      <w:pPr>
        <w:pStyle w:val="Body3"/>
      </w:pPr>
      <w:r>
        <w:t>All screw-in lamp workpapers</w:t>
      </w:r>
      <w:r w:rsidR="005D2083">
        <w:t xml:space="preserve">, </w:t>
      </w:r>
      <w:r w:rsidR="009A121A">
        <w:t>without</w:t>
      </w:r>
      <w:r w:rsidR="005D2083">
        <w:t xml:space="preserve"> exception,</w:t>
      </w:r>
      <w:r>
        <w:t xml:space="preserve"> shall be revised to consider energy efficient lamp types in the gross baseline as part of standard practice. </w:t>
      </w:r>
      <w:r w:rsidR="008111CF">
        <w:fldChar w:fldCharType="begin"/>
      </w:r>
      <w:r w:rsidR="008111CF">
        <w:instrText xml:space="preserve"> REF _Ref475958143 \h </w:instrText>
      </w:r>
      <w:r w:rsidR="008111CF">
        <w:fldChar w:fldCharType="separate"/>
      </w:r>
      <w:r w:rsidR="00B25CDA">
        <w:t xml:space="preserve">Table </w:t>
      </w:r>
      <w:r w:rsidR="00B25CDA">
        <w:rPr>
          <w:noProof/>
        </w:rPr>
        <w:t>6</w:t>
      </w:r>
      <w:r w:rsidR="008111CF">
        <w:fldChar w:fldCharType="end"/>
      </w:r>
      <w:r w:rsidR="008111CF">
        <w:t xml:space="preserve"> lists the required NTG values to be used for all screw-in lamps delivered through upstream and midstream programs during 2017.</w:t>
      </w:r>
    </w:p>
    <w:p w:rsidR="00C42220" w:rsidRDefault="00C42220" w:rsidP="00184D53">
      <w:pPr>
        <w:pStyle w:val="Body3"/>
      </w:pPr>
    </w:p>
    <w:p w:rsidR="008111CF" w:rsidRDefault="008111CF" w:rsidP="00820BD1">
      <w:pPr>
        <w:pStyle w:val="Caption"/>
        <w:keepNext/>
        <w:spacing w:after="120"/>
        <w:jc w:val="center"/>
      </w:pPr>
      <w:bookmarkStart w:id="28" w:name="_Ref475958143"/>
      <w:r>
        <w:t xml:space="preserve">Table </w:t>
      </w:r>
      <w:fldSimple w:instr=" SEQ Table \* ARABIC ">
        <w:r w:rsidR="00B25CDA">
          <w:rPr>
            <w:noProof/>
          </w:rPr>
          <w:t>6</w:t>
        </w:r>
      </w:fldSimple>
      <w:bookmarkEnd w:id="28"/>
      <w:r>
        <w:t xml:space="preserve"> - Revised Screw-in Lamp Net-to-Gross Values Effective 1/1/2017</w:t>
      </w:r>
    </w:p>
    <w:tbl>
      <w:tblPr>
        <w:tblStyle w:val="TableGrid"/>
        <w:tblW w:w="4248" w:type="dxa"/>
        <w:jc w:val="center"/>
        <w:tblLayout w:type="fixed"/>
        <w:tblLook w:val="04A0" w:firstRow="1" w:lastRow="0" w:firstColumn="1" w:lastColumn="0" w:noHBand="0" w:noVBand="1"/>
      </w:tblPr>
      <w:tblGrid>
        <w:gridCol w:w="1548"/>
        <w:gridCol w:w="1170"/>
        <w:gridCol w:w="1530"/>
      </w:tblGrid>
      <w:tr w:rsidR="00453708" w:rsidRPr="003B1395" w:rsidTr="00453708">
        <w:trPr>
          <w:jc w:val="center"/>
        </w:trPr>
        <w:tc>
          <w:tcPr>
            <w:tcW w:w="1548" w:type="dxa"/>
            <w:vAlign w:val="bottom"/>
          </w:tcPr>
          <w:p w:rsidR="00453708" w:rsidRPr="003B1395" w:rsidRDefault="00453708" w:rsidP="00453708">
            <w:pPr>
              <w:keepNext/>
              <w:spacing w:after="0"/>
              <w:jc w:val="center"/>
              <w:rPr>
                <w:b/>
                <w:sz w:val="18"/>
                <w:szCs w:val="18"/>
              </w:rPr>
            </w:pPr>
            <w:r>
              <w:rPr>
                <w:b/>
                <w:sz w:val="18"/>
                <w:szCs w:val="18"/>
              </w:rPr>
              <w:t>Lamp Type</w:t>
            </w:r>
          </w:p>
        </w:tc>
        <w:tc>
          <w:tcPr>
            <w:tcW w:w="1170" w:type="dxa"/>
            <w:vAlign w:val="bottom"/>
          </w:tcPr>
          <w:p w:rsidR="00453708" w:rsidRPr="003B1395" w:rsidRDefault="00453708" w:rsidP="00453708">
            <w:pPr>
              <w:keepNext/>
              <w:spacing w:after="0"/>
              <w:jc w:val="center"/>
              <w:rPr>
                <w:b/>
                <w:sz w:val="18"/>
                <w:szCs w:val="18"/>
              </w:rPr>
            </w:pPr>
            <w:r w:rsidRPr="003B1395">
              <w:rPr>
                <w:b/>
                <w:sz w:val="18"/>
                <w:szCs w:val="18"/>
              </w:rPr>
              <w:t>Revised NTG</w:t>
            </w:r>
          </w:p>
        </w:tc>
        <w:tc>
          <w:tcPr>
            <w:tcW w:w="1530" w:type="dxa"/>
            <w:vAlign w:val="bottom"/>
          </w:tcPr>
          <w:p w:rsidR="00453708" w:rsidRPr="003B1395" w:rsidRDefault="00453708" w:rsidP="00453708">
            <w:pPr>
              <w:keepNext/>
              <w:spacing w:after="0"/>
              <w:jc w:val="center"/>
              <w:rPr>
                <w:b/>
                <w:sz w:val="18"/>
                <w:szCs w:val="18"/>
              </w:rPr>
            </w:pPr>
            <w:r w:rsidRPr="003B1395">
              <w:rPr>
                <w:b/>
                <w:sz w:val="18"/>
                <w:szCs w:val="18"/>
              </w:rPr>
              <w:t>Revised NTG w/out Market Effects</w:t>
            </w:r>
          </w:p>
        </w:tc>
      </w:tr>
      <w:tr w:rsidR="00453708" w:rsidRPr="003B1395" w:rsidTr="00453708">
        <w:trPr>
          <w:jc w:val="center"/>
        </w:trPr>
        <w:tc>
          <w:tcPr>
            <w:tcW w:w="1548" w:type="dxa"/>
            <w:vAlign w:val="center"/>
          </w:tcPr>
          <w:p w:rsidR="00453708" w:rsidRPr="003B1395" w:rsidRDefault="00453708" w:rsidP="00453708">
            <w:pPr>
              <w:keepNext/>
              <w:spacing w:after="0"/>
              <w:jc w:val="center"/>
              <w:rPr>
                <w:sz w:val="18"/>
                <w:szCs w:val="18"/>
              </w:rPr>
            </w:pPr>
            <w:r>
              <w:rPr>
                <w:sz w:val="18"/>
                <w:szCs w:val="18"/>
              </w:rPr>
              <w:t>All Upstream CFL</w:t>
            </w:r>
          </w:p>
        </w:tc>
        <w:tc>
          <w:tcPr>
            <w:tcW w:w="1170" w:type="dxa"/>
            <w:vAlign w:val="center"/>
          </w:tcPr>
          <w:p w:rsidR="00453708" w:rsidRPr="003B1395" w:rsidRDefault="00453708" w:rsidP="00453708">
            <w:pPr>
              <w:keepNext/>
              <w:spacing w:after="0"/>
              <w:jc w:val="center"/>
              <w:rPr>
                <w:sz w:val="18"/>
                <w:szCs w:val="18"/>
              </w:rPr>
            </w:pPr>
            <w:r w:rsidRPr="003B1395">
              <w:rPr>
                <w:sz w:val="18"/>
                <w:szCs w:val="18"/>
              </w:rPr>
              <w:t>0.90</w:t>
            </w:r>
          </w:p>
        </w:tc>
        <w:tc>
          <w:tcPr>
            <w:tcW w:w="1530" w:type="dxa"/>
            <w:vAlign w:val="center"/>
          </w:tcPr>
          <w:p w:rsidR="00453708" w:rsidRPr="003B1395" w:rsidRDefault="00453708" w:rsidP="00453708">
            <w:pPr>
              <w:keepNext/>
              <w:spacing w:after="0"/>
              <w:jc w:val="center"/>
              <w:rPr>
                <w:sz w:val="18"/>
                <w:szCs w:val="18"/>
              </w:rPr>
            </w:pPr>
            <w:r w:rsidRPr="003B1395">
              <w:rPr>
                <w:sz w:val="18"/>
                <w:szCs w:val="18"/>
              </w:rPr>
              <w:t>0.85</w:t>
            </w:r>
          </w:p>
        </w:tc>
      </w:tr>
      <w:tr w:rsidR="00453708" w:rsidRPr="003B1395" w:rsidTr="00453708">
        <w:trPr>
          <w:jc w:val="center"/>
        </w:trPr>
        <w:tc>
          <w:tcPr>
            <w:tcW w:w="1548" w:type="dxa"/>
            <w:vAlign w:val="center"/>
          </w:tcPr>
          <w:p w:rsidR="00453708" w:rsidRPr="003B1395" w:rsidRDefault="00453708" w:rsidP="00453708">
            <w:pPr>
              <w:spacing w:after="0"/>
              <w:jc w:val="center"/>
              <w:rPr>
                <w:sz w:val="18"/>
                <w:szCs w:val="18"/>
              </w:rPr>
            </w:pPr>
            <w:r>
              <w:rPr>
                <w:sz w:val="18"/>
                <w:szCs w:val="18"/>
              </w:rPr>
              <w:t>All Upstream LED</w:t>
            </w:r>
          </w:p>
        </w:tc>
        <w:tc>
          <w:tcPr>
            <w:tcW w:w="1170" w:type="dxa"/>
            <w:vAlign w:val="center"/>
          </w:tcPr>
          <w:p w:rsidR="00453708" w:rsidRPr="003B1395" w:rsidRDefault="00453708" w:rsidP="00453708">
            <w:pPr>
              <w:spacing w:after="0"/>
              <w:jc w:val="center"/>
              <w:rPr>
                <w:sz w:val="18"/>
                <w:szCs w:val="18"/>
              </w:rPr>
            </w:pPr>
            <w:r w:rsidRPr="003B1395">
              <w:rPr>
                <w:sz w:val="18"/>
                <w:szCs w:val="18"/>
              </w:rPr>
              <w:t>0.96</w:t>
            </w:r>
          </w:p>
        </w:tc>
        <w:tc>
          <w:tcPr>
            <w:tcW w:w="1530" w:type="dxa"/>
            <w:vAlign w:val="center"/>
          </w:tcPr>
          <w:p w:rsidR="00453708" w:rsidRPr="003B1395" w:rsidRDefault="00453708" w:rsidP="00453708">
            <w:pPr>
              <w:spacing w:after="0"/>
              <w:jc w:val="center"/>
              <w:rPr>
                <w:sz w:val="18"/>
                <w:szCs w:val="18"/>
              </w:rPr>
            </w:pPr>
            <w:r w:rsidRPr="003B1395">
              <w:rPr>
                <w:sz w:val="18"/>
                <w:szCs w:val="18"/>
              </w:rPr>
              <w:t>0.91</w:t>
            </w:r>
          </w:p>
        </w:tc>
      </w:tr>
    </w:tbl>
    <w:p w:rsidR="00453708" w:rsidRDefault="00453708" w:rsidP="00184D53">
      <w:pPr>
        <w:pStyle w:val="Body3"/>
      </w:pPr>
    </w:p>
    <w:p w:rsidR="009A121A" w:rsidRDefault="009A121A" w:rsidP="009A121A">
      <w:pPr>
        <w:pStyle w:val="Heading3"/>
        <w:numPr>
          <w:ilvl w:val="2"/>
          <w:numId w:val="38"/>
        </w:numPr>
      </w:pPr>
      <w:r>
        <w:t>Immediately revise product eligibility requirements for LEDs</w:t>
      </w:r>
    </w:p>
    <w:p w:rsidR="009A121A" w:rsidRPr="00F87D33" w:rsidRDefault="009A121A" w:rsidP="00DF3DAD">
      <w:pPr>
        <w:pStyle w:val="Body3"/>
      </w:pPr>
      <w:r>
        <w:t>P</w:t>
      </w:r>
      <w:r w:rsidRPr="00C6423B">
        <w:t>rogram eligibility rules shall be immediately revised for 2017 to include a minimum efficacy of 90 lm/w and the minimum shall be raised to 100 lm/w as of 1/1/2018.</w:t>
      </w:r>
      <w:r w:rsidR="00DF3DAD">
        <w:t xml:space="preserve"> See Section </w:t>
      </w:r>
      <w:r w:rsidR="00DF3DAD">
        <w:fldChar w:fldCharType="begin"/>
      </w:r>
      <w:r w:rsidR="00DF3DAD">
        <w:instrText xml:space="preserve"> REF _Ref476042288 \r \h </w:instrText>
      </w:r>
      <w:r w:rsidR="00DF3DAD">
        <w:fldChar w:fldCharType="separate"/>
      </w:r>
      <w:r w:rsidR="00DF3DAD">
        <w:t>4.2.3</w:t>
      </w:r>
      <w:r w:rsidR="00DF3DAD">
        <w:fldChar w:fldCharType="end"/>
      </w:r>
      <w:r w:rsidR="00DF3DAD">
        <w:t xml:space="preserve"> for a discussion of lamp efficacy and available products.</w:t>
      </w:r>
    </w:p>
    <w:p w:rsidR="00DE193E" w:rsidRDefault="002D4E44" w:rsidP="005F15E9">
      <w:pPr>
        <w:pStyle w:val="Heading1"/>
      </w:pPr>
      <w:bookmarkStart w:id="29" w:name="_Toc475967910"/>
      <w:bookmarkStart w:id="30" w:name="_Toc476066437"/>
      <w:r>
        <w:t>Review</w:t>
      </w:r>
      <w:r w:rsidR="005F15E9">
        <w:t xml:space="preserve"> of PGECOLTG165</w:t>
      </w:r>
      <w:r>
        <w:t>, LED A-Lamps</w:t>
      </w:r>
      <w:bookmarkEnd w:id="29"/>
      <w:bookmarkEnd w:id="30"/>
    </w:p>
    <w:p w:rsidR="005F15E9" w:rsidRDefault="005F15E9" w:rsidP="005F15E9">
      <w:pPr>
        <w:pStyle w:val="Body1"/>
      </w:pPr>
      <w:r>
        <w:t xml:space="preserve">PG&amp;E’s workpaper, PGECOLTG165 covering LED A-Lamps, is the first in a series of planned updates of workpapers for screw-in LED lamps intended to revise savings calculations in a way that assigns higher savings values to higher efficacy products. The workpaper proposes fixed baselines for each of the four wattage “bins” for legacy incandescent lamps as defined in the Energy Independence and Security Act (EISA). </w:t>
      </w:r>
      <w:fldSimple w:instr=" REF _Ref472432047 ">
        <w:r w:rsidR="002D46C6">
          <w:t xml:space="preserve">Table </w:t>
        </w:r>
        <w:r w:rsidR="002D46C6">
          <w:rPr>
            <w:noProof/>
          </w:rPr>
          <w:t>7</w:t>
        </w:r>
      </w:fldSimple>
      <w:r>
        <w:t xml:space="preserve"> shows the proposed fixed baselines developed for this workpaper. </w:t>
      </w:r>
    </w:p>
    <w:p w:rsidR="005F15E9" w:rsidRDefault="005F15E9" w:rsidP="00820BD1">
      <w:pPr>
        <w:pStyle w:val="Caption"/>
        <w:keepNext/>
        <w:spacing w:after="120"/>
        <w:jc w:val="center"/>
      </w:pPr>
      <w:bookmarkStart w:id="31" w:name="_Ref472432047"/>
      <w:r>
        <w:t xml:space="preserve">Table </w:t>
      </w:r>
      <w:fldSimple w:instr=" SEQ Table \* ARABIC ">
        <w:r w:rsidR="00B25CDA">
          <w:rPr>
            <w:noProof/>
          </w:rPr>
          <w:t>7</w:t>
        </w:r>
      </w:fldSimple>
      <w:bookmarkEnd w:id="31"/>
      <w:r>
        <w:t xml:space="preserve"> - Proposed Workpaper Baseline Development</w:t>
      </w:r>
    </w:p>
    <w:tbl>
      <w:tblPr>
        <w:tblStyle w:val="TableGrid"/>
        <w:tblW w:w="0" w:type="auto"/>
        <w:jc w:val="center"/>
        <w:tblLook w:val="04A0" w:firstRow="1" w:lastRow="0" w:firstColumn="1" w:lastColumn="0" w:noHBand="0" w:noVBand="1"/>
      </w:tblPr>
      <w:tblGrid>
        <w:gridCol w:w="1278"/>
        <w:gridCol w:w="1083"/>
        <w:gridCol w:w="1080"/>
        <w:gridCol w:w="1620"/>
        <w:gridCol w:w="1440"/>
        <w:gridCol w:w="1347"/>
        <w:gridCol w:w="1530"/>
      </w:tblGrid>
      <w:tr w:rsidR="005F15E9" w:rsidTr="005F15E9">
        <w:trPr>
          <w:jc w:val="center"/>
        </w:trPr>
        <w:tc>
          <w:tcPr>
            <w:tcW w:w="1278" w:type="dxa"/>
            <w:vMerge w:val="restart"/>
          </w:tcPr>
          <w:p w:rsidR="005F15E9" w:rsidRPr="003119F8" w:rsidRDefault="005F15E9" w:rsidP="005F15E9">
            <w:pPr>
              <w:keepNext/>
              <w:spacing w:after="0"/>
              <w:jc w:val="center"/>
            </w:pPr>
            <w:r w:rsidRPr="003119F8">
              <w:t>EISA Bin (Watts)</w:t>
            </w:r>
          </w:p>
        </w:tc>
        <w:tc>
          <w:tcPr>
            <w:tcW w:w="2163" w:type="dxa"/>
            <w:gridSpan w:val="2"/>
          </w:tcPr>
          <w:p w:rsidR="005F15E9" w:rsidRPr="003119F8" w:rsidRDefault="005F15E9" w:rsidP="005F15E9">
            <w:pPr>
              <w:keepNext/>
              <w:spacing w:after="0"/>
              <w:jc w:val="center"/>
            </w:pPr>
            <w:r w:rsidRPr="003119F8">
              <w:t>Output (lumens)</w:t>
            </w:r>
          </w:p>
        </w:tc>
        <w:tc>
          <w:tcPr>
            <w:tcW w:w="3060" w:type="dxa"/>
            <w:gridSpan w:val="2"/>
          </w:tcPr>
          <w:p w:rsidR="005F15E9" w:rsidRPr="003119F8" w:rsidRDefault="005F15E9" w:rsidP="005F15E9">
            <w:pPr>
              <w:keepNext/>
              <w:spacing w:after="0"/>
              <w:jc w:val="center"/>
            </w:pPr>
            <w:r w:rsidRPr="003119F8">
              <w:t>Baseline power (Watts)</w:t>
            </w:r>
          </w:p>
        </w:tc>
        <w:tc>
          <w:tcPr>
            <w:tcW w:w="1347" w:type="dxa"/>
            <w:vMerge w:val="restart"/>
          </w:tcPr>
          <w:p w:rsidR="005F15E9" w:rsidRPr="003119F8" w:rsidRDefault="005F15E9" w:rsidP="005F15E9">
            <w:pPr>
              <w:keepNext/>
              <w:spacing w:after="0"/>
              <w:jc w:val="center"/>
            </w:pPr>
            <w:r w:rsidRPr="003119F8">
              <w:t xml:space="preserve">Fraction CFL (note </w:t>
            </w:r>
            <w:r w:rsidRPr="003119F8">
              <w:fldChar w:fldCharType="begin"/>
            </w:r>
            <w:r w:rsidRPr="003119F8">
              <w:instrText xml:space="preserve"> REF _Ref472432673 \r </w:instrText>
            </w:r>
            <w:r>
              <w:instrText xml:space="preserve"> \* MERGEFORMAT </w:instrText>
            </w:r>
            <w:r w:rsidRPr="003119F8">
              <w:fldChar w:fldCharType="separate"/>
            </w:r>
            <w:r w:rsidR="00B25CDA">
              <w:t>3</w:t>
            </w:r>
            <w:r w:rsidRPr="003119F8">
              <w:fldChar w:fldCharType="end"/>
            </w:r>
            <w:r w:rsidRPr="003119F8">
              <w:t xml:space="preserve">) </w:t>
            </w:r>
          </w:p>
        </w:tc>
        <w:tc>
          <w:tcPr>
            <w:tcW w:w="1530" w:type="dxa"/>
            <w:vMerge w:val="restart"/>
          </w:tcPr>
          <w:p w:rsidR="005F15E9" w:rsidRPr="003119F8" w:rsidRDefault="005F15E9" w:rsidP="005F15E9">
            <w:pPr>
              <w:keepNext/>
              <w:spacing w:after="0"/>
              <w:jc w:val="center"/>
            </w:pPr>
            <w:r w:rsidRPr="003119F8">
              <w:t xml:space="preserve">Baseline Watts (note </w:t>
            </w:r>
            <w:r w:rsidRPr="003119F8">
              <w:fldChar w:fldCharType="begin"/>
            </w:r>
            <w:r w:rsidRPr="003119F8">
              <w:instrText xml:space="preserve"> REF _Ref472436658 \r </w:instrText>
            </w:r>
            <w:r>
              <w:instrText xml:space="preserve"> \* MERGEFORMAT </w:instrText>
            </w:r>
            <w:r w:rsidRPr="003119F8">
              <w:fldChar w:fldCharType="separate"/>
            </w:r>
            <w:r w:rsidR="00B25CDA">
              <w:t>4</w:t>
            </w:r>
            <w:r w:rsidRPr="003119F8">
              <w:fldChar w:fldCharType="end"/>
            </w:r>
            <w:r w:rsidRPr="003119F8">
              <w:t>)</w:t>
            </w:r>
          </w:p>
        </w:tc>
      </w:tr>
      <w:tr w:rsidR="005F15E9" w:rsidTr="005F15E9">
        <w:trPr>
          <w:jc w:val="center"/>
        </w:trPr>
        <w:tc>
          <w:tcPr>
            <w:tcW w:w="1278" w:type="dxa"/>
            <w:vMerge/>
          </w:tcPr>
          <w:p w:rsidR="005F15E9" w:rsidRPr="003119F8" w:rsidRDefault="005F15E9" w:rsidP="005F15E9">
            <w:pPr>
              <w:keepNext/>
              <w:spacing w:after="0"/>
              <w:jc w:val="center"/>
            </w:pPr>
          </w:p>
        </w:tc>
        <w:tc>
          <w:tcPr>
            <w:tcW w:w="1083" w:type="dxa"/>
          </w:tcPr>
          <w:p w:rsidR="005F15E9" w:rsidRPr="003119F8" w:rsidRDefault="005F15E9" w:rsidP="005F15E9">
            <w:pPr>
              <w:keepNext/>
              <w:spacing w:after="0"/>
              <w:jc w:val="center"/>
            </w:pPr>
            <w:r w:rsidRPr="003119F8">
              <w:t>Min</w:t>
            </w:r>
          </w:p>
        </w:tc>
        <w:tc>
          <w:tcPr>
            <w:tcW w:w="1080" w:type="dxa"/>
          </w:tcPr>
          <w:p w:rsidR="005F15E9" w:rsidRPr="003119F8" w:rsidRDefault="005F15E9" w:rsidP="005F15E9">
            <w:pPr>
              <w:keepNext/>
              <w:spacing w:after="0"/>
              <w:jc w:val="center"/>
            </w:pPr>
            <w:r w:rsidRPr="003119F8">
              <w:t>Max</w:t>
            </w:r>
          </w:p>
        </w:tc>
        <w:tc>
          <w:tcPr>
            <w:tcW w:w="1620" w:type="dxa"/>
          </w:tcPr>
          <w:p w:rsidR="005F15E9" w:rsidRPr="003119F8" w:rsidRDefault="005F15E9" w:rsidP="005F15E9">
            <w:pPr>
              <w:keepNext/>
              <w:spacing w:after="0"/>
              <w:jc w:val="center"/>
            </w:pPr>
            <w:r w:rsidRPr="003119F8">
              <w:t xml:space="preserve">Halogen (note </w:t>
            </w:r>
            <w:fldSimple w:instr=" REF _Ref472432322 \r  \* MERGEFORMAT ">
              <w:r w:rsidR="00B25CDA">
                <w:t>1</w:t>
              </w:r>
            </w:fldSimple>
            <w:r w:rsidRPr="003119F8">
              <w:t>)</w:t>
            </w:r>
          </w:p>
        </w:tc>
        <w:tc>
          <w:tcPr>
            <w:tcW w:w="1440" w:type="dxa"/>
          </w:tcPr>
          <w:p w:rsidR="005F15E9" w:rsidRPr="003119F8" w:rsidRDefault="005F15E9" w:rsidP="005F15E9">
            <w:pPr>
              <w:keepNext/>
              <w:spacing w:after="0"/>
              <w:jc w:val="center"/>
            </w:pPr>
            <w:r w:rsidRPr="003119F8">
              <w:t xml:space="preserve">CFL (note </w:t>
            </w:r>
            <w:fldSimple w:instr=" REF _Ref472432352 \r  \* MERGEFORMAT ">
              <w:r w:rsidR="00B25CDA">
                <w:t>2</w:t>
              </w:r>
            </w:fldSimple>
            <w:r w:rsidRPr="003119F8">
              <w:t>)</w:t>
            </w:r>
          </w:p>
        </w:tc>
        <w:tc>
          <w:tcPr>
            <w:tcW w:w="1347" w:type="dxa"/>
            <w:vMerge/>
          </w:tcPr>
          <w:p w:rsidR="005F15E9" w:rsidRPr="003119F8" w:rsidRDefault="005F15E9" w:rsidP="005F15E9">
            <w:pPr>
              <w:keepNext/>
              <w:spacing w:after="0"/>
              <w:jc w:val="center"/>
            </w:pPr>
          </w:p>
        </w:tc>
        <w:tc>
          <w:tcPr>
            <w:tcW w:w="1530" w:type="dxa"/>
            <w:vMerge/>
          </w:tcPr>
          <w:p w:rsidR="005F15E9" w:rsidRPr="003119F8" w:rsidRDefault="005F15E9" w:rsidP="005F15E9">
            <w:pPr>
              <w:keepNext/>
              <w:spacing w:after="0"/>
              <w:jc w:val="center"/>
            </w:pPr>
          </w:p>
        </w:tc>
      </w:tr>
      <w:tr w:rsidR="005F15E9" w:rsidTr="005F15E9">
        <w:trPr>
          <w:jc w:val="center"/>
        </w:trPr>
        <w:tc>
          <w:tcPr>
            <w:tcW w:w="1278" w:type="dxa"/>
          </w:tcPr>
          <w:p w:rsidR="005F15E9" w:rsidRPr="003119F8" w:rsidRDefault="005F15E9" w:rsidP="005F15E9">
            <w:pPr>
              <w:keepNext/>
              <w:spacing w:after="0"/>
              <w:jc w:val="center"/>
            </w:pPr>
            <w:r w:rsidRPr="003119F8">
              <w:t>40</w:t>
            </w:r>
          </w:p>
        </w:tc>
        <w:tc>
          <w:tcPr>
            <w:tcW w:w="1083" w:type="dxa"/>
          </w:tcPr>
          <w:p w:rsidR="005F15E9" w:rsidRPr="003119F8" w:rsidRDefault="005F15E9" w:rsidP="005F15E9">
            <w:pPr>
              <w:keepNext/>
              <w:spacing w:after="0"/>
              <w:jc w:val="center"/>
            </w:pPr>
            <w:r w:rsidRPr="003119F8">
              <w:t>310</w:t>
            </w:r>
          </w:p>
        </w:tc>
        <w:tc>
          <w:tcPr>
            <w:tcW w:w="1080" w:type="dxa"/>
          </w:tcPr>
          <w:p w:rsidR="005F15E9" w:rsidRPr="003119F8" w:rsidRDefault="005F15E9" w:rsidP="005F15E9">
            <w:pPr>
              <w:keepNext/>
              <w:spacing w:after="0"/>
              <w:jc w:val="center"/>
            </w:pPr>
            <w:r w:rsidRPr="003119F8">
              <w:t>749</w:t>
            </w:r>
          </w:p>
        </w:tc>
        <w:tc>
          <w:tcPr>
            <w:tcW w:w="1620" w:type="dxa"/>
          </w:tcPr>
          <w:p w:rsidR="005F15E9" w:rsidRPr="003119F8" w:rsidRDefault="005F15E9" w:rsidP="005F15E9">
            <w:pPr>
              <w:keepNext/>
              <w:spacing w:after="0"/>
              <w:jc w:val="center"/>
            </w:pPr>
            <w:r w:rsidRPr="003119F8">
              <w:t>29</w:t>
            </w:r>
          </w:p>
        </w:tc>
        <w:tc>
          <w:tcPr>
            <w:tcW w:w="1440" w:type="dxa"/>
          </w:tcPr>
          <w:p w:rsidR="005F15E9" w:rsidRPr="003119F8" w:rsidRDefault="005F15E9" w:rsidP="005F15E9">
            <w:pPr>
              <w:keepNext/>
              <w:spacing w:after="0"/>
              <w:jc w:val="center"/>
            </w:pPr>
            <w:r w:rsidRPr="003119F8">
              <w:t>10</w:t>
            </w:r>
          </w:p>
        </w:tc>
        <w:tc>
          <w:tcPr>
            <w:tcW w:w="1347" w:type="dxa"/>
            <w:vMerge w:val="restart"/>
            <w:vAlign w:val="center"/>
          </w:tcPr>
          <w:p w:rsidR="005F15E9" w:rsidRPr="003119F8" w:rsidRDefault="005F15E9" w:rsidP="005F15E9">
            <w:pPr>
              <w:keepNext/>
              <w:spacing w:after="0"/>
              <w:jc w:val="center"/>
            </w:pPr>
            <w:r w:rsidRPr="003119F8">
              <w:t>0.60</w:t>
            </w:r>
          </w:p>
        </w:tc>
        <w:tc>
          <w:tcPr>
            <w:tcW w:w="1530" w:type="dxa"/>
          </w:tcPr>
          <w:p w:rsidR="005F15E9" w:rsidRPr="003119F8" w:rsidRDefault="005F15E9" w:rsidP="005F15E9">
            <w:pPr>
              <w:keepNext/>
              <w:spacing w:after="0"/>
              <w:jc w:val="center"/>
            </w:pPr>
            <w:r w:rsidRPr="003119F8">
              <w:t>17.6</w:t>
            </w:r>
          </w:p>
        </w:tc>
      </w:tr>
      <w:tr w:rsidR="005F15E9" w:rsidTr="005F15E9">
        <w:trPr>
          <w:jc w:val="center"/>
        </w:trPr>
        <w:tc>
          <w:tcPr>
            <w:tcW w:w="1278" w:type="dxa"/>
          </w:tcPr>
          <w:p w:rsidR="005F15E9" w:rsidRPr="003119F8" w:rsidRDefault="005F15E9" w:rsidP="005F15E9">
            <w:pPr>
              <w:keepNext/>
              <w:spacing w:after="0"/>
              <w:jc w:val="center"/>
            </w:pPr>
            <w:r w:rsidRPr="003119F8">
              <w:t>60</w:t>
            </w:r>
          </w:p>
        </w:tc>
        <w:tc>
          <w:tcPr>
            <w:tcW w:w="1083" w:type="dxa"/>
          </w:tcPr>
          <w:p w:rsidR="005F15E9" w:rsidRPr="003119F8" w:rsidRDefault="005F15E9" w:rsidP="005F15E9">
            <w:pPr>
              <w:keepNext/>
              <w:spacing w:after="0"/>
              <w:jc w:val="center"/>
            </w:pPr>
            <w:r w:rsidRPr="003119F8">
              <w:t>750</w:t>
            </w:r>
          </w:p>
        </w:tc>
        <w:tc>
          <w:tcPr>
            <w:tcW w:w="1080" w:type="dxa"/>
          </w:tcPr>
          <w:p w:rsidR="005F15E9" w:rsidRPr="003119F8" w:rsidRDefault="005F15E9" w:rsidP="005F15E9">
            <w:pPr>
              <w:keepNext/>
              <w:spacing w:after="0"/>
              <w:jc w:val="center"/>
            </w:pPr>
            <w:r w:rsidRPr="003119F8">
              <w:t>1049</w:t>
            </w:r>
          </w:p>
        </w:tc>
        <w:tc>
          <w:tcPr>
            <w:tcW w:w="1620" w:type="dxa"/>
          </w:tcPr>
          <w:p w:rsidR="005F15E9" w:rsidRPr="003119F8" w:rsidRDefault="005F15E9" w:rsidP="005F15E9">
            <w:pPr>
              <w:keepNext/>
              <w:spacing w:after="0"/>
              <w:jc w:val="center"/>
            </w:pPr>
            <w:r w:rsidRPr="003119F8">
              <w:t>43</w:t>
            </w:r>
          </w:p>
        </w:tc>
        <w:tc>
          <w:tcPr>
            <w:tcW w:w="1440" w:type="dxa"/>
          </w:tcPr>
          <w:p w:rsidR="005F15E9" w:rsidRPr="003119F8" w:rsidRDefault="005F15E9" w:rsidP="005F15E9">
            <w:pPr>
              <w:keepNext/>
              <w:spacing w:after="0"/>
              <w:jc w:val="center"/>
            </w:pPr>
            <w:r w:rsidRPr="003119F8">
              <w:t>13</w:t>
            </w:r>
          </w:p>
        </w:tc>
        <w:tc>
          <w:tcPr>
            <w:tcW w:w="1347" w:type="dxa"/>
            <w:vMerge/>
          </w:tcPr>
          <w:p w:rsidR="005F15E9" w:rsidRPr="003119F8" w:rsidRDefault="005F15E9" w:rsidP="005F15E9">
            <w:pPr>
              <w:keepNext/>
              <w:spacing w:after="0"/>
              <w:jc w:val="center"/>
            </w:pPr>
          </w:p>
        </w:tc>
        <w:tc>
          <w:tcPr>
            <w:tcW w:w="1530" w:type="dxa"/>
          </w:tcPr>
          <w:p w:rsidR="005F15E9" w:rsidRPr="003119F8" w:rsidRDefault="005F15E9" w:rsidP="005F15E9">
            <w:pPr>
              <w:keepNext/>
              <w:spacing w:after="0"/>
              <w:jc w:val="center"/>
            </w:pPr>
            <w:r w:rsidRPr="003119F8">
              <w:t>25.0</w:t>
            </w:r>
          </w:p>
        </w:tc>
      </w:tr>
      <w:tr w:rsidR="005F15E9" w:rsidTr="005F15E9">
        <w:trPr>
          <w:jc w:val="center"/>
        </w:trPr>
        <w:tc>
          <w:tcPr>
            <w:tcW w:w="1278" w:type="dxa"/>
          </w:tcPr>
          <w:p w:rsidR="005F15E9" w:rsidRPr="003119F8" w:rsidRDefault="005F15E9" w:rsidP="005F15E9">
            <w:pPr>
              <w:keepNext/>
              <w:spacing w:after="0"/>
              <w:jc w:val="center"/>
            </w:pPr>
            <w:r w:rsidRPr="003119F8">
              <w:t>75</w:t>
            </w:r>
          </w:p>
        </w:tc>
        <w:tc>
          <w:tcPr>
            <w:tcW w:w="1083" w:type="dxa"/>
          </w:tcPr>
          <w:p w:rsidR="005F15E9" w:rsidRPr="003119F8" w:rsidRDefault="005F15E9" w:rsidP="005F15E9">
            <w:pPr>
              <w:keepNext/>
              <w:spacing w:after="0"/>
              <w:jc w:val="center"/>
            </w:pPr>
            <w:r w:rsidRPr="003119F8">
              <w:t>1050</w:t>
            </w:r>
          </w:p>
        </w:tc>
        <w:tc>
          <w:tcPr>
            <w:tcW w:w="1080" w:type="dxa"/>
          </w:tcPr>
          <w:p w:rsidR="005F15E9" w:rsidRPr="003119F8" w:rsidRDefault="005F15E9" w:rsidP="005F15E9">
            <w:pPr>
              <w:keepNext/>
              <w:spacing w:after="0"/>
              <w:jc w:val="center"/>
            </w:pPr>
            <w:r w:rsidRPr="003119F8">
              <w:t>1489</w:t>
            </w:r>
          </w:p>
        </w:tc>
        <w:tc>
          <w:tcPr>
            <w:tcW w:w="1620" w:type="dxa"/>
          </w:tcPr>
          <w:p w:rsidR="005F15E9" w:rsidRPr="003119F8" w:rsidRDefault="005F15E9" w:rsidP="005F15E9">
            <w:pPr>
              <w:keepNext/>
              <w:spacing w:after="0"/>
              <w:jc w:val="center"/>
            </w:pPr>
            <w:r w:rsidRPr="003119F8">
              <w:t>53</w:t>
            </w:r>
          </w:p>
        </w:tc>
        <w:tc>
          <w:tcPr>
            <w:tcW w:w="1440" w:type="dxa"/>
          </w:tcPr>
          <w:p w:rsidR="005F15E9" w:rsidRPr="003119F8" w:rsidRDefault="005F15E9" w:rsidP="005F15E9">
            <w:pPr>
              <w:keepNext/>
              <w:spacing w:after="0"/>
              <w:jc w:val="center"/>
            </w:pPr>
            <w:r w:rsidRPr="003119F8">
              <w:t>18</w:t>
            </w:r>
          </w:p>
        </w:tc>
        <w:tc>
          <w:tcPr>
            <w:tcW w:w="1347" w:type="dxa"/>
            <w:vMerge/>
          </w:tcPr>
          <w:p w:rsidR="005F15E9" w:rsidRPr="003119F8" w:rsidRDefault="005F15E9" w:rsidP="005F15E9">
            <w:pPr>
              <w:keepNext/>
              <w:spacing w:after="0"/>
              <w:jc w:val="center"/>
            </w:pPr>
          </w:p>
        </w:tc>
        <w:tc>
          <w:tcPr>
            <w:tcW w:w="1530" w:type="dxa"/>
          </w:tcPr>
          <w:p w:rsidR="005F15E9" w:rsidRPr="003119F8" w:rsidRDefault="005F15E9" w:rsidP="005F15E9">
            <w:pPr>
              <w:keepNext/>
              <w:spacing w:after="0"/>
              <w:jc w:val="center"/>
            </w:pPr>
            <w:r w:rsidRPr="003119F8">
              <w:t>32.0</w:t>
            </w:r>
          </w:p>
        </w:tc>
      </w:tr>
      <w:tr w:rsidR="005F15E9" w:rsidTr="005F15E9">
        <w:trPr>
          <w:jc w:val="center"/>
        </w:trPr>
        <w:tc>
          <w:tcPr>
            <w:tcW w:w="1278" w:type="dxa"/>
          </w:tcPr>
          <w:p w:rsidR="005F15E9" w:rsidRPr="003119F8" w:rsidRDefault="005F15E9" w:rsidP="005F15E9">
            <w:pPr>
              <w:keepNext/>
              <w:spacing w:after="0"/>
              <w:jc w:val="center"/>
            </w:pPr>
            <w:r w:rsidRPr="003119F8">
              <w:t>100</w:t>
            </w:r>
          </w:p>
        </w:tc>
        <w:tc>
          <w:tcPr>
            <w:tcW w:w="1083" w:type="dxa"/>
          </w:tcPr>
          <w:p w:rsidR="005F15E9" w:rsidRPr="003119F8" w:rsidRDefault="005F15E9" w:rsidP="005F15E9">
            <w:pPr>
              <w:keepNext/>
              <w:spacing w:after="0"/>
              <w:jc w:val="center"/>
            </w:pPr>
            <w:r w:rsidRPr="003119F8">
              <w:t>1490</w:t>
            </w:r>
          </w:p>
        </w:tc>
        <w:tc>
          <w:tcPr>
            <w:tcW w:w="1080" w:type="dxa"/>
          </w:tcPr>
          <w:p w:rsidR="005F15E9" w:rsidRPr="003119F8" w:rsidRDefault="005F15E9" w:rsidP="005F15E9">
            <w:pPr>
              <w:keepNext/>
              <w:spacing w:after="0"/>
              <w:jc w:val="center"/>
            </w:pPr>
            <w:r w:rsidRPr="003119F8">
              <w:t>2600</w:t>
            </w:r>
          </w:p>
        </w:tc>
        <w:tc>
          <w:tcPr>
            <w:tcW w:w="1620" w:type="dxa"/>
          </w:tcPr>
          <w:p w:rsidR="005F15E9" w:rsidRPr="003119F8" w:rsidRDefault="005F15E9" w:rsidP="005F15E9">
            <w:pPr>
              <w:keepNext/>
              <w:spacing w:after="0"/>
              <w:jc w:val="center"/>
            </w:pPr>
            <w:r w:rsidRPr="003119F8">
              <w:t>72</w:t>
            </w:r>
          </w:p>
        </w:tc>
        <w:tc>
          <w:tcPr>
            <w:tcW w:w="1440" w:type="dxa"/>
          </w:tcPr>
          <w:p w:rsidR="005F15E9" w:rsidRPr="003119F8" w:rsidRDefault="005F15E9" w:rsidP="005F15E9">
            <w:pPr>
              <w:keepNext/>
              <w:spacing w:after="0"/>
              <w:jc w:val="center"/>
            </w:pPr>
            <w:r w:rsidRPr="003119F8">
              <w:t>23</w:t>
            </w:r>
          </w:p>
        </w:tc>
        <w:tc>
          <w:tcPr>
            <w:tcW w:w="1347" w:type="dxa"/>
            <w:vMerge/>
          </w:tcPr>
          <w:p w:rsidR="005F15E9" w:rsidRPr="003119F8" w:rsidRDefault="005F15E9" w:rsidP="005F15E9">
            <w:pPr>
              <w:keepNext/>
              <w:spacing w:after="0"/>
              <w:jc w:val="center"/>
            </w:pPr>
          </w:p>
        </w:tc>
        <w:tc>
          <w:tcPr>
            <w:tcW w:w="1530" w:type="dxa"/>
          </w:tcPr>
          <w:p w:rsidR="005F15E9" w:rsidRPr="003119F8" w:rsidRDefault="005F15E9" w:rsidP="005F15E9">
            <w:pPr>
              <w:keepNext/>
              <w:spacing w:after="0"/>
              <w:jc w:val="center"/>
            </w:pPr>
            <w:r w:rsidRPr="003119F8">
              <w:t>42.6</w:t>
            </w:r>
          </w:p>
        </w:tc>
      </w:tr>
    </w:tbl>
    <w:p w:rsidR="005F15E9" w:rsidRPr="00685481" w:rsidRDefault="005F15E9" w:rsidP="005F15E9">
      <w:pPr>
        <w:keepNext/>
        <w:spacing w:after="0"/>
        <w:rPr>
          <w:sz w:val="18"/>
          <w:szCs w:val="18"/>
        </w:rPr>
      </w:pPr>
      <w:r w:rsidRPr="00685481">
        <w:rPr>
          <w:sz w:val="18"/>
          <w:szCs w:val="18"/>
        </w:rPr>
        <w:t xml:space="preserve">Notes to </w:t>
      </w:r>
      <w:r w:rsidRPr="00685481">
        <w:rPr>
          <w:sz w:val="18"/>
          <w:szCs w:val="18"/>
        </w:rPr>
        <w:fldChar w:fldCharType="begin"/>
      </w:r>
      <w:r w:rsidRPr="00685481">
        <w:rPr>
          <w:sz w:val="18"/>
          <w:szCs w:val="18"/>
        </w:rPr>
        <w:instrText xml:space="preserve"> REF _Ref472432047  \* MERGEFORMAT </w:instrText>
      </w:r>
      <w:r w:rsidRPr="00685481">
        <w:rPr>
          <w:sz w:val="18"/>
          <w:szCs w:val="18"/>
        </w:rPr>
        <w:fldChar w:fldCharType="separate"/>
      </w:r>
      <w:r w:rsidR="00B25CDA" w:rsidRPr="00E01086">
        <w:rPr>
          <w:sz w:val="18"/>
          <w:szCs w:val="18"/>
        </w:rPr>
        <w:t xml:space="preserve">Table </w:t>
      </w:r>
      <w:r w:rsidR="00B25CDA" w:rsidRPr="00E01086">
        <w:rPr>
          <w:noProof/>
          <w:sz w:val="18"/>
          <w:szCs w:val="18"/>
        </w:rPr>
        <w:t>7</w:t>
      </w:r>
      <w:r w:rsidRPr="00685481">
        <w:rPr>
          <w:sz w:val="18"/>
          <w:szCs w:val="18"/>
        </w:rPr>
        <w:fldChar w:fldCharType="end"/>
      </w:r>
      <w:r w:rsidRPr="00685481">
        <w:rPr>
          <w:sz w:val="18"/>
          <w:szCs w:val="18"/>
        </w:rPr>
        <w:t>:</w:t>
      </w:r>
    </w:p>
    <w:p w:rsidR="005F15E9" w:rsidRPr="00685481" w:rsidRDefault="005F15E9" w:rsidP="005F15E9">
      <w:pPr>
        <w:pStyle w:val="ListParagraph"/>
        <w:keepNext/>
        <w:numPr>
          <w:ilvl w:val="0"/>
          <w:numId w:val="30"/>
        </w:numPr>
        <w:spacing w:after="0"/>
        <w:rPr>
          <w:sz w:val="18"/>
          <w:szCs w:val="18"/>
        </w:rPr>
      </w:pPr>
      <w:bookmarkStart w:id="32" w:name="_Ref472432322"/>
      <w:r w:rsidRPr="00685481">
        <w:rPr>
          <w:sz w:val="18"/>
          <w:szCs w:val="18"/>
        </w:rPr>
        <w:t>EISA maximum allowed incandescent wattage for bin</w:t>
      </w:r>
      <w:bookmarkEnd w:id="32"/>
    </w:p>
    <w:p w:rsidR="005F15E9" w:rsidRPr="00685481" w:rsidRDefault="005F15E9" w:rsidP="005F15E9">
      <w:pPr>
        <w:pStyle w:val="ListParagraph"/>
        <w:keepNext/>
        <w:numPr>
          <w:ilvl w:val="0"/>
          <w:numId w:val="30"/>
        </w:numPr>
        <w:rPr>
          <w:sz w:val="18"/>
          <w:szCs w:val="18"/>
        </w:rPr>
      </w:pPr>
      <w:bookmarkStart w:id="33" w:name="_Ref472432352"/>
      <w:r w:rsidRPr="00685481">
        <w:rPr>
          <w:sz w:val="18"/>
          <w:szCs w:val="18"/>
        </w:rPr>
        <w:t xml:space="preserve">Workpaper Table 8 notes: </w:t>
      </w:r>
      <w:r w:rsidRPr="00685481">
        <w:rPr>
          <w:i/>
          <w:sz w:val="18"/>
          <w:szCs w:val="18"/>
        </w:rPr>
        <w:t>“max wattage CFL (based on Lumen Equivalency)”</w:t>
      </w:r>
      <w:bookmarkEnd w:id="33"/>
    </w:p>
    <w:p w:rsidR="005F15E9" w:rsidRPr="00685481" w:rsidRDefault="005F15E9" w:rsidP="005F15E9">
      <w:pPr>
        <w:pStyle w:val="ListParagraph"/>
        <w:keepNext/>
        <w:numPr>
          <w:ilvl w:val="0"/>
          <w:numId w:val="30"/>
        </w:numPr>
        <w:rPr>
          <w:sz w:val="18"/>
          <w:szCs w:val="18"/>
        </w:rPr>
      </w:pPr>
      <w:bookmarkStart w:id="34" w:name="_Ref472432673"/>
      <w:r w:rsidRPr="00685481">
        <w:rPr>
          <w:sz w:val="18"/>
          <w:szCs w:val="18"/>
        </w:rPr>
        <w:t xml:space="preserve">Fraction of baseline lamps that are CFLs with the remaining lamps being halogen </w:t>
      </w:r>
      <w:bookmarkEnd w:id="34"/>
      <w:r w:rsidRPr="00685481">
        <w:rPr>
          <w:sz w:val="18"/>
          <w:szCs w:val="18"/>
        </w:rPr>
        <w:t>incandescent lamps.</w:t>
      </w:r>
    </w:p>
    <w:p w:rsidR="005F15E9" w:rsidRDefault="005F15E9" w:rsidP="005F15E9">
      <w:pPr>
        <w:pStyle w:val="ListParagraph"/>
        <w:numPr>
          <w:ilvl w:val="0"/>
          <w:numId w:val="30"/>
        </w:numPr>
        <w:rPr>
          <w:sz w:val="18"/>
          <w:szCs w:val="18"/>
        </w:rPr>
      </w:pPr>
      <w:bookmarkStart w:id="35" w:name="_Ref472436658"/>
      <w:r w:rsidRPr="00685481">
        <w:rPr>
          <w:sz w:val="18"/>
          <w:szCs w:val="18"/>
        </w:rPr>
        <w:t>Baseline Watts = 0.60 x CFL Watts + 0.40 x Halogen Watts</w:t>
      </w:r>
      <w:bookmarkEnd w:id="35"/>
    </w:p>
    <w:p w:rsidR="005F15E9" w:rsidRPr="00820BD1" w:rsidRDefault="005F15E9" w:rsidP="005F15E9">
      <w:pPr>
        <w:pStyle w:val="Body1"/>
        <w:rPr>
          <w:sz w:val="18"/>
        </w:rPr>
      </w:pPr>
      <w:r>
        <w:t xml:space="preserve">Savings are calculated for any LED by determining that LED’s EISA bin placement based on its rated lumen output. For example, an 11-watt lamp rated at 1,150 lumens falls into the 75 watt EISA bin with a baseline of 32 watts and a wattage reduction of 21 watts. </w:t>
      </w:r>
      <w:r w:rsidR="009F5F3F">
        <w:t>A drawback of</w:t>
      </w:r>
      <w:r>
        <w:t xml:space="preserve"> this method is that all lamps of a given wattage and within the same EISA bin are assigned the same savings. </w:t>
      </w:r>
      <w:r w:rsidR="009F5F3F">
        <w:t>For instance</w:t>
      </w:r>
      <w:r>
        <w:t>, an 11 watt lamp rated at 1,400 lumens has the same 32 watt baseline as the previous example, even though the second lamp has 20% greater output.</w:t>
      </w:r>
      <w:r w:rsidR="00DF3DAD">
        <w:t xml:space="preserve"> </w:t>
      </w:r>
      <w:r>
        <w:fldChar w:fldCharType="begin"/>
      </w:r>
      <w:r>
        <w:instrText xml:space="preserve"> REF _Ref472500658 \h </w:instrText>
      </w:r>
      <w:r>
        <w:fldChar w:fldCharType="separate"/>
      </w:r>
      <w:r w:rsidR="00B25CDA">
        <w:t xml:space="preserve">Table </w:t>
      </w:r>
      <w:r w:rsidR="00B25CDA">
        <w:rPr>
          <w:noProof/>
        </w:rPr>
        <w:t>8</w:t>
      </w:r>
      <w:r>
        <w:fldChar w:fldCharType="end"/>
      </w:r>
      <w:r>
        <w:t xml:space="preserve"> and </w:t>
      </w:r>
      <w:r>
        <w:fldChar w:fldCharType="begin"/>
      </w:r>
      <w:r>
        <w:instrText xml:space="preserve"> REF _Ref472501940 \h </w:instrText>
      </w:r>
      <w:r>
        <w:fldChar w:fldCharType="separate"/>
      </w:r>
      <w:r w:rsidR="00B25CDA">
        <w:t xml:space="preserve">Figure </w:t>
      </w:r>
      <w:r w:rsidR="00B25CDA">
        <w:rPr>
          <w:noProof/>
        </w:rPr>
        <w:t>2</w:t>
      </w:r>
      <w:r>
        <w:fldChar w:fldCharType="end"/>
      </w:r>
      <w:r>
        <w:t xml:space="preserve"> </w:t>
      </w:r>
      <w:r w:rsidR="00DF3DAD">
        <w:t>compare</w:t>
      </w:r>
      <w:r>
        <w:t xml:space="preserve"> proposed and </w:t>
      </w:r>
      <w:r w:rsidR="00DF3DAD">
        <w:t xml:space="preserve">previously </w:t>
      </w:r>
      <w:r>
        <w:t>approved wattage reductions</w:t>
      </w:r>
      <w:r w:rsidR="00DF3DAD">
        <w:t xml:space="preserve"> for LED A-lamps</w:t>
      </w:r>
      <w:r>
        <w:t>.</w:t>
      </w:r>
    </w:p>
    <w:p w:rsidR="005F15E9" w:rsidRDefault="005F15E9" w:rsidP="00820BD1">
      <w:pPr>
        <w:pStyle w:val="Caption"/>
        <w:keepNext/>
        <w:spacing w:after="120"/>
        <w:jc w:val="center"/>
      </w:pPr>
      <w:bookmarkStart w:id="36" w:name="_Ref472500658"/>
      <w:r>
        <w:lastRenderedPageBreak/>
        <w:t xml:space="preserve">Table </w:t>
      </w:r>
      <w:fldSimple w:instr=" SEQ Table \* ARABIC ">
        <w:r w:rsidR="00B25CDA">
          <w:rPr>
            <w:noProof/>
          </w:rPr>
          <w:t>8</w:t>
        </w:r>
      </w:fldSimple>
      <w:bookmarkEnd w:id="36"/>
      <w:r>
        <w:t xml:space="preserve"> - Comparison of Proposed to </w:t>
      </w:r>
      <w:r w:rsidR="00DF3DAD">
        <w:t xml:space="preserve">Previously </w:t>
      </w:r>
      <w:r>
        <w:t>Approved Values</w:t>
      </w:r>
      <w:r w:rsidR="00DF3DAD">
        <w:t xml:space="preserve"> for LED A-Lamps</w:t>
      </w:r>
    </w:p>
    <w:tbl>
      <w:tblPr>
        <w:tblStyle w:val="TableGrid"/>
        <w:tblW w:w="9648" w:type="dxa"/>
        <w:jc w:val="center"/>
        <w:tblLayout w:type="fixed"/>
        <w:tblLook w:val="04A0" w:firstRow="1" w:lastRow="0" w:firstColumn="1" w:lastColumn="0" w:noHBand="0" w:noVBand="1"/>
      </w:tblPr>
      <w:tblGrid>
        <w:gridCol w:w="572"/>
        <w:gridCol w:w="870"/>
        <w:gridCol w:w="1096"/>
        <w:gridCol w:w="1080"/>
        <w:gridCol w:w="871"/>
        <w:gridCol w:w="839"/>
        <w:gridCol w:w="810"/>
        <w:gridCol w:w="871"/>
        <w:gridCol w:w="871"/>
        <w:gridCol w:w="775"/>
        <w:gridCol w:w="993"/>
      </w:tblGrid>
      <w:tr w:rsidR="005F15E9" w:rsidTr="005F15E9">
        <w:trPr>
          <w:jc w:val="center"/>
        </w:trPr>
        <w:tc>
          <w:tcPr>
            <w:tcW w:w="572" w:type="dxa"/>
            <w:vMerge w:val="restart"/>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EISA Bin</w:t>
            </w:r>
          </w:p>
        </w:tc>
        <w:tc>
          <w:tcPr>
            <w:tcW w:w="870" w:type="dxa"/>
            <w:tcBorders>
              <w:bottom w:val="nil"/>
            </w:tcBorders>
          </w:tcPr>
          <w:p w:rsidR="005F15E9" w:rsidRPr="005276D2" w:rsidRDefault="005F15E9" w:rsidP="005F15E9">
            <w:pPr>
              <w:keepNext/>
              <w:widowControl w:val="0"/>
              <w:contextualSpacing/>
              <w:rPr>
                <w:rFonts w:asciiTheme="minorHAnsi" w:hAnsiTheme="minorHAnsi" w:cs="Calibri"/>
                <w:sz w:val="18"/>
                <w:szCs w:val="18"/>
              </w:rPr>
            </w:pPr>
          </w:p>
        </w:tc>
        <w:tc>
          <w:tcPr>
            <w:tcW w:w="4696" w:type="dxa"/>
            <w:gridSpan w:val="5"/>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Proposed Workpaper Values</w:t>
            </w:r>
          </w:p>
        </w:tc>
        <w:tc>
          <w:tcPr>
            <w:tcW w:w="2517" w:type="dxa"/>
            <w:gridSpan w:val="3"/>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Current Approved Values</w:t>
            </w:r>
          </w:p>
        </w:tc>
        <w:tc>
          <w:tcPr>
            <w:tcW w:w="993" w:type="dxa"/>
            <w:tcBorders>
              <w:bottom w:val="nil"/>
            </w:tcBorders>
          </w:tcPr>
          <w:p w:rsidR="005F15E9" w:rsidRPr="005276D2" w:rsidRDefault="005F15E9" w:rsidP="005F15E9">
            <w:pPr>
              <w:keepNext/>
              <w:widowControl w:val="0"/>
              <w:contextualSpacing/>
              <w:rPr>
                <w:rFonts w:asciiTheme="minorHAnsi" w:hAnsiTheme="minorHAnsi" w:cs="Calibri"/>
                <w:sz w:val="18"/>
                <w:szCs w:val="18"/>
              </w:rPr>
            </w:pPr>
          </w:p>
        </w:tc>
      </w:tr>
      <w:tr w:rsidR="005F15E9" w:rsidTr="005F15E9">
        <w:trPr>
          <w:jc w:val="center"/>
        </w:trPr>
        <w:tc>
          <w:tcPr>
            <w:tcW w:w="572" w:type="dxa"/>
            <w:vMerge/>
            <w:vAlign w:val="bottom"/>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Borders>
              <w:top w:val="nil"/>
            </w:tcBorders>
            <w:vAlign w:val="bottom"/>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Watts</w:t>
            </w:r>
          </w:p>
        </w:tc>
        <w:tc>
          <w:tcPr>
            <w:tcW w:w="1096" w:type="dxa"/>
            <w:vAlign w:val="bottom"/>
          </w:tcPr>
          <w:p w:rsidR="005F15E9" w:rsidRPr="005276D2" w:rsidRDefault="005F15E9" w:rsidP="005F15E9">
            <w:pPr>
              <w:keepNext/>
              <w:widowControl w:val="0"/>
              <w:contextualSpacing/>
              <w:jc w:val="center"/>
              <w:rPr>
                <w:rFonts w:asciiTheme="minorHAnsi" w:hAnsiTheme="minorHAnsi" w:cs="Calibri"/>
                <w:sz w:val="18"/>
                <w:szCs w:val="18"/>
              </w:rPr>
            </w:pPr>
            <w:r>
              <w:rPr>
                <w:rFonts w:asciiTheme="minorHAnsi" w:hAnsiTheme="minorHAnsi" w:cs="Calibri"/>
                <w:sz w:val="18"/>
                <w:szCs w:val="18"/>
              </w:rPr>
              <w:t xml:space="preserve">Min lm </w:t>
            </w:r>
            <w:r w:rsidRPr="0026230D">
              <w:rPr>
                <w:rFonts w:asciiTheme="minorHAnsi" w:hAnsiTheme="minorHAnsi" w:cs="Calibri"/>
                <w:sz w:val="18"/>
                <w:szCs w:val="18"/>
              </w:rPr>
              <w:t>(</w:t>
            </w:r>
            <w:r>
              <w:rPr>
                <w:rFonts w:asciiTheme="minorHAnsi" w:hAnsiTheme="minorHAnsi" w:cs="Calibri"/>
                <w:sz w:val="18"/>
                <w:szCs w:val="18"/>
              </w:rPr>
              <w:t xml:space="preserve">note </w:t>
            </w:r>
            <w:r w:rsidRPr="0026230D">
              <w:rPr>
                <w:rFonts w:asciiTheme="minorHAnsi" w:hAnsiTheme="minorHAnsi" w:cs="Calibri"/>
                <w:sz w:val="18"/>
                <w:szCs w:val="18"/>
              </w:rPr>
              <w:fldChar w:fldCharType="begin"/>
            </w:r>
            <w:r w:rsidRPr="0026230D">
              <w:rPr>
                <w:rFonts w:asciiTheme="minorHAnsi" w:hAnsiTheme="minorHAnsi" w:cs="Calibri"/>
                <w:sz w:val="18"/>
                <w:szCs w:val="18"/>
              </w:rPr>
              <w:instrText xml:space="preserve"> REF _Ref472500932 \r </w:instrText>
            </w:r>
            <w:r>
              <w:rPr>
                <w:rFonts w:asciiTheme="minorHAnsi" w:hAnsiTheme="minorHAnsi" w:cs="Calibri"/>
                <w:sz w:val="18"/>
                <w:szCs w:val="18"/>
              </w:rPr>
              <w:instrText xml:space="preserve"> \* MERGEFORMAT </w:instrText>
            </w:r>
            <w:r w:rsidRPr="0026230D">
              <w:rPr>
                <w:rFonts w:asciiTheme="minorHAnsi" w:hAnsiTheme="minorHAnsi" w:cs="Calibri"/>
                <w:sz w:val="18"/>
                <w:szCs w:val="18"/>
              </w:rPr>
              <w:fldChar w:fldCharType="separate"/>
            </w:r>
            <w:r w:rsidR="00B25CDA">
              <w:rPr>
                <w:rFonts w:asciiTheme="minorHAnsi" w:hAnsiTheme="minorHAnsi" w:cs="Calibri"/>
                <w:sz w:val="18"/>
                <w:szCs w:val="18"/>
              </w:rPr>
              <w:t>1</w:t>
            </w:r>
            <w:r w:rsidRPr="0026230D">
              <w:rPr>
                <w:rFonts w:asciiTheme="minorHAnsi" w:hAnsiTheme="minorHAnsi" w:cs="Calibri"/>
                <w:sz w:val="18"/>
                <w:szCs w:val="18"/>
              </w:rPr>
              <w:fldChar w:fldCharType="end"/>
            </w:r>
            <w:r w:rsidRPr="0026230D">
              <w:rPr>
                <w:rFonts w:asciiTheme="minorHAnsi" w:hAnsiTheme="minorHAnsi" w:cs="Calibri"/>
                <w:sz w:val="18"/>
                <w:szCs w:val="18"/>
              </w:rPr>
              <w:t>)</w:t>
            </w:r>
          </w:p>
        </w:tc>
        <w:tc>
          <w:tcPr>
            <w:tcW w:w="1080" w:type="dxa"/>
            <w:vAlign w:val="bottom"/>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Max lm/W</w:t>
            </w:r>
            <w:r>
              <w:rPr>
                <w:rFonts w:asciiTheme="minorHAnsi" w:hAnsiTheme="minorHAnsi" w:cs="Calibri"/>
                <w:sz w:val="18"/>
                <w:szCs w:val="18"/>
              </w:rPr>
              <w:t xml:space="preserve"> </w:t>
            </w:r>
            <w:r w:rsidRPr="0026230D">
              <w:rPr>
                <w:rFonts w:asciiTheme="minorHAnsi" w:hAnsiTheme="minorHAnsi" w:cs="Calibri"/>
                <w:sz w:val="18"/>
                <w:szCs w:val="18"/>
              </w:rPr>
              <w:t>(</w:t>
            </w:r>
            <w:r>
              <w:rPr>
                <w:rFonts w:asciiTheme="minorHAnsi" w:hAnsiTheme="minorHAnsi" w:cs="Calibri"/>
                <w:sz w:val="18"/>
                <w:szCs w:val="18"/>
              </w:rPr>
              <w:t xml:space="preserve">note </w:t>
            </w:r>
            <w:r w:rsidRPr="0026230D">
              <w:rPr>
                <w:rFonts w:asciiTheme="minorHAnsi" w:hAnsiTheme="minorHAnsi" w:cs="Calibri"/>
                <w:sz w:val="18"/>
                <w:szCs w:val="18"/>
              </w:rPr>
              <w:fldChar w:fldCharType="begin"/>
            </w:r>
            <w:r w:rsidRPr="0026230D">
              <w:rPr>
                <w:rFonts w:asciiTheme="minorHAnsi" w:hAnsiTheme="minorHAnsi" w:cs="Calibri"/>
                <w:sz w:val="18"/>
                <w:szCs w:val="18"/>
              </w:rPr>
              <w:instrText xml:space="preserve"> REF _Ref472500940 \r </w:instrText>
            </w:r>
            <w:r>
              <w:rPr>
                <w:rFonts w:asciiTheme="minorHAnsi" w:hAnsiTheme="minorHAnsi" w:cs="Calibri"/>
                <w:sz w:val="18"/>
                <w:szCs w:val="18"/>
              </w:rPr>
              <w:instrText xml:space="preserve"> \* MERGEFORMAT </w:instrText>
            </w:r>
            <w:r w:rsidRPr="0026230D">
              <w:rPr>
                <w:rFonts w:asciiTheme="minorHAnsi" w:hAnsiTheme="minorHAnsi" w:cs="Calibri"/>
                <w:sz w:val="18"/>
                <w:szCs w:val="18"/>
              </w:rPr>
              <w:fldChar w:fldCharType="separate"/>
            </w:r>
            <w:r w:rsidR="00B25CDA">
              <w:rPr>
                <w:rFonts w:asciiTheme="minorHAnsi" w:hAnsiTheme="minorHAnsi" w:cs="Calibri"/>
                <w:sz w:val="18"/>
                <w:szCs w:val="18"/>
              </w:rPr>
              <w:t>2</w:t>
            </w:r>
            <w:r w:rsidRPr="0026230D">
              <w:rPr>
                <w:rFonts w:asciiTheme="minorHAnsi" w:hAnsiTheme="minorHAnsi" w:cs="Calibri"/>
                <w:sz w:val="18"/>
                <w:szCs w:val="18"/>
              </w:rPr>
              <w:fldChar w:fldCharType="end"/>
            </w:r>
            <w:r w:rsidRPr="0026230D">
              <w:rPr>
                <w:rFonts w:asciiTheme="minorHAnsi" w:hAnsiTheme="minorHAnsi" w:cs="Calibri"/>
                <w:sz w:val="18"/>
                <w:szCs w:val="18"/>
              </w:rPr>
              <w:t>)</w:t>
            </w:r>
          </w:p>
        </w:tc>
        <w:tc>
          <w:tcPr>
            <w:tcW w:w="871" w:type="dxa"/>
            <w:vAlign w:val="bottom"/>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Base W</w:t>
            </w:r>
          </w:p>
        </w:tc>
        <w:tc>
          <w:tcPr>
            <w:tcW w:w="839" w:type="dxa"/>
            <w:vAlign w:val="bottom"/>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∆W</w:t>
            </w:r>
          </w:p>
        </w:tc>
        <w:tc>
          <w:tcPr>
            <w:tcW w:w="810" w:type="dxa"/>
            <w:vAlign w:val="bottom"/>
          </w:tcPr>
          <w:p w:rsidR="005F15E9" w:rsidRPr="0026230D" w:rsidRDefault="005F15E9" w:rsidP="005F15E9">
            <w:pPr>
              <w:keepNext/>
              <w:widowControl w:val="0"/>
              <w:contextualSpacing/>
              <w:jc w:val="center"/>
              <w:rPr>
                <w:rFonts w:asciiTheme="minorHAnsi" w:hAnsiTheme="minorHAnsi" w:cs="Calibri"/>
                <w:sz w:val="18"/>
                <w:szCs w:val="18"/>
              </w:rPr>
            </w:pPr>
            <w:r w:rsidRPr="0026230D">
              <w:rPr>
                <w:rFonts w:asciiTheme="minorHAnsi" w:hAnsiTheme="minorHAnsi" w:cs="Calibri"/>
                <w:sz w:val="18"/>
                <w:szCs w:val="18"/>
              </w:rPr>
              <w:t xml:space="preserve">WRR (note </w:t>
            </w:r>
            <w:r w:rsidRPr="0026230D">
              <w:rPr>
                <w:rFonts w:asciiTheme="minorHAnsi" w:hAnsiTheme="minorHAnsi" w:cs="Calibri"/>
                <w:sz w:val="18"/>
                <w:szCs w:val="18"/>
              </w:rPr>
              <w:fldChar w:fldCharType="begin"/>
            </w:r>
            <w:r w:rsidRPr="0026230D">
              <w:rPr>
                <w:rFonts w:asciiTheme="minorHAnsi" w:hAnsiTheme="minorHAnsi" w:cs="Calibri"/>
                <w:sz w:val="18"/>
                <w:szCs w:val="18"/>
              </w:rPr>
              <w:instrText xml:space="preserve"> REF _Ref472500950 \r </w:instrText>
            </w:r>
            <w:r>
              <w:rPr>
                <w:rFonts w:asciiTheme="minorHAnsi" w:hAnsiTheme="minorHAnsi" w:cs="Calibri"/>
                <w:sz w:val="18"/>
                <w:szCs w:val="18"/>
              </w:rPr>
              <w:instrText xml:space="preserve"> \* MERGEFORMAT </w:instrText>
            </w:r>
            <w:r w:rsidRPr="0026230D">
              <w:rPr>
                <w:rFonts w:asciiTheme="minorHAnsi" w:hAnsiTheme="minorHAnsi" w:cs="Calibri"/>
                <w:sz w:val="18"/>
                <w:szCs w:val="18"/>
              </w:rPr>
              <w:fldChar w:fldCharType="separate"/>
            </w:r>
            <w:r w:rsidR="00B25CDA">
              <w:rPr>
                <w:rFonts w:asciiTheme="minorHAnsi" w:hAnsiTheme="minorHAnsi" w:cs="Calibri"/>
                <w:sz w:val="18"/>
                <w:szCs w:val="18"/>
              </w:rPr>
              <w:t>3</w:t>
            </w:r>
            <w:r w:rsidRPr="0026230D">
              <w:rPr>
                <w:rFonts w:asciiTheme="minorHAnsi" w:hAnsiTheme="minorHAnsi" w:cs="Calibri"/>
                <w:sz w:val="18"/>
                <w:szCs w:val="18"/>
              </w:rPr>
              <w:fldChar w:fldCharType="end"/>
            </w:r>
            <w:r w:rsidRPr="0026230D">
              <w:rPr>
                <w:rFonts w:asciiTheme="minorHAnsi" w:hAnsiTheme="minorHAnsi" w:cs="Calibri"/>
                <w:sz w:val="18"/>
                <w:szCs w:val="18"/>
              </w:rPr>
              <w:t>)</w:t>
            </w:r>
          </w:p>
        </w:tc>
        <w:tc>
          <w:tcPr>
            <w:tcW w:w="871" w:type="dxa"/>
            <w:vAlign w:val="bottom"/>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WRR</w:t>
            </w:r>
            <w:r>
              <w:rPr>
                <w:rFonts w:asciiTheme="minorHAnsi" w:hAnsiTheme="minorHAnsi" w:cs="Calibri"/>
                <w:sz w:val="18"/>
                <w:szCs w:val="18"/>
              </w:rPr>
              <w:t xml:space="preserve"> </w:t>
            </w:r>
            <w:r w:rsidRPr="0026230D">
              <w:rPr>
                <w:rFonts w:asciiTheme="minorHAnsi" w:hAnsiTheme="minorHAnsi" w:cs="Calibri"/>
                <w:sz w:val="18"/>
                <w:szCs w:val="18"/>
              </w:rPr>
              <w:t xml:space="preserve">(note </w:t>
            </w:r>
            <w:r w:rsidRPr="0026230D">
              <w:rPr>
                <w:rFonts w:asciiTheme="minorHAnsi" w:hAnsiTheme="minorHAnsi" w:cs="Calibri"/>
                <w:sz w:val="18"/>
                <w:szCs w:val="18"/>
              </w:rPr>
              <w:fldChar w:fldCharType="begin"/>
            </w:r>
            <w:r w:rsidRPr="0026230D">
              <w:rPr>
                <w:rFonts w:asciiTheme="minorHAnsi" w:hAnsiTheme="minorHAnsi" w:cs="Calibri"/>
                <w:sz w:val="18"/>
                <w:szCs w:val="18"/>
              </w:rPr>
              <w:instrText xml:space="preserve"> REF _Ref472500957 \r  \* MERGEFORMAT </w:instrText>
            </w:r>
            <w:r w:rsidRPr="0026230D">
              <w:rPr>
                <w:rFonts w:asciiTheme="minorHAnsi" w:hAnsiTheme="minorHAnsi" w:cs="Calibri"/>
                <w:sz w:val="18"/>
                <w:szCs w:val="18"/>
              </w:rPr>
              <w:fldChar w:fldCharType="separate"/>
            </w:r>
            <w:r w:rsidR="00B25CDA">
              <w:rPr>
                <w:rFonts w:asciiTheme="minorHAnsi" w:hAnsiTheme="minorHAnsi" w:cs="Calibri"/>
                <w:sz w:val="18"/>
                <w:szCs w:val="18"/>
              </w:rPr>
              <w:t>4</w:t>
            </w:r>
            <w:r w:rsidRPr="0026230D">
              <w:rPr>
                <w:rFonts w:asciiTheme="minorHAnsi" w:hAnsiTheme="minorHAnsi" w:cs="Calibri"/>
                <w:sz w:val="18"/>
                <w:szCs w:val="18"/>
              </w:rPr>
              <w:fldChar w:fldCharType="end"/>
            </w:r>
            <w:r w:rsidRPr="0026230D">
              <w:rPr>
                <w:rFonts w:asciiTheme="minorHAnsi" w:hAnsiTheme="minorHAnsi" w:cs="Calibri"/>
                <w:sz w:val="18"/>
                <w:szCs w:val="18"/>
              </w:rPr>
              <w:t>)</w:t>
            </w:r>
          </w:p>
        </w:tc>
        <w:tc>
          <w:tcPr>
            <w:tcW w:w="871" w:type="dxa"/>
            <w:vAlign w:val="bottom"/>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Base W</w:t>
            </w:r>
          </w:p>
        </w:tc>
        <w:tc>
          <w:tcPr>
            <w:tcW w:w="775" w:type="dxa"/>
            <w:vAlign w:val="bottom"/>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∆W</w:t>
            </w:r>
          </w:p>
        </w:tc>
        <w:tc>
          <w:tcPr>
            <w:tcW w:w="993" w:type="dxa"/>
            <w:tcBorders>
              <w:top w:val="nil"/>
            </w:tcBorders>
            <w:vAlign w:val="bottom"/>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 change</w:t>
            </w:r>
          </w:p>
        </w:tc>
      </w:tr>
      <w:tr w:rsidR="005F15E9" w:rsidTr="005F15E9">
        <w:trPr>
          <w:jc w:val="center"/>
        </w:trPr>
        <w:tc>
          <w:tcPr>
            <w:tcW w:w="572" w:type="dxa"/>
            <w:vMerge w:val="restart"/>
            <w:textDirection w:val="btLr"/>
          </w:tcPr>
          <w:p w:rsidR="005F15E9" w:rsidRPr="005276D2" w:rsidRDefault="005F15E9" w:rsidP="005F15E9">
            <w:pPr>
              <w:keepNext/>
              <w:widowControl w:val="0"/>
              <w:ind w:left="113" w:right="113"/>
              <w:contextualSpacing/>
              <w:jc w:val="center"/>
              <w:rPr>
                <w:rFonts w:asciiTheme="minorHAnsi" w:hAnsiTheme="minorHAnsi" w:cs="Calibri"/>
                <w:sz w:val="18"/>
                <w:szCs w:val="18"/>
              </w:rPr>
            </w:pPr>
            <w:r w:rsidRPr="005276D2">
              <w:rPr>
                <w:rFonts w:asciiTheme="minorHAnsi" w:hAnsiTheme="minorHAnsi" w:cs="Calibri"/>
                <w:sz w:val="18"/>
                <w:szCs w:val="18"/>
              </w:rPr>
              <w:t>40W (310-749 lm)</w:t>
            </w: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Pr>
                <w:rFonts w:asciiTheme="minorHAnsi" w:hAnsiTheme="minorHAnsi" w:cs="Calibri"/>
                <w:sz w:val="18"/>
                <w:szCs w:val="18"/>
              </w:rPr>
              <w:t>350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150</w:t>
            </w:r>
          </w:p>
        </w:tc>
        <w:tc>
          <w:tcPr>
            <w:tcW w:w="871" w:type="dxa"/>
            <w:vMerge w:val="restart"/>
            <w:vAlign w:val="center"/>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17.6</w:t>
            </w: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12.6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3.52</w:t>
            </w:r>
          </w:p>
        </w:tc>
        <w:tc>
          <w:tcPr>
            <w:tcW w:w="871" w:type="dxa"/>
            <w:vMerge w:val="restart"/>
            <w:vAlign w:val="center"/>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2.96</w:t>
            </w: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14.80</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9.80</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28.6%</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6</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420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125</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2.93</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17.76</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11.76</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-1.4%</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490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107</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2.51</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20.72</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13.72</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-22.7%</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560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94</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2.20</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23.68</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15.68</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-38.8%</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630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83</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1.96</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26.64</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17.64</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-51.2%</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700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75</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1.76</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29.60</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19.60</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-61.2%</w:t>
            </w:r>
          </w:p>
        </w:tc>
      </w:tr>
      <w:tr w:rsidR="005F15E9" w:rsidTr="005F15E9">
        <w:trPr>
          <w:jc w:val="center"/>
        </w:trPr>
        <w:tc>
          <w:tcPr>
            <w:tcW w:w="572" w:type="dxa"/>
            <w:vMerge w:val="restart"/>
            <w:textDirection w:val="btLr"/>
          </w:tcPr>
          <w:p w:rsidR="005F15E9" w:rsidRPr="005276D2" w:rsidRDefault="005F15E9" w:rsidP="005F15E9">
            <w:pPr>
              <w:keepNext/>
              <w:widowControl w:val="0"/>
              <w:ind w:left="113" w:right="113"/>
              <w:contextualSpacing/>
              <w:jc w:val="center"/>
              <w:rPr>
                <w:rFonts w:asciiTheme="minorHAnsi" w:hAnsiTheme="minorHAnsi" w:cs="Calibri"/>
                <w:sz w:val="18"/>
                <w:szCs w:val="18"/>
              </w:rPr>
            </w:pPr>
            <w:r w:rsidRPr="005276D2">
              <w:rPr>
                <w:rFonts w:asciiTheme="minorHAnsi" w:hAnsiTheme="minorHAnsi" w:cs="Calibri"/>
                <w:sz w:val="18"/>
                <w:szCs w:val="18"/>
              </w:rPr>
              <w:t>60W (750-1049 lm)</w:t>
            </w: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490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150</w:t>
            </w:r>
          </w:p>
        </w:tc>
        <w:tc>
          <w:tcPr>
            <w:tcW w:w="871" w:type="dxa"/>
            <w:vMerge w:val="restart"/>
            <w:vAlign w:val="center"/>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25.0</w:t>
            </w: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18.0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3.57</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20.72</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13.72</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31.2%</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560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131</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3.13</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23.68</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15.68</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8.4%</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630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117</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16.0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2.78</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26.64</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17.64</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-9.3%</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700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105</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2.50</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29.60</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19.60</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-23.5%</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770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95</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14.0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2.27</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32.56</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21.56</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-35.1%</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12</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840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87</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2.08</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35.52</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23.52</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-44.7%</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910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81</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12.0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1.92</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38.48</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25.48</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-52.9%</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14</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980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75</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1.79</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41.44</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27.44</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-59.9%</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1050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70</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1.67</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44.40</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29.40</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-66.0%</w:t>
            </w:r>
          </w:p>
        </w:tc>
      </w:tr>
      <w:tr w:rsidR="005F15E9" w:rsidTr="005F15E9">
        <w:trPr>
          <w:jc w:val="center"/>
        </w:trPr>
        <w:tc>
          <w:tcPr>
            <w:tcW w:w="572" w:type="dxa"/>
            <w:vMerge w:val="restart"/>
            <w:textDirection w:val="btLr"/>
          </w:tcPr>
          <w:p w:rsidR="005F15E9" w:rsidRPr="005276D2" w:rsidRDefault="005F15E9" w:rsidP="005F15E9">
            <w:pPr>
              <w:keepNext/>
              <w:widowControl w:val="0"/>
              <w:ind w:left="113" w:right="113"/>
              <w:contextualSpacing/>
              <w:jc w:val="center"/>
              <w:rPr>
                <w:rFonts w:asciiTheme="minorHAnsi" w:hAnsiTheme="minorHAnsi" w:cs="Calibri"/>
                <w:sz w:val="18"/>
                <w:szCs w:val="18"/>
              </w:rPr>
            </w:pPr>
            <w:r w:rsidRPr="005276D2">
              <w:rPr>
                <w:rFonts w:asciiTheme="minorHAnsi" w:hAnsiTheme="minorHAnsi" w:cs="Calibri"/>
                <w:sz w:val="18"/>
                <w:szCs w:val="18"/>
              </w:rPr>
              <w:t>75W (1050-1489 lm)</w:t>
            </w: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700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149</w:t>
            </w:r>
          </w:p>
        </w:tc>
        <w:tc>
          <w:tcPr>
            <w:tcW w:w="871" w:type="dxa"/>
            <w:vMerge w:val="restart"/>
            <w:vAlign w:val="center"/>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32.0</w:t>
            </w: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22.0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3.20</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29.60</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19.60</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12.2%</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770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135</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21.0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2.91</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32.56</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21.56</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-2.6%</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12</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840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124</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20.0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2.67</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35.52</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23.52</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-15.0%</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910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115</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19.0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2.46</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38.48</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25.48</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-25.4%</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14</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980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106</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18.0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2.29</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41.44</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27.44</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-34.4%</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1050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99</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2.13</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44.40</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29.40</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-42.2%</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16</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1120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93</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16.0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2.00</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47.36</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31.36</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-49.0%</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1190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88</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15.0</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1.88</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50.32</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33.32</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-55.0%</w:t>
            </w:r>
          </w:p>
        </w:tc>
      </w:tr>
      <w:tr w:rsidR="005F15E9" w:rsidTr="005F15E9">
        <w:trPr>
          <w:jc w:val="center"/>
        </w:trPr>
        <w:tc>
          <w:tcPr>
            <w:tcW w:w="572" w:type="dxa"/>
            <w:vMerge w:val="restart"/>
            <w:textDirection w:val="btLr"/>
          </w:tcPr>
          <w:p w:rsidR="005F15E9" w:rsidRPr="005276D2" w:rsidRDefault="005F15E9" w:rsidP="005F15E9">
            <w:pPr>
              <w:keepNext/>
              <w:widowControl w:val="0"/>
              <w:ind w:left="113" w:right="113"/>
              <w:contextualSpacing/>
              <w:jc w:val="center"/>
              <w:rPr>
                <w:rFonts w:asciiTheme="minorHAnsi" w:hAnsiTheme="minorHAnsi" w:cs="Calibri"/>
                <w:sz w:val="18"/>
                <w:szCs w:val="18"/>
              </w:rPr>
            </w:pPr>
            <w:r w:rsidRPr="005276D2">
              <w:rPr>
                <w:rFonts w:asciiTheme="minorHAnsi" w:hAnsiTheme="minorHAnsi" w:cs="Calibri"/>
                <w:sz w:val="18"/>
                <w:szCs w:val="18"/>
              </w:rPr>
              <w:t>100W (1490-2600 lm)</w:t>
            </w: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14</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980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186</w:t>
            </w:r>
          </w:p>
        </w:tc>
        <w:tc>
          <w:tcPr>
            <w:tcW w:w="871" w:type="dxa"/>
            <w:vMerge w:val="restart"/>
            <w:vAlign w:val="center"/>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42.6</w:t>
            </w: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28.6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3.04</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41.44</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27.44</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4.2%</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1050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173</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27.6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2.84</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44.40</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29.40</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-6.1%</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16</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1120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163</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26.6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2.66</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47.36</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31.36</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-15.2%</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17</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1190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153</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25.6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2.51</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50.32</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33.32</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-23.2%</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18</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1260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144</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24.6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2.37</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53.28</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35.28</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-30.3%</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19</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1330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137</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23.6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2.24</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56.24</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37.24</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-36.6%</w:t>
            </w:r>
          </w:p>
        </w:tc>
      </w:tr>
      <w:tr w:rsidR="005F15E9" w:rsidTr="005F15E9">
        <w:trPr>
          <w:jc w:val="center"/>
        </w:trPr>
        <w:tc>
          <w:tcPr>
            <w:tcW w:w="572"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20</w:t>
            </w:r>
          </w:p>
        </w:tc>
        <w:tc>
          <w:tcPr>
            <w:tcW w:w="1096"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1400</w:t>
            </w:r>
          </w:p>
        </w:tc>
        <w:tc>
          <w:tcPr>
            <w:tcW w:w="108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130</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39"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22.6</w:t>
            </w:r>
          </w:p>
        </w:tc>
        <w:tc>
          <w:tcPr>
            <w:tcW w:w="810"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2.13</w:t>
            </w:r>
          </w:p>
        </w:tc>
        <w:tc>
          <w:tcPr>
            <w:tcW w:w="871" w:type="dxa"/>
            <w:vMerge/>
          </w:tcPr>
          <w:p w:rsidR="005F15E9" w:rsidRPr="005276D2" w:rsidRDefault="005F15E9" w:rsidP="005F15E9">
            <w:pPr>
              <w:keepNext/>
              <w:widowControl w:val="0"/>
              <w:contextualSpacing/>
              <w:jc w:val="center"/>
              <w:rPr>
                <w:rFonts w:asciiTheme="minorHAnsi" w:hAnsiTheme="minorHAnsi" w:cs="Calibri"/>
                <w:sz w:val="18"/>
                <w:szCs w:val="18"/>
              </w:rPr>
            </w:pPr>
          </w:p>
        </w:tc>
        <w:tc>
          <w:tcPr>
            <w:tcW w:w="871"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59.20</w:t>
            </w:r>
          </w:p>
        </w:tc>
        <w:tc>
          <w:tcPr>
            <w:tcW w:w="775"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39.20</w:t>
            </w:r>
          </w:p>
        </w:tc>
        <w:tc>
          <w:tcPr>
            <w:tcW w:w="993" w:type="dxa"/>
          </w:tcPr>
          <w:p w:rsidR="005F15E9" w:rsidRPr="005276D2" w:rsidRDefault="005F15E9" w:rsidP="005F15E9">
            <w:pPr>
              <w:keepNext/>
              <w:widowControl w:val="0"/>
              <w:contextualSpacing/>
              <w:jc w:val="center"/>
              <w:rPr>
                <w:rFonts w:asciiTheme="minorHAnsi" w:hAnsiTheme="minorHAnsi" w:cs="Calibri"/>
                <w:sz w:val="18"/>
                <w:szCs w:val="18"/>
              </w:rPr>
            </w:pPr>
            <w:r w:rsidRPr="005276D2">
              <w:rPr>
                <w:rFonts w:asciiTheme="minorHAnsi" w:hAnsiTheme="minorHAnsi" w:cs="Calibri"/>
                <w:sz w:val="18"/>
                <w:szCs w:val="18"/>
              </w:rPr>
              <w:t>-42.3%</w:t>
            </w:r>
          </w:p>
        </w:tc>
      </w:tr>
      <w:tr w:rsidR="005F15E9" w:rsidTr="005F15E9">
        <w:trPr>
          <w:jc w:val="center"/>
        </w:trPr>
        <w:tc>
          <w:tcPr>
            <w:tcW w:w="572" w:type="dxa"/>
            <w:vMerge/>
          </w:tcPr>
          <w:p w:rsidR="005F15E9" w:rsidRPr="005276D2" w:rsidRDefault="005F15E9" w:rsidP="005F15E9">
            <w:pPr>
              <w:contextualSpacing/>
              <w:jc w:val="center"/>
              <w:rPr>
                <w:rFonts w:asciiTheme="minorHAnsi" w:hAnsiTheme="minorHAnsi" w:cs="Calibri"/>
                <w:sz w:val="18"/>
                <w:szCs w:val="18"/>
              </w:rPr>
            </w:pPr>
          </w:p>
        </w:tc>
        <w:tc>
          <w:tcPr>
            <w:tcW w:w="870" w:type="dxa"/>
          </w:tcPr>
          <w:p w:rsidR="005F15E9" w:rsidRPr="005276D2" w:rsidRDefault="005F15E9" w:rsidP="005F15E9">
            <w:pPr>
              <w:contextualSpacing/>
              <w:jc w:val="center"/>
              <w:rPr>
                <w:rFonts w:asciiTheme="minorHAnsi" w:hAnsiTheme="minorHAnsi" w:cs="Calibri"/>
                <w:sz w:val="18"/>
                <w:szCs w:val="18"/>
              </w:rPr>
            </w:pPr>
            <w:r w:rsidRPr="005276D2">
              <w:rPr>
                <w:rFonts w:asciiTheme="minorHAnsi" w:hAnsiTheme="minorHAnsi" w:cs="Calibri"/>
                <w:sz w:val="18"/>
                <w:szCs w:val="18"/>
              </w:rPr>
              <w:t>23</w:t>
            </w:r>
          </w:p>
        </w:tc>
        <w:tc>
          <w:tcPr>
            <w:tcW w:w="1096" w:type="dxa"/>
          </w:tcPr>
          <w:p w:rsidR="005F15E9" w:rsidRPr="005276D2" w:rsidRDefault="005F15E9" w:rsidP="005F15E9">
            <w:pPr>
              <w:contextualSpacing/>
              <w:jc w:val="center"/>
              <w:rPr>
                <w:rFonts w:asciiTheme="minorHAnsi" w:hAnsiTheme="minorHAnsi" w:cs="Calibri"/>
                <w:sz w:val="18"/>
                <w:szCs w:val="18"/>
              </w:rPr>
            </w:pPr>
            <w:r w:rsidRPr="005276D2">
              <w:rPr>
                <w:rFonts w:asciiTheme="minorHAnsi" w:hAnsiTheme="minorHAnsi" w:cs="Calibri"/>
                <w:sz w:val="18"/>
                <w:szCs w:val="18"/>
              </w:rPr>
              <w:t>1610</w:t>
            </w:r>
          </w:p>
        </w:tc>
        <w:tc>
          <w:tcPr>
            <w:tcW w:w="1080" w:type="dxa"/>
          </w:tcPr>
          <w:p w:rsidR="005F15E9" w:rsidRPr="005276D2" w:rsidRDefault="005F15E9" w:rsidP="005F15E9">
            <w:pPr>
              <w:contextualSpacing/>
              <w:jc w:val="center"/>
              <w:rPr>
                <w:rFonts w:asciiTheme="minorHAnsi" w:hAnsiTheme="minorHAnsi" w:cs="Calibri"/>
                <w:sz w:val="18"/>
                <w:szCs w:val="18"/>
              </w:rPr>
            </w:pPr>
            <w:r w:rsidRPr="005276D2">
              <w:rPr>
                <w:rFonts w:asciiTheme="minorHAnsi" w:hAnsiTheme="minorHAnsi" w:cs="Calibri"/>
                <w:sz w:val="18"/>
                <w:szCs w:val="18"/>
              </w:rPr>
              <w:t>113</w:t>
            </w:r>
          </w:p>
        </w:tc>
        <w:tc>
          <w:tcPr>
            <w:tcW w:w="871" w:type="dxa"/>
            <w:vMerge/>
          </w:tcPr>
          <w:p w:rsidR="005F15E9" w:rsidRPr="005276D2" w:rsidRDefault="005F15E9" w:rsidP="005F15E9">
            <w:pPr>
              <w:contextualSpacing/>
              <w:jc w:val="center"/>
              <w:rPr>
                <w:rFonts w:asciiTheme="minorHAnsi" w:hAnsiTheme="minorHAnsi" w:cs="Calibri"/>
                <w:sz w:val="18"/>
                <w:szCs w:val="18"/>
              </w:rPr>
            </w:pPr>
          </w:p>
        </w:tc>
        <w:tc>
          <w:tcPr>
            <w:tcW w:w="839" w:type="dxa"/>
          </w:tcPr>
          <w:p w:rsidR="005F15E9" w:rsidRPr="005276D2" w:rsidRDefault="005F15E9" w:rsidP="005F15E9">
            <w:pPr>
              <w:contextualSpacing/>
              <w:jc w:val="center"/>
              <w:rPr>
                <w:rFonts w:asciiTheme="minorHAnsi" w:hAnsiTheme="minorHAnsi" w:cs="Calibri"/>
                <w:sz w:val="18"/>
                <w:szCs w:val="18"/>
              </w:rPr>
            </w:pPr>
            <w:r w:rsidRPr="005276D2">
              <w:rPr>
                <w:rFonts w:asciiTheme="minorHAnsi" w:hAnsiTheme="minorHAnsi" w:cs="Calibri"/>
                <w:sz w:val="18"/>
                <w:szCs w:val="18"/>
              </w:rPr>
              <w:t>19.6</w:t>
            </w:r>
          </w:p>
        </w:tc>
        <w:tc>
          <w:tcPr>
            <w:tcW w:w="810" w:type="dxa"/>
          </w:tcPr>
          <w:p w:rsidR="005F15E9" w:rsidRPr="005276D2" w:rsidRDefault="005F15E9" w:rsidP="005F15E9">
            <w:pPr>
              <w:contextualSpacing/>
              <w:jc w:val="center"/>
              <w:rPr>
                <w:rFonts w:asciiTheme="minorHAnsi" w:hAnsiTheme="minorHAnsi" w:cs="Calibri"/>
                <w:sz w:val="18"/>
                <w:szCs w:val="18"/>
              </w:rPr>
            </w:pPr>
            <w:r w:rsidRPr="005276D2">
              <w:rPr>
                <w:rFonts w:asciiTheme="minorHAnsi" w:hAnsiTheme="minorHAnsi" w:cs="Calibri"/>
                <w:sz w:val="18"/>
                <w:szCs w:val="18"/>
              </w:rPr>
              <w:t>1.85</w:t>
            </w:r>
          </w:p>
        </w:tc>
        <w:tc>
          <w:tcPr>
            <w:tcW w:w="871" w:type="dxa"/>
            <w:vMerge/>
          </w:tcPr>
          <w:p w:rsidR="005F15E9" w:rsidRPr="005276D2" w:rsidRDefault="005F15E9" w:rsidP="005F15E9">
            <w:pPr>
              <w:contextualSpacing/>
              <w:jc w:val="center"/>
              <w:rPr>
                <w:rFonts w:asciiTheme="minorHAnsi" w:hAnsiTheme="minorHAnsi" w:cs="Calibri"/>
                <w:sz w:val="18"/>
                <w:szCs w:val="18"/>
              </w:rPr>
            </w:pPr>
          </w:p>
        </w:tc>
        <w:tc>
          <w:tcPr>
            <w:tcW w:w="871" w:type="dxa"/>
          </w:tcPr>
          <w:p w:rsidR="005F15E9" w:rsidRPr="005276D2" w:rsidRDefault="005F15E9" w:rsidP="005F15E9">
            <w:pPr>
              <w:contextualSpacing/>
              <w:jc w:val="center"/>
              <w:rPr>
                <w:rFonts w:asciiTheme="minorHAnsi" w:hAnsiTheme="minorHAnsi" w:cs="Calibri"/>
                <w:sz w:val="18"/>
                <w:szCs w:val="18"/>
              </w:rPr>
            </w:pPr>
            <w:r w:rsidRPr="005276D2">
              <w:rPr>
                <w:rFonts w:asciiTheme="minorHAnsi" w:hAnsiTheme="minorHAnsi" w:cs="Calibri"/>
                <w:sz w:val="18"/>
                <w:szCs w:val="18"/>
              </w:rPr>
              <w:t>68.08</w:t>
            </w:r>
          </w:p>
        </w:tc>
        <w:tc>
          <w:tcPr>
            <w:tcW w:w="775" w:type="dxa"/>
          </w:tcPr>
          <w:p w:rsidR="005F15E9" w:rsidRPr="005276D2" w:rsidRDefault="005F15E9" w:rsidP="005F15E9">
            <w:pPr>
              <w:contextualSpacing/>
              <w:jc w:val="center"/>
              <w:rPr>
                <w:rFonts w:asciiTheme="minorHAnsi" w:hAnsiTheme="minorHAnsi" w:cs="Calibri"/>
                <w:sz w:val="18"/>
                <w:szCs w:val="18"/>
              </w:rPr>
            </w:pPr>
            <w:r w:rsidRPr="005276D2">
              <w:rPr>
                <w:rFonts w:asciiTheme="minorHAnsi" w:hAnsiTheme="minorHAnsi" w:cs="Calibri"/>
                <w:sz w:val="18"/>
                <w:szCs w:val="18"/>
              </w:rPr>
              <w:t>45.08</w:t>
            </w:r>
          </w:p>
        </w:tc>
        <w:tc>
          <w:tcPr>
            <w:tcW w:w="993" w:type="dxa"/>
          </w:tcPr>
          <w:p w:rsidR="005F15E9" w:rsidRPr="005276D2" w:rsidRDefault="005F15E9" w:rsidP="005F15E9">
            <w:pPr>
              <w:contextualSpacing/>
              <w:jc w:val="center"/>
              <w:rPr>
                <w:rFonts w:asciiTheme="minorHAnsi" w:hAnsiTheme="minorHAnsi" w:cs="Calibri"/>
                <w:sz w:val="18"/>
                <w:szCs w:val="18"/>
              </w:rPr>
            </w:pPr>
            <w:r w:rsidRPr="005276D2">
              <w:rPr>
                <w:rFonts w:asciiTheme="minorHAnsi" w:hAnsiTheme="minorHAnsi" w:cs="Calibri"/>
                <w:sz w:val="18"/>
                <w:szCs w:val="18"/>
              </w:rPr>
              <w:t>-56.5%</w:t>
            </w:r>
          </w:p>
        </w:tc>
      </w:tr>
    </w:tbl>
    <w:p w:rsidR="005F15E9" w:rsidRPr="00685481" w:rsidRDefault="005F15E9" w:rsidP="005F15E9">
      <w:pPr>
        <w:spacing w:after="0"/>
        <w:rPr>
          <w:sz w:val="18"/>
          <w:szCs w:val="18"/>
        </w:rPr>
      </w:pPr>
      <w:r w:rsidRPr="00685481">
        <w:rPr>
          <w:sz w:val="18"/>
          <w:szCs w:val="18"/>
        </w:rPr>
        <w:t xml:space="preserve">Notes to </w:t>
      </w:r>
      <w:r w:rsidRPr="00685481">
        <w:rPr>
          <w:sz w:val="18"/>
          <w:szCs w:val="18"/>
        </w:rPr>
        <w:fldChar w:fldCharType="begin"/>
      </w:r>
      <w:r w:rsidRPr="00685481">
        <w:rPr>
          <w:sz w:val="18"/>
          <w:szCs w:val="18"/>
        </w:rPr>
        <w:instrText xml:space="preserve"> REF _Ref472500658  \* MERGEFORMAT </w:instrText>
      </w:r>
      <w:r w:rsidRPr="00685481">
        <w:rPr>
          <w:sz w:val="18"/>
          <w:szCs w:val="18"/>
        </w:rPr>
        <w:fldChar w:fldCharType="separate"/>
      </w:r>
      <w:r w:rsidR="00B25CDA" w:rsidRPr="00E01086">
        <w:rPr>
          <w:sz w:val="18"/>
          <w:szCs w:val="18"/>
        </w:rPr>
        <w:t xml:space="preserve">Table </w:t>
      </w:r>
      <w:r w:rsidR="00B25CDA" w:rsidRPr="00E01086">
        <w:rPr>
          <w:noProof/>
          <w:sz w:val="18"/>
          <w:szCs w:val="18"/>
        </w:rPr>
        <w:t>8</w:t>
      </w:r>
      <w:r w:rsidRPr="00685481">
        <w:rPr>
          <w:sz w:val="18"/>
          <w:szCs w:val="18"/>
        </w:rPr>
        <w:fldChar w:fldCharType="end"/>
      </w:r>
      <w:r w:rsidRPr="00685481">
        <w:rPr>
          <w:sz w:val="18"/>
          <w:szCs w:val="18"/>
        </w:rPr>
        <w:t>:</w:t>
      </w:r>
    </w:p>
    <w:p w:rsidR="005F15E9" w:rsidRPr="00685481" w:rsidRDefault="005F15E9" w:rsidP="005F15E9">
      <w:pPr>
        <w:pStyle w:val="ListParagraph"/>
        <w:numPr>
          <w:ilvl w:val="0"/>
          <w:numId w:val="31"/>
        </w:numPr>
        <w:spacing w:after="0"/>
        <w:rPr>
          <w:sz w:val="18"/>
          <w:szCs w:val="18"/>
        </w:rPr>
      </w:pPr>
      <w:bookmarkStart w:id="37" w:name="_Ref472500932"/>
      <w:r w:rsidRPr="00685481">
        <w:rPr>
          <w:sz w:val="18"/>
          <w:szCs w:val="18"/>
        </w:rPr>
        <w:t>Workpaper proposes a minimum efficacy of 70 lm/W. The value in this column is the lamp wattage multiplied by this minimum efficacy.</w:t>
      </w:r>
      <w:bookmarkEnd w:id="37"/>
    </w:p>
    <w:p w:rsidR="005F15E9" w:rsidRPr="00685481" w:rsidRDefault="005F15E9" w:rsidP="005F15E9">
      <w:pPr>
        <w:pStyle w:val="ListParagraph"/>
        <w:numPr>
          <w:ilvl w:val="0"/>
          <w:numId w:val="31"/>
        </w:numPr>
        <w:spacing w:after="0"/>
        <w:rPr>
          <w:sz w:val="18"/>
          <w:szCs w:val="18"/>
        </w:rPr>
      </w:pPr>
      <w:bookmarkStart w:id="38" w:name="_Ref472500940"/>
      <w:r w:rsidRPr="00685481">
        <w:rPr>
          <w:sz w:val="18"/>
          <w:szCs w:val="18"/>
        </w:rPr>
        <w:t>This value is the maximum output for the EISA bin divided by the lamp wattage.</w:t>
      </w:r>
      <w:bookmarkEnd w:id="38"/>
    </w:p>
    <w:p w:rsidR="005F15E9" w:rsidRPr="00685481" w:rsidRDefault="005F15E9" w:rsidP="005F15E9">
      <w:pPr>
        <w:pStyle w:val="ListParagraph"/>
        <w:numPr>
          <w:ilvl w:val="0"/>
          <w:numId w:val="31"/>
        </w:numPr>
        <w:spacing w:after="0"/>
        <w:rPr>
          <w:sz w:val="18"/>
          <w:szCs w:val="18"/>
        </w:rPr>
      </w:pPr>
      <w:bookmarkStart w:id="39" w:name="_Ref472500950"/>
      <w:r w:rsidRPr="00685481">
        <w:rPr>
          <w:sz w:val="18"/>
          <w:szCs w:val="18"/>
        </w:rPr>
        <w:t>WRR = (Workpaper Base Watts) / (Lamp Watts)</w:t>
      </w:r>
      <w:bookmarkEnd w:id="39"/>
    </w:p>
    <w:p w:rsidR="005F15E9" w:rsidRPr="00685481" w:rsidRDefault="005F15E9" w:rsidP="005F15E9">
      <w:pPr>
        <w:pStyle w:val="ListParagraph"/>
        <w:numPr>
          <w:ilvl w:val="0"/>
          <w:numId w:val="31"/>
        </w:numPr>
        <w:spacing w:after="0"/>
        <w:rPr>
          <w:sz w:val="18"/>
          <w:szCs w:val="18"/>
        </w:rPr>
      </w:pPr>
      <w:bookmarkStart w:id="40" w:name="_Ref472500957"/>
      <w:r w:rsidRPr="00685481">
        <w:rPr>
          <w:sz w:val="18"/>
          <w:szCs w:val="18"/>
        </w:rPr>
        <w:t>The current approved WRR for all A-lamps is 2.96</w:t>
      </w:r>
      <w:bookmarkEnd w:id="40"/>
    </w:p>
    <w:p w:rsidR="005F15E9" w:rsidRDefault="005F15E9" w:rsidP="005F15E9"/>
    <w:p w:rsidR="00DF3DAD" w:rsidRDefault="00DF3DAD" w:rsidP="005F15E9">
      <w:pPr>
        <w:keepNext/>
        <w:jc w:val="center"/>
      </w:pPr>
      <w:r w:rsidRPr="00DF3DAD">
        <w:lastRenderedPageBreak/>
        <w:t xml:space="preserve"> </w:t>
      </w:r>
    </w:p>
    <w:p w:rsidR="00DF3DAD" w:rsidRDefault="00DF3DAD" w:rsidP="00820BD1">
      <w:pPr>
        <w:pStyle w:val="Caption"/>
        <w:keepNext/>
        <w:spacing w:after="120"/>
        <w:jc w:val="center"/>
      </w:pPr>
      <w:bookmarkStart w:id="41" w:name="_Ref472501940"/>
      <w:r>
        <w:t xml:space="preserve">Figure </w:t>
      </w:r>
      <w:fldSimple w:instr=" SEQ Figure \* ARABIC ">
        <w:r>
          <w:rPr>
            <w:noProof/>
          </w:rPr>
          <w:t>2</w:t>
        </w:r>
      </w:fldSimple>
      <w:bookmarkEnd w:id="41"/>
      <w:r>
        <w:rPr>
          <w:noProof/>
        </w:rPr>
        <w:t xml:space="preserve"> - </w:t>
      </w:r>
      <w:r w:rsidRPr="00237438">
        <w:rPr>
          <w:noProof/>
        </w:rPr>
        <w:t>Comparison of Proposed to Current Approved Wattage Reduction Values</w:t>
      </w:r>
    </w:p>
    <w:p w:rsidR="005F15E9" w:rsidRDefault="00810DFD" w:rsidP="005F15E9">
      <w:pPr>
        <w:keepNext/>
        <w:jc w:val="center"/>
      </w:pPr>
      <w:r>
        <w:rPr>
          <w:noProof/>
        </w:rPr>
        <w:drawing>
          <wp:inline distT="0" distB="0" distL="0" distR="0">
            <wp:extent cx="5936615" cy="42513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6615" cy="4251325"/>
                    </a:xfrm>
                    <a:prstGeom prst="rect">
                      <a:avLst/>
                    </a:prstGeom>
                    <a:noFill/>
                    <a:ln>
                      <a:noFill/>
                    </a:ln>
                  </pic:spPr>
                </pic:pic>
              </a:graphicData>
            </a:graphic>
          </wp:inline>
        </w:drawing>
      </w:r>
    </w:p>
    <w:p w:rsidR="005F15E9" w:rsidRDefault="005F15E9" w:rsidP="005F15E9">
      <w:pPr>
        <w:pStyle w:val="Heading2"/>
      </w:pPr>
      <w:bookmarkStart w:id="42" w:name="_Toc475967911"/>
      <w:bookmarkStart w:id="43" w:name="_Toc476066438"/>
      <w:r>
        <w:t>Baseline Determination Methods</w:t>
      </w:r>
      <w:bookmarkEnd w:id="42"/>
      <w:bookmarkEnd w:id="43"/>
    </w:p>
    <w:p w:rsidR="005F15E9" w:rsidRDefault="005F15E9" w:rsidP="005F15E9">
      <w:pPr>
        <w:pStyle w:val="Body1"/>
      </w:pPr>
      <w:r>
        <w:t>The workpaper identifies the following four types of possible baseline technologies:</w:t>
      </w:r>
    </w:p>
    <w:p w:rsidR="005F15E9" w:rsidRDefault="005F15E9" w:rsidP="005F15E9">
      <w:pPr>
        <w:pStyle w:val="Body1"/>
        <w:numPr>
          <w:ilvl w:val="0"/>
          <w:numId w:val="32"/>
        </w:numPr>
        <w:spacing w:after="0"/>
      </w:pPr>
      <w:r>
        <w:t>Conventional incandescent lamps</w:t>
      </w:r>
    </w:p>
    <w:p w:rsidR="005F15E9" w:rsidRDefault="005F15E9" w:rsidP="005F15E9">
      <w:pPr>
        <w:pStyle w:val="Body1"/>
        <w:numPr>
          <w:ilvl w:val="0"/>
          <w:numId w:val="32"/>
        </w:numPr>
        <w:spacing w:after="0"/>
      </w:pPr>
      <w:r>
        <w:t>EISA compliant halogen incandescent lamps</w:t>
      </w:r>
    </w:p>
    <w:p w:rsidR="005F15E9" w:rsidRDefault="005F15E9" w:rsidP="005F15E9">
      <w:pPr>
        <w:pStyle w:val="Body1"/>
        <w:numPr>
          <w:ilvl w:val="0"/>
          <w:numId w:val="32"/>
        </w:numPr>
        <w:spacing w:after="0"/>
      </w:pPr>
      <w:r>
        <w:t>CFLs</w:t>
      </w:r>
    </w:p>
    <w:p w:rsidR="005F15E9" w:rsidRDefault="005F15E9" w:rsidP="005F15E9">
      <w:pPr>
        <w:pStyle w:val="Body1"/>
        <w:numPr>
          <w:ilvl w:val="0"/>
          <w:numId w:val="32"/>
        </w:numPr>
      </w:pPr>
      <w:r>
        <w:t>LED lamps</w:t>
      </w:r>
    </w:p>
    <w:p w:rsidR="005F15E9" w:rsidRDefault="005F15E9" w:rsidP="005F15E9">
      <w:pPr>
        <w:pStyle w:val="Body1"/>
      </w:pPr>
      <w:r>
        <w:t xml:space="preserve">California Title 20 and now EISA both prohibit the manufacture and sale of most conventional incandescent A-lamps in the lumen ranges covered by this workpaper. The workpaper suggests that, at this time, LED A-lamps comprise a very small percentage of total lamp failures. Therefore, the proposed baseline consists only of a mixture of halogen incandescent lamps and CFLs. Conventional incandescent lamps are not included in the baseline </w:t>
      </w:r>
      <w:r w:rsidR="00B25CDA">
        <w:t>as they are no longer available for purchase due to the Title 20 and</w:t>
      </w:r>
      <w:r>
        <w:t xml:space="preserve"> the EISA minimum performance requirements for incandescent lamps</w:t>
      </w:r>
      <w:r w:rsidR="00B25CDA">
        <w:t xml:space="preserve"> and thus are not viable for consideration as either a code o</w:t>
      </w:r>
      <w:r w:rsidR="00F90DBC">
        <w:t>r</w:t>
      </w:r>
      <w:r w:rsidR="00B25CDA">
        <w:t xml:space="preserve"> </w:t>
      </w:r>
      <w:r w:rsidR="00F90DBC">
        <w:t>standard practice (</w:t>
      </w:r>
      <w:r w:rsidR="00B25CDA">
        <w:t>of ISP</w:t>
      </w:r>
      <w:r w:rsidR="00F90DBC">
        <w:t>)</w:t>
      </w:r>
      <w:r w:rsidR="00B25CDA">
        <w:t xml:space="preserve"> baseline component</w:t>
      </w:r>
      <w:r>
        <w:t xml:space="preserve">. NEMA also notes that </w:t>
      </w:r>
      <w:r>
        <w:lastRenderedPageBreak/>
        <w:t>nearly all incandescent sales at this time are comprised of lamps &lt;25 watts and specialty lamps not covered by EISA.</w:t>
      </w:r>
    </w:p>
    <w:p w:rsidR="005F15E9" w:rsidRDefault="005F15E9" w:rsidP="005F15E9">
      <w:pPr>
        <w:pStyle w:val="Body1"/>
      </w:pPr>
      <w:r>
        <w:t>To develop the mixture of CFL and halogen lamps that make up the baseline, PG&amp;E developed a replacement model that estimates a current baseline-to-sold lamp comparison. The model overlays NEMA sales data for the last four years on top of the 2012 CLASS socket saturation data to estimate current socket saturations and failures. Next, the model estimates how current sales of lamps are distributed among the current failed sockets assuming that the quantity of current failures is equal to the quantity of current sales. The result and proposal from PG&amp;E’s replacement model is a baseline of 60% CFL and 40% halogen.</w:t>
      </w:r>
    </w:p>
    <w:p w:rsidR="003F0505" w:rsidRDefault="003F0505" w:rsidP="003F0505">
      <w:pPr>
        <w:pStyle w:val="Heading2"/>
      </w:pPr>
      <w:bookmarkStart w:id="44" w:name="_Toc475967912"/>
      <w:bookmarkStart w:id="45" w:name="_Toc476066439"/>
      <w:r>
        <w:t>Critical Review Issues</w:t>
      </w:r>
      <w:bookmarkEnd w:id="44"/>
      <w:bookmarkEnd w:id="45"/>
    </w:p>
    <w:p w:rsidR="003F0505" w:rsidRDefault="003F0505" w:rsidP="00F87D33">
      <w:pPr>
        <w:pStyle w:val="Heading3"/>
      </w:pPr>
      <w:r w:rsidRPr="003F0505">
        <w:t>The lamp replacement model does not consider the rapid growth in LED market nor the interaction with CFL programs</w:t>
      </w:r>
    </w:p>
    <w:p w:rsidR="003F0505" w:rsidRDefault="003F0505" w:rsidP="00184D53">
      <w:pPr>
        <w:pStyle w:val="Body3"/>
      </w:pPr>
      <w:r>
        <w:t xml:space="preserve">As discussed in Section 3.2 above, the rapid market share increase in LED sales absent </w:t>
      </w:r>
      <w:r w:rsidR="00365699">
        <w:t xml:space="preserve">incentives </w:t>
      </w:r>
      <w:r>
        <w:t xml:space="preserve">indicates a high level of voluntary adoption. </w:t>
      </w:r>
      <w:r w:rsidR="008111CF">
        <w:t>PG&amp;E’s proposed</w:t>
      </w:r>
      <w:r>
        <w:t xml:space="preserve"> replacement model only attempts to align sales with historical failure rates, but does not consider that many LED sales are likely contributing to early removals of CFLs. CPUC staff applied some minor modifications </w:t>
      </w:r>
      <w:r w:rsidR="001A651A">
        <w:t xml:space="preserve">listed below </w:t>
      </w:r>
      <w:r>
        <w:t>to the submitted replacement model and found that an increase in the CFL retirement rate from the DEER value of 18% to 22% resulted in the CFL baseline being 83% instead of the 60%</w:t>
      </w:r>
      <w:r w:rsidR="00502878">
        <w:t xml:space="preserve"> proposed in the workpaper</w:t>
      </w:r>
      <w:r>
        <w:t>.</w:t>
      </w:r>
      <w:r w:rsidR="00502878">
        <w:t xml:space="preserve"> </w:t>
      </w:r>
      <w:fldSimple w:instr=" REF _Ref472952776  \* MERGEFORMAT ">
        <w:r w:rsidR="002D46C6">
          <w:t xml:space="preserve">Table </w:t>
        </w:r>
        <w:r w:rsidR="002D46C6">
          <w:rPr>
            <w:noProof/>
          </w:rPr>
          <w:t>9</w:t>
        </w:r>
      </w:fldSimple>
      <w:r>
        <w:t xml:space="preserve"> shows the outcome of several incremental revisions to the replacement model and how each revision or set of revisions changes the fraction of CFL lamps in the baseline calculation.</w:t>
      </w:r>
    </w:p>
    <w:p w:rsidR="00C42220" w:rsidRDefault="00C42220" w:rsidP="00184D53">
      <w:pPr>
        <w:pStyle w:val="Body3"/>
      </w:pPr>
    </w:p>
    <w:p w:rsidR="003F0505" w:rsidRDefault="003F0505" w:rsidP="00820BD1">
      <w:pPr>
        <w:pStyle w:val="Caption"/>
        <w:keepNext/>
        <w:spacing w:after="120"/>
        <w:jc w:val="center"/>
      </w:pPr>
      <w:bookmarkStart w:id="46" w:name="_Ref472952776"/>
      <w:r>
        <w:lastRenderedPageBreak/>
        <w:t xml:space="preserve">Table </w:t>
      </w:r>
      <w:fldSimple w:instr=" SEQ Table \* ARABIC ">
        <w:r w:rsidR="00B25CDA">
          <w:rPr>
            <w:noProof/>
          </w:rPr>
          <w:t>9</w:t>
        </w:r>
      </w:fldSimple>
      <w:bookmarkEnd w:id="46"/>
      <w:r>
        <w:t xml:space="preserve"> – Alternatives for Correction to CFL replacement models</w:t>
      </w:r>
    </w:p>
    <w:tbl>
      <w:tblPr>
        <w:tblStyle w:val="TableGrid"/>
        <w:tblW w:w="5861" w:type="dxa"/>
        <w:jc w:val="center"/>
        <w:tblLook w:val="04A0" w:firstRow="1" w:lastRow="0" w:firstColumn="1" w:lastColumn="0" w:noHBand="0" w:noVBand="1"/>
      </w:tblPr>
      <w:tblGrid>
        <w:gridCol w:w="1188"/>
        <w:gridCol w:w="2693"/>
        <w:gridCol w:w="990"/>
        <w:gridCol w:w="990"/>
      </w:tblGrid>
      <w:tr w:rsidR="003F0505" w:rsidTr="00AD5CA0">
        <w:trPr>
          <w:jc w:val="center"/>
        </w:trPr>
        <w:tc>
          <w:tcPr>
            <w:tcW w:w="1188" w:type="dxa"/>
            <w:vAlign w:val="center"/>
          </w:tcPr>
          <w:p w:rsidR="003F0505" w:rsidRDefault="003F0505" w:rsidP="00AD5CA0">
            <w:pPr>
              <w:keepNext/>
              <w:spacing w:after="0"/>
              <w:jc w:val="center"/>
            </w:pPr>
            <w:r>
              <w:t>Case</w:t>
            </w:r>
          </w:p>
        </w:tc>
        <w:tc>
          <w:tcPr>
            <w:tcW w:w="2693" w:type="dxa"/>
            <w:vAlign w:val="center"/>
          </w:tcPr>
          <w:p w:rsidR="003F0505" w:rsidRDefault="003F0505" w:rsidP="00AD5CA0">
            <w:pPr>
              <w:keepNext/>
              <w:spacing w:after="0"/>
              <w:jc w:val="center"/>
            </w:pPr>
            <w:r>
              <w:t>Description</w:t>
            </w:r>
          </w:p>
        </w:tc>
        <w:tc>
          <w:tcPr>
            <w:tcW w:w="990" w:type="dxa"/>
            <w:vAlign w:val="center"/>
          </w:tcPr>
          <w:p w:rsidR="003F0505" w:rsidRDefault="003F0505" w:rsidP="00AD5CA0">
            <w:pPr>
              <w:keepNext/>
              <w:spacing w:after="0"/>
              <w:jc w:val="center"/>
            </w:pPr>
            <w:r>
              <w:t>Baseline CFL fraction</w:t>
            </w:r>
          </w:p>
        </w:tc>
        <w:tc>
          <w:tcPr>
            <w:tcW w:w="990" w:type="dxa"/>
            <w:vAlign w:val="center"/>
          </w:tcPr>
          <w:p w:rsidR="003F0505" w:rsidRDefault="003F0505" w:rsidP="00AD5CA0">
            <w:pPr>
              <w:keepNext/>
              <w:spacing w:after="0"/>
              <w:jc w:val="center"/>
            </w:pPr>
            <w:r>
              <w:t>Work-paper</w:t>
            </w:r>
          </w:p>
          <w:p w:rsidR="003F0505" w:rsidRDefault="003F0505" w:rsidP="00AD5CA0">
            <w:pPr>
              <w:keepNext/>
              <w:spacing w:after="0"/>
              <w:jc w:val="center"/>
            </w:pPr>
          </w:p>
        </w:tc>
      </w:tr>
      <w:tr w:rsidR="003F0505" w:rsidTr="00AD5CA0">
        <w:trPr>
          <w:jc w:val="center"/>
        </w:trPr>
        <w:tc>
          <w:tcPr>
            <w:tcW w:w="1188" w:type="dxa"/>
          </w:tcPr>
          <w:p w:rsidR="003F0505" w:rsidRDefault="003F0505" w:rsidP="00AD5CA0">
            <w:pPr>
              <w:keepNext/>
              <w:spacing w:after="0"/>
            </w:pPr>
            <w:r>
              <w:t>Workpaper</w:t>
            </w:r>
          </w:p>
        </w:tc>
        <w:tc>
          <w:tcPr>
            <w:tcW w:w="2693" w:type="dxa"/>
          </w:tcPr>
          <w:p w:rsidR="003F0505" w:rsidRDefault="003F0505" w:rsidP="00AD5CA0">
            <w:pPr>
              <w:keepNext/>
              <w:tabs>
                <w:tab w:val="right" w:pos="1685"/>
                <w:tab w:val="left" w:pos="1775"/>
              </w:tabs>
              <w:spacing w:after="0"/>
            </w:pPr>
            <w:r>
              <w:tab/>
              <w:t>Incandescent HOU:</w:t>
            </w:r>
            <w:r>
              <w:tab/>
              <w:t>541</w:t>
            </w:r>
          </w:p>
          <w:p w:rsidR="003F0505" w:rsidRDefault="003F0505" w:rsidP="00AD5CA0">
            <w:pPr>
              <w:keepNext/>
              <w:tabs>
                <w:tab w:val="right" w:pos="1685"/>
                <w:tab w:val="left" w:pos="1775"/>
              </w:tabs>
              <w:spacing w:after="0"/>
            </w:pPr>
            <w:r>
              <w:tab/>
              <w:t>Halogen HOU:</w:t>
            </w:r>
            <w:r>
              <w:tab/>
              <w:t>541</w:t>
            </w:r>
          </w:p>
          <w:p w:rsidR="003F0505" w:rsidRDefault="003F0505" w:rsidP="00AD5CA0">
            <w:pPr>
              <w:keepNext/>
              <w:tabs>
                <w:tab w:val="right" w:pos="1685"/>
                <w:tab w:val="left" w:pos="1775"/>
              </w:tabs>
              <w:spacing w:after="0"/>
            </w:pPr>
            <w:r>
              <w:tab/>
              <w:t>Halogen rated life:</w:t>
            </w:r>
            <w:r>
              <w:tab/>
              <w:t>4,000</w:t>
            </w:r>
          </w:p>
          <w:p w:rsidR="003F0505" w:rsidRDefault="003F0505" w:rsidP="00AD5CA0">
            <w:pPr>
              <w:keepNext/>
              <w:tabs>
                <w:tab w:val="right" w:pos="1685"/>
                <w:tab w:val="left" w:pos="1775"/>
              </w:tabs>
              <w:spacing w:after="0"/>
            </w:pPr>
            <w:r>
              <w:tab/>
              <w:t>CFL retirement rate:</w:t>
            </w:r>
            <w:r>
              <w:tab/>
              <w:t>5.4%</w:t>
            </w:r>
          </w:p>
        </w:tc>
        <w:tc>
          <w:tcPr>
            <w:tcW w:w="990" w:type="dxa"/>
            <w:vAlign w:val="center"/>
          </w:tcPr>
          <w:p w:rsidR="003F0505" w:rsidRDefault="003F0505" w:rsidP="00AD5CA0">
            <w:pPr>
              <w:keepNext/>
              <w:spacing w:after="0"/>
              <w:jc w:val="center"/>
            </w:pPr>
            <w:r>
              <w:t>57.6%</w:t>
            </w:r>
          </w:p>
        </w:tc>
        <w:tc>
          <w:tcPr>
            <w:tcW w:w="990" w:type="dxa"/>
            <w:vAlign w:val="center"/>
          </w:tcPr>
          <w:p w:rsidR="003F0505" w:rsidRDefault="003F0505" w:rsidP="00AD5CA0">
            <w:pPr>
              <w:keepNext/>
              <w:spacing w:after="0"/>
              <w:jc w:val="center"/>
            </w:pPr>
            <w:r>
              <w:t>60%</w:t>
            </w:r>
          </w:p>
        </w:tc>
      </w:tr>
      <w:tr w:rsidR="003F0505" w:rsidTr="00AD5CA0">
        <w:trPr>
          <w:jc w:val="center"/>
        </w:trPr>
        <w:tc>
          <w:tcPr>
            <w:tcW w:w="1188" w:type="dxa"/>
          </w:tcPr>
          <w:p w:rsidR="003F0505" w:rsidRDefault="003F0505" w:rsidP="00AD5CA0">
            <w:pPr>
              <w:keepNext/>
              <w:spacing w:after="0"/>
            </w:pPr>
            <w:r>
              <w:t>EAR Rev 1</w:t>
            </w:r>
          </w:p>
        </w:tc>
        <w:tc>
          <w:tcPr>
            <w:tcW w:w="2693" w:type="dxa"/>
          </w:tcPr>
          <w:p w:rsidR="003F0505" w:rsidRDefault="003F0505" w:rsidP="00AD5CA0">
            <w:pPr>
              <w:keepNext/>
              <w:tabs>
                <w:tab w:val="right" w:pos="1685"/>
                <w:tab w:val="left" w:pos="1775"/>
              </w:tabs>
              <w:spacing w:after="0"/>
            </w:pPr>
            <w:r>
              <w:tab/>
              <w:t>Incandescent HOU:</w:t>
            </w:r>
            <w:r>
              <w:tab/>
              <w:t>438</w:t>
            </w:r>
          </w:p>
          <w:p w:rsidR="003F0505" w:rsidRDefault="003F0505" w:rsidP="00AD5CA0">
            <w:pPr>
              <w:keepNext/>
              <w:tabs>
                <w:tab w:val="right" w:pos="1685"/>
                <w:tab w:val="left" w:pos="1775"/>
              </w:tabs>
              <w:spacing w:after="0"/>
            </w:pPr>
            <w:r>
              <w:tab/>
              <w:t>Halogen HOU:</w:t>
            </w:r>
            <w:r>
              <w:tab/>
              <w:t>475</w:t>
            </w:r>
          </w:p>
          <w:p w:rsidR="003F0505" w:rsidRDefault="003F0505" w:rsidP="00AD5CA0">
            <w:pPr>
              <w:keepNext/>
              <w:tabs>
                <w:tab w:val="right" w:pos="1685"/>
                <w:tab w:val="left" w:pos="1775"/>
              </w:tabs>
              <w:spacing w:after="0"/>
            </w:pPr>
            <w:r>
              <w:tab/>
              <w:t>Halogen rated life:</w:t>
            </w:r>
            <w:r>
              <w:tab/>
              <w:t>1,000</w:t>
            </w:r>
          </w:p>
          <w:p w:rsidR="003F0505" w:rsidRDefault="003F0505" w:rsidP="00AD5CA0">
            <w:pPr>
              <w:keepNext/>
              <w:tabs>
                <w:tab w:val="right" w:pos="1685"/>
                <w:tab w:val="left" w:pos="1775"/>
              </w:tabs>
              <w:spacing w:after="0"/>
            </w:pPr>
            <w:r>
              <w:tab/>
              <w:t>CFL retirement rate:</w:t>
            </w:r>
            <w:r>
              <w:tab/>
              <w:t>18%</w:t>
            </w:r>
          </w:p>
        </w:tc>
        <w:tc>
          <w:tcPr>
            <w:tcW w:w="990" w:type="dxa"/>
            <w:vAlign w:val="center"/>
          </w:tcPr>
          <w:p w:rsidR="003F0505" w:rsidRDefault="003F0505" w:rsidP="00AD5CA0">
            <w:pPr>
              <w:keepNext/>
              <w:spacing w:after="0"/>
              <w:jc w:val="center"/>
            </w:pPr>
            <w:r>
              <w:t>62.7%</w:t>
            </w:r>
          </w:p>
        </w:tc>
        <w:tc>
          <w:tcPr>
            <w:tcW w:w="990" w:type="dxa"/>
            <w:shd w:val="clear" w:color="auto" w:fill="D9D9D9" w:themeFill="background1" w:themeFillShade="D9"/>
            <w:vAlign w:val="center"/>
          </w:tcPr>
          <w:p w:rsidR="003F0505" w:rsidRDefault="003F0505" w:rsidP="00AD5CA0">
            <w:pPr>
              <w:keepNext/>
              <w:spacing w:after="0"/>
              <w:jc w:val="center"/>
            </w:pPr>
          </w:p>
        </w:tc>
      </w:tr>
      <w:tr w:rsidR="003F0505" w:rsidTr="00AD5CA0">
        <w:trPr>
          <w:jc w:val="center"/>
        </w:trPr>
        <w:tc>
          <w:tcPr>
            <w:tcW w:w="1188" w:type="dxa"/>
          </w:tcPr>
          <w:p w:rsidR="003F0505" w:rsidRDefault="003F0505" w:rsidP="00AD5CA0">
            <w:pPr>
              <w:keepNext/>
              <w:spacing w:after="0"/>
            </w:pPr>
            <w:r>
              <w:t>EAR Rev 2</w:t>
            </w:r>
          </w:p>
        </w:tc>
        <w:tc>
          <w:tcPr>
            <w:tcW w:w="2693" w:type="dxa"/>
          </w:tcPr>
          <w:p w:rsidR="003F0505" w:rsidRDefault="003F0505" w:rsidP="00AD5CA0">
            <w:pPr>
              <w:keepNext/>
              <w:tabs>
                <w:tab w:val="right" w:pos="1685"/>
                <w:tab w:val="left" w:pos="1775"/>
              </w:tabs>
              <w:spacing w:after="0"/>
            </w:pPr>
            <w:r>
              <w:t>EAR Rev 1 +</w:t>
            </w:r>
          </w:p>
          <w:p w:rsidR="003F0505" w:rsidRDefault="003F0505" w:rsidP="00AD5CA0">
            <w:pPr>
              <w:keepNext/>
              <w:tabs>
                <w:tab w:val="right" w:pos="1685"/>
                <w:tab w:val="left" w:pos="1775"/>
              </w:tabs>
              <w:spacing w:after="0"/>
            </w:pPr>
            <w:r>
              <w:tab/>
              <w:t>CFL retirement rate:</w:t>
            </w:r>
            <w:r>
              <w:tab/>
              <w:t>20%</w:t>
            </w:r>
          </w:p>
        </w:tc>
        <w:tc>
          <w:tcPr>
            <w:tcW w:w="990" w:type="dxa"/>
            <w:vAlign w:val="center"/>
          </w:tcPr>
          <w:p w:rsidR="003F0505" w:rsidRDefault="003F0505" w:rsidP="00AD5CA0">
            <w:pPr>
              <w:keepNext/>
              <w:spacing w:after="0"/>
              <w:jc w:val="center"/>
            </w:pPr>
            <w:r>
              <w:t>73.3%</w:t>
            </w:r>
          </w:p>
        </w:tc>
        <w:tc>
          <w:tcPr>
            <w:tcW w:w="990" w:type="dxa"/>
            <w:shd w:val="clear" w:color="auto" w:fill="D9D9D9" w:themeFill="background1" w:themeFillShade="D9"/>
            <w:vAlign w:val="center"/>
          </w:tcPr>
          <w:p w:rsidR="003F0505" w:rsidRDefault="003F0505" w:rsidP="00AD5CA0">
            <w:pPr>
              <w:keepNext/>
              <w:spacing w:after="0"/>
              <w:jc w:val="center"/>
            </w:pPr>
          </w:p>
        </w:tc>
      </w:tr>
      <w:tr w:rsidR="003F0505" w:rsidTr="00AD5CA0">
        <w:trPr>
          <w:jc w:val="center"/>
        </w:trPr>
        <w:tc>
          <w:tcPr>
            <w:tcW w:w="1188" w:type="dxa"/>
          </w:tcPr>
          <w:p w:rsidR="003F0505" w:rsidRDefault="003F0505" w:rsidP="00AD5CA0">
            <w:pPr>
              <w:keepNext/>
              <w:spacing w:after="0"/>
            </w:pPr>
            <w:r>
              <w:t>EAR Rev 3</w:t>
            </w:r>
          </w:p>
        </w:tc>
        <w:tc>
          <w:tcPr>
            <w:tcW w:w="2693" w:type="dxa"/>
          </w:tcPr>
          <w:p w:rsidR="003F0505" w:rsidRDefault="003F0505" w:rsidP="00AD5CA0">
            <w:pPr>
              <w:keepNext/>
              <w:tabs>
                <w:tab w:val="right" w:pos="1685"/>
                <w:tab w:val="left" w:pos="1775"/>
              </w:tabs>
              <w:spacing w:after="0"/>
            </w:pPr>
            <w:r>
              <w:t>EAR Rev 1 +</w:t>
            </w:r>
          </w:p>
          <w:p w:rsidR="003F0505" w:rsidRDefault="003F0505" w:rsidP="00AD5CA0">
            <w:pPr>
              <w:keepNext/>
              <w:tabs>
                <w:tab w:val="right" w:pos="1685"/>
                <w:tab w:val="left" w:pos="1775"/>
              </w:tabs>
              <w:spacing w:after="0"/>
            </w:pPr>
            <w:r>
              <w:tab/>
              <w:t>CFL retirement rate:</w:t>
            </w:r>
            <w:r>
              <w:tab/>
              <w:t>22%</w:t>
            </w:r>
          </w:p>
        </w:tc>
        <w:tc>
          <w:tcPr>
            <w:tcW w:w="990" w:type="dxa"/>
            <w:vAlign w:val="center"/>
          </w:tcPr>
          <w:p w:rsidR="003F0505" w:rsidRDefault="003F0505" w:rsidP="00AD5CA0">
            <w:pPr>
              <w:keepNext/>
              <w:spacing w:after="0"/>
              <w:jc w:val="center"/>
            </w:pPr>
            <w:r>
              <w:t>83.3%</w:t>
            </w:r>
          </w:p>
        </w:tc>
        <w:tc>
          <w:tcPr>
            <w:tcW w:w="990" w:type="dxa"/>
            <w:shd w:val="clear" w:color="auto" w:fill="D9D9D9" w:themeFill="background1" w:themeFillShade="D9"/>
            <w:vAlign w:val="center"/>
          </w:tcPr>
          <w:p w:rsidR="003F0505" w:rsidRDefault="003F0505" w:rsidP="00AD5CA0">
            <w:pPr>
              <w:keepNext/>
              <w:spacing w:after="0"/>
              <w:jc w:val="center"/>
            </w:pPr>
          </w:p>
        </w:tc>
      </w:tr>
      <w:tr w:rsidR="003F0505" w:rsidTr="00AD5CA0">
        <w:trPr>
          <w:jc w:val="center"/>
        </w:trPr>
        <w:tc>
          <w:tcPr>
            <w:tcW w:w="1188" w:type="dxa"/>
          </w:tcPr>
          <w:p w:rsidR="003F0505" w:rsidRDefault="003F0505" w:rsidP="00AD5CA0">
            <w:pPr>
              <w:keepNext/>
              <w:spacing w:after="0"/>
            </w:pPr>
            <w:r>
              <w:t>EAR Rev 4</w:t>
            </w:r>
          </w:p>
        </w:tc>
        <w:tc>
          <w:tcPr>
            <w:tcW w:w="2693" w:type="dxa"/>
          </w:tcPr>
          <w:p w:rsidR="003F0505" w:rsidRDefault="003F0505" w:rsidP="00AD5CA0">
            <w:pPr>
              <w:keepNext/>
              <w:tabs>
                <w:tab w:val="right" w:pos="1685"/>
                <w:tab w:val="left" w:pos="1775"/>
              </w:tabs>
              <w:spacing w:after="0"/>
            </w:pPr>
            <w:r>
              <w:t>EAR Rev 1 +</w:t>
            </w:r>
          </w:p>
          <w:p w:rsidR="003F0505" w:rsidRDefault="003F0505" w:rsidP="00AD5CA0">
            <w:pPr>
              <w:keepNext/>
              <w:tabs>
                <w:tab w:val="right" w:pos="1685"/>
                <w:tab w:val="left" w:pos="1775"/>
              </w:tabs>
              <w:spacing w:after="0"/>
            </w:pPr>
            <w:r>
              <w:tab/>
              <w:t>CFL retirement rate:</w:t>
            </w:r>
            <w:r>
              <w:tab/>
              <w:t>24%</w:t>
            </w:r>
          </w:p>
        </w:tc>
        <w:tc>
          <w:tcPr>
            <w:tcW w:w="990" w:type="dxa"/>
            <w:vAlign w:val="center"/>
          </w:tcPr>
          <w:p w:rsidR="003F0505" w:rsidRDefault="003F0505" w:rsidP="00AD5CA0">
            <w:pPr>
              <w:keepNext/>
              <w:spacing w:after="0"/>
              <w:jc w:val="center"/>
            </w:pPr>
            <w:r>
              <w:t>92.7%</w:t>
            </w:r>
          </w:p>
        </w:tc>
        <w:tc>
          <w:tcPr>
            <w:tcW w:w="990" w:type="dxa"/>
            <w:shd w:val="clear" w:color="auto" w:fill="D9D9D9" w:themeFill="background1" w:themeFillShade="D9"/>
            <w:vAlign w:val="center"/>
          </w:tcPr>
          <w:p w:rsidR="003F0505" w:rsidRDefault="003F0505" w:rsidP="00AD5CA0">
            <w:pPr>
              <w:keepNext/>
              <w:spacing w:after="0"/>
              <w:jc w:val="center"/>
            </w:pPr>
          </w:p>
        </w:tc>
      </w:tr>
      <w:tr w:rsidR="003F0505" w:rsidTr="00AD5CA0">
        <w:trPr>
          <w:jc w:val="center"/>
        </w:trPr>
        <w:tc>
          <w:tcPr>
            <w:tcW w:w="1188" w:type="dxa"/>
          </w:tcPr>
          <w:p w:rsidR="003F0505" w:rsidRDefault="003F0505" w:rsidP="00AD5CA0">
            <w:pPr>
              <w:spacing w:after="0"/>
            </w:pPr>
            <w:r>
              <w:t>EAR Rev 5</w:t>
            </w:r>
          </w:p>
        </w:tc>
        <w:tc>
          <w:tcPr>
            <w:tcW w:w="2693" w:type="dxa"/>
          </w:tcPr>
          <w:p w:rsidR="003F0505" w:rsidRDefault="003F0505" w:rsidP="00AD5CA0">
            <w:pPr>
              <w:tabs>
                <w:tab w:val="right" w:pos="1685"/>
                <w:tab w:val="left" w:pos="1775"/>
              </w:tabs>
              <w:spacing w:after="0"/>
            </w:pPr>
            <w:r>
              <w:t>EAR Rev 1 +</w:t>
            </w:r>
          </w:p>
          <w:p w:rsidR="003F0505" w:rsidRDefault="003F0505" w:rsidP="00AD5CA0">
            <w:pPr>
              <w:tabs>
                <w:tab w:val="right" w:pos="1685"/>
                <w:tab w:val="left" w:pos="1775"/>
              </w:tabs>
              <w:spacing w:after="0"/>
            </w:pPr>
            <w:r>
              <w:tab/>
              <w:t>CFL retirement rate:</w:t>
            </w:r>
            <w:r>
              <w:tab/>
              <w:t>25.4%</w:t>
            </w:r>
          </w:p>
        </w:tc>
        <w:tc>
          <w:tcPr>
            <w:tcW w:w="990" w:type="dxa"/>
            <w:vAlign w:val="center"/>
          </w:tcPr>
          <w:p w:rsidR="003F0505" w:rsidRDefault="003F0505" w:rsidP="00AD5CA0">
            <w:pPr>
              <w:spacing w:after="0"/>
              <w:jc w:val="center"/>
            </w:pPr>
            <w:r>
              <w:t>99%</w:t>
            </w:r>
          </w:p>
        </w:tc>
        <w:tc>
          <w:tcPr>
            <w:tcW w:w="990" w:type="dxa"/>
            <w:shd w:val="clear" w:color="auto" w:fill="D9D9D9" w:themeFill="background1" w:themeFillShade="D9"/>
            <w:vAlign w:val="center"/>
          </w:tcPr>
          <w:p w:rsidR="003F0505" w:rsidRDefault="003F0505" w:rsidP="00AD5CA0">
            <w:pPr>
              <w:spacing w:after="0"/>
              <w:jc w:val="center"/>
            </w:pPr>
          </w:p>
        </w:tc>
      </w:tr>
    </w:tbl>
    <w:p w:rsidR="003F0505" w:rsidRDefault="003F0505" w:rsidP="00184D53">
      <w:pPr>
        <w:pStyle w:val="Body3"/>
      </w:pPr>
    </w:p>
    <w:p w:rsidR="008111CF" w:rsidRDefault="008111CF" w:rsidP="00184D53">
      <w:pPr>
        <w:pStyle w:val="Body3"/>
      </w:pPr>
      <w:r>
        <w:t>The row noted “EAR Rev1” includes the following corrections that align assumptions of the replacement model with DEER assumptions:</w:t>
      </w:r>
    </w:p>
    <w:p w:rsidR="008111CF" w:rsidRDefault="00040151" w:rsidP="00040151">
      <w:pPr>
        <w:pStyle w:val="Body3"/>
        <w:tabs>
          <w:tab w:val="right" w:pos="2880"/>
          <w:tab w:val="left" w:pos="2970"/>
        </w:tabs>
        <w:ind w:left="2970" w:hanging="2970"/>
      </w:pPr>
      <w:r>
        <w:tab/>
      </w:r>
      <w:r w:rsidR="008111CF">
        <w:t>Incandescent HOU:</w:t>
      </w:r>
      <w:r w:rsidR="008111CF">
        <w:tab/>
        <w:t>The most recent loggering studies of residential screw-in lighting was performed for the 2006-2008 program cycle and showed lower operating hours for incandescent lamps. CFLs have higher operating hours, indicating that purchasers tend to install their most efficient lamps in the sockets with highest usage.</w:t>
      </w:r>
    </w:p>
    <w:p w:rsidR="008111CF" w:rsidRDefault="00040151" w:rsidP="00040151">
      <w:pPr>
        <w:pStyle w:val="Body3"/>
        <w:tabs>
          <w:tab w:val="right" w:pos="2880"/>
          <w:tab w:val="left" w:pos="2970"/>
        </w:tabs>
        <w:ind w:left="2970" w:hanging="2970"/>
      </w:pPr>
      <w:r>
        <w:tab/>
      </w:r>
      <w:r w:rsidR="008111CF">
        <w:t>Halogen HOU:</w:t>
      </w:r>
      <w:r w:rsidR="008111CF">
        <w:tab/>
      </w:r>
      <w:r w:rsidR="00AD5CA0">
        <w:t>At the time of the 2006-2008 loggering study, halogen lamps were only available in limited quantities. The value of 475 hours is an estimate that assumes halogen lamps have slighting more operating hours than conventional incandescent lamps, but still not as many as CFLs.</w:t>
      </w:r>
    </w:p>
    <w:p w:rsidR="00AD5CA0" w:rsidRDefault="00040151" w:rsidP="00040151">
      <w:pPr>
        <w:pStyle w:val="Body3"/>
        <w:tabs>
          <w:tab w:val="right" w:pos="2880"/>
          <w:tab w:val="left" w:pos="2970"/>
        </w:tabs>
        <w:ind w:left="2970" w:hanging="2970"/>
      </w:pPr>
      <w:r>
        <w:tab/>
      </w:r>
      <w:r w:rsidR="00AD5CA0">
        <w:t>Halogen Rated Life:</w:t>
      </w:r>
      <w:r w:rsidR="00AD5CA0">
        <w:tab/>
        <w:t>The value for rated halogen lamp life included in PG&amp;E’s replacement manual is sourced from the IES handbook, which does not appear to represent conventional halogen A-lamps. A cursory review on the internet reveals that most conventional halogen A-lamps have rated life of 1,000 hours, similar to conventional incandescent A-lamps.</w:t>
      </w:r>
    </w:p>
    <w:p w:rsidR="00AD5CA0" w:rsidRDefault="00040151" w:rsidP="00040151">
      <w:pPr>
        <w:pStyle w:val="Body3"/>
        <w:tabs>
          <w:tab w:val="right" w:pos="2880"/>
          <w:tab w:val="left" w:pos="2970"/>
        </w:tabs>
        <w:ind w:left="2970" w:hanging="2970"/>
      </w:pPr>
      <w:r>
        <w:tab/>
      </w:r>
      <w:r w:rsidR="00AD5CA0">
        <w:t>CFL Retirement Rate:</w:t>
      </w:r>
      <w:r w:rsidR="00AD5CA0">
        <w:tab/>
        <w:t>PG&amp;E’s</w:t>
      </w:r>
      <w:r w:rsidR="00AD5CA0" w:rsidRPr="00AD5CA0">
        <w:t xml:space="preserve"> replacement model calculates a failure rate for CFLs based on a rated life of 10,000 hours and the DEER annual operating hours of 541, or about a 5.4% annual retirement rate. However, the DEER EUL for CFLs is 3.5 years, which corresponds to an annual retirement rate of 18%.</w:t>
      </w:r>
    </w:p>
    <w:p w:rsidR="00AD5CA0" w:rsidRDefault="00AD5CA0" w:rsidP="00AD5CA0">
      <w:pPr>
        <w:pStyle w:val="Heading3"/>
      </w:pPr>
      <w:r>
        <w:lastRenderedPageBreak/>
        <w:t>The proposed EISA bin method does not assign savings relative to efficacy</w:t>
      </w:r>
    </w:p>
    <w:p w:rsidR="00AD5CA0" w:rsidRDefault="00AD5CA0" w:rsidP="00184D53">
      <w:pPr>
        <w:pStyle w:val="Body3"/>
      </w:pPr>
      <w:r>
        <w:t xml:space="preserve">PG&amp;E proposes a revision from the currently approved WRR method to a method that assumes a fixed wattage baseline for each EISA wattage bin. Embedded in this approach is an assumption that lamp purchasers use only the published EISA wattage bin, and not the published output of the lamp, in their decisions on replacement. The result is that savings calculations mostly do not align with the performance of the lamp. Some examples are presented below. Thus the results of </w:t>
      </w:r>
      <w:r w:rsidR="00502878">
        <w:t xml:space="preserve">PG&amp;E’s proposed </w:t>
      </w:r>
      <w:r>
        <w:t>new method do not reliably accomplish the</w:t>
      </w:r>
      <w:r w:rsidR="00502878">
        <w:t>ir</w:t>
      </w:r>
      <w:r>
        <w:t xml:space="preserve"> </w:t>
      </w:r>
      <w:r w:rsidR="00502878">
        <w:t>stated intent</w:t>
      </w:r>
      <w:r>
        <w:t xml:space="preserve"> of providing a higher savings value</w:t>
      </w:r>
      <w:r w:rsidR="00502878">
        <w:t>s</w:t>
      </w:r>
      <w:r>
        <w:t xml:space="preserve"> </w:t>
      </w:r>
      <w:r w:rsidR="001E24C0">
        <w:t>for higher efficacy lamps</w:t>
      </w:r>
      <w:r>
        <w:t>.</w:t>
      </w:r>
    </w:p>
    <w:p w:rsidR="00533162" w:rsidRDefault="00533162" w:rsidP="00184D53">
      <w:pPr>
        <w:pStyle w:val="Body3"/>
      </w:pPr>
    </w:p>
    <w:p w:rsidR="00AD5CA0" w:rsidRPr="00820BD1" w:rsidRDefault="00AD5CA0" w:rsidP="00184D53">
      <w:pPr>
        <w:pStyle w:val="Body3"/>
        <w:rPr>
          <w:b/>
        </w:rPr>
      </w:pPr>
      <w:r w:rsidRPr="00820BD1">
        <w:rPr>
          <w:b/>
        </w:rPr>
        <w:t>Example 1 – Wide variation of performance for a single wattage within a single EISA bin</w:t>
      </w:r>
    </w:p>
    <w:p w:rsidR="00184D53" w:rsidRDefault="00B25CDA" w:rsidP="006B7A09">
      <w:pPr>
        <w:pStyle w:val="Body3"/>
      </w:pPr>
      <w:r>
        <w:fldChar w:fldCharType="begin"/>
      </w:r>
      <w:r>
        <w:instrText xml:space="preserve"> REF _Ref475994433 \h </w:instrText>
      </w:r>
      <w:r>
        <w:fldChar w:fldCharType="separate"/>
      </w:r>
      <w:r>
        <w:t xml:space="preserve">Figure </w:t>
      </w:r>
      <w:r>
        <w:rPr>
          <w:noProof/>
        </w:rPr>
        <w:t>3</w:t>
      </w:r>
      <w:r>
        <w:fldChar w:fldCharType="end"/>
      </w:r>
      <w:r>
        <w:t xml:space="preserve"> </w:t>
      </w:r>
      <w:r w:rsidR="00AD5CA0">
        <w:t>shows the output of all program eligible A-lamps by wattage and EISA wattage bin</w:t>
      </w:r>
      <w:r w:rsidR="00AD5CA0">
        <w:rPr>
          <w:rStyle w:val="FootnoteReference"/>
        </w:rPr>
        <w:footnoteReference w:id="13"/>
      </w:r>
      <w:r w:rsidR="00AD5CA0">
        <w:t xml:space="preserve">. There are several instances where lamps of a specific wattage and EISA bin have widely different outputs. </w:t>
      </w:r>
      <w:r w:rsidR="00AD5CA0">
        <w:fldChar w:fldCharType="begin"/>
      </w:r>
      <w:r w:rsidR="00AD5CA0">
        <w:instrText xml:space="preserve"> REF _Ref472936985 </w:instrText>
      </w:r>
      <w:r w:rsidR="007B2E5A">
        <w:instrText xml:space="preserve"> \* MERGEFORMAT </w:instrText>
      </w:r>
      <w:r w:rsidR="00AD5CA0">
        <w:fldChar w:fldCharType="separate"/>
      </w:r>
      <w:r w:rsidR="002D46C6">
        <w:t xml:space="preserve">Table </w:t>
      </w:r>
      <w:r w:rsidR="002D46C6">
        <w:rPr>
          <w:noProof/>
        </w:rPr>
        <w:t>10</w:t>
      </w:r>
      <w:r w:rsidR="00AD5CA0">
        <w:fldChar w:fldCharType="end"/>
      </w:r>
      <w:r w:rsidR="00AD5CA0">
        <w:t xml:space="preserve"> includes four examples with high variation. Under the proposed workpaper approach, which fixes the baseline wattage by EISA bin, the higher performing lamps will be assigned the same savings</w:t>
      </w:r>
      <w:r w:rsidR="006B7A09">
        <w:t xml:space="preserve"> as the lower performing lamps.</w:t>
      </w:r>
    </w:p>
    <w:p w:rsidR="00184D53" w:rsidRDefault="00184D53" w:rsidP="00820BD1">
      <w:pPr>
        <w:pStyle w:val="Caption"/>
        <w:keepNext/>
      </w:pPr>
    </w:p>
    <w:p w:rsidR="00B25CDA" w:rsidRDefault="00B25CDA" w:rsidP="00820BD1">
      <w:pPr>
        <w:pStyle w:val="Caption"/>
        <w:keepNext/>
        <w:spacing w:after="120"/>
        <w:jc w:val="center"/>
      </w:pPr>
      <w:bookmarkStart w:id="47" w:name="_Ref475994433"/>
      <w:r>
        <w:t xml:space="preserve">Figure </w:t>
      </w:r>
      <w:fldSimple w:instr=" SEQ Figure \* ARABIC ">
        <w:r w:rsidR="00DF3DAD">
          <w:rPr>
            <w:noProof/>
          </w:rPr>
          <w:t>3</w:t>
        </w:r>
      </w:fldSimple>
      <w:bookmarkEnd w:id="47"/>
      <w:r>
        <w:t xml:space="preserve"> -</w:t>
      </w:r>
      <w:r w:rsidRPr="00C11B9A">
        <w:t xml:space="preserve">Output (Lumens) vs. Input (Watts) of </w:t>
      </w:r>
      <w:r w:rsidR="00502878">
        <w:t>P</w:t>
      </w:r>
      <w:r w:rsidR="00065FEB">
        <w:t xml:space="preserve">roposed </w:t>
      </w:r>
      <w:r w:rsidRPr="00C11B9A">
        <w:t>Program Eligible LED A-Lamps</w:t>
      </w:r>
      <w:r w:rsidR="00065FEB">
        <w:t xml:space="preserve"> </w:t>
      </w:r>
    </w:p>
    <w:p w:rsidR="00AD5CA0" w:rsidRDefault="00810DFD" w:rsidP="00AD5CA0">
      <w:r>
        <w:rPr>
          <w:noProof/>
        </w:rPr>
        <w:drawing>
          <wp:inline distT="0" distB="0" distL="0" distR="0">
            <wp:extent cx="5902960" cy="330962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2960" cy="3309620"/>
                    </a:xfrm>
                    <a:prstGeom prst="rect">
                      <a:avLst/>
                    </a:prstGeom>
                    <a:noFill/>
                    <a:ln>
                      <a:noFill/>
                    </a:ln>
                  </pic:spPr>
                </pic:pic>
              </a:graphicData>
            </a:graphic>
          </wp:inline>
        </w:drawing>
      </w:r>
    </w:p>
    <w:p w:rsidR="00AD5CA0" w:rsidRDefault="00AD5CA0" w:rsidP="00AD5CA0"/>
    <w:p w:rsidR="00AD5CA0" w:rsidRDefault="00AD5CA0" w:rsidP="00820BD1">
      <w:pPr>
        <w:pStyle w:val="Caption"/>
        <w:keepNext/>
        <w:spacing w:after="120"/>
        <w:jc w:val="center"/>
      </w:pPr>
      <w:bookmarkStart w:id="48" w:name="_Ref472936985"/>
      <w:r>
        <w:lastRenderedPageBreak/>
        <w:t xml:space="preserve">Table </w:t>
      </w:r>
      <w:fldSimple w:instr=" SEQ Table \* ARABIC ">
        <w:r w:rsidR="00B25CDA">
          <w:rPr>
            <w:noProof/>
          </w:rPr>
          <w:t>10</w:t>
        </w:r>
      </w:fldSimple>
      <w:bookmarkEnd w:id="48"/>
      <w:r w:rsidR="007B2E5A">
        <w:rPr>
          <w:noProof/>
        </w:rPr>
        <w:t xml:space="preserve"> – Four Cases for Example 1,</w:t>
      </w:r>
      <w:r>
        <w:rPr>
          <w:noProof/>
        </w:rPr>
        <w:t xml:space="preserve"> Variation in Performance</w:t>
      </w:r>
    </w:p>
    <w:tbl>
      <w:tblPr>
        <w:tblStyle w:val="TableGrid"/>
        <w:tblW w:w="0" w:type="auto"/>
        <w:jc w:val="center"/>
        <w:tblLayout w:type="fixed"/>
        <w:tblLook w:val="04A0" w:firstRow="1" w:lastRow="0" w:firstColumn="1" w:lastColumn="0" w:noHBand="0" w:noVBand="1"/>
      </w:tblPr>
      <w:tblGrid>
        <w:gridCol w:w="918"/>
        <w:gridCol w:w="720"/>
        <w:gridCol w:w="810"/>
        <w:gridCol w:w="900"/>
        <w:gridCol w:w="900"/>
        <w:gridCol w:w="1260"/>
      </w:tblGrid>
      <w:tr w:rsidR="007B2E5A" w:rsidTr="00825350">
        <w:trPr>
          <w:jc w:val="center"/>
        </w:trPr>
        <w:tc>
          <w:tcPr>
            <w:tcW w:w="918" w:type="dxa"/>
            <w:vMerge w:val="restart"/>
          </w:tcPr>
          <w:p w:rsidR="007B2E5A" w:rsidRDefault="007B2E5A" w:rsidP="00184D53">
            <w:pPr>
              <w:keepNext/>
              <w:spacing w:after="0"/>
              <w:jc w:val="center"/>
            </w:pPr>
            <w:r>
              <w:t>Sample Case</w:t>
            </w:r>
          </w:p>
        </w:tc>
        <w:tc>
          <w:tcPr>
            <w:tcW w:w="720" w:type="dxa"/>
            <w:vMerge w:val="restart"/>
          </w:tcPr>
          <w:p w:rsidR="007B2E5A" w:rsidRDefault="007B2E5A" w:rsidP="00184D53">
            <w:pPr>
              <w:keepNext/>
              <w:spacing w:after="0"/>
              <w:jc w:val="center"/>
            </w:pPr>
            <w:r>
              <w:t>EISA Bin</w:t>
            </w:r>
          </w:p>
        </w:tc>
        <w:tc>
          <w:tcPr>
            <w:tcW w:w="810" w:type="dxa"/>
            <w:tcBorders>
              <w:bottom w:val="nil"/>
            </w:tcBorders>
          </w:tcPr>
          <w:p w:rsidR="007B2E5A" w:rsidRDefault="007B2E5A" w:rsidP="00184D53">
            <w:pPr>
              <w:keepNext/>
              <w:spacing w:after="0"/>
              <w:jc w:val="center"/>
            </w:pPr>
          </w:p>
        </w:tc>
        <w:tc>
          <w:tcPr>
            <w:tcW w:w="1800" w:type="dxa"/>
            <w:gridSpan w:val="2"/>
          </w:tcPr>
          <w:p w:rsidR="007B2E5A" w:rsidRDefault="007B2E5A" w:rsidP="00184D53">
            <w:pPr>
              <w:keepNext/>
              <w:spacing w:after="0"/>
              <w:jc w:val="center"/>
            </w:pPr>
            <w:r>
              <w:t>Output (Lumens)</w:t>
            </w:r>
          </w:p>
        </w:tc>
        <w:tc>
          <w:tcPr>
            <w:tcW w:w="1260" w:type="dxa"/>
            <w:vMerge w:val="restart"/>
          </w:tcPr>
          <w:p w:rsidR="007B2E5A" w:rsidRDefault="007B2E5A" w:rsidP="00184D53">
            <w:pPr>
              <w:keepNext/>
              <w:spacing w:after="0"/>
              <w:jc w:val="center"/>
            </w:pPr>
            <w:r>
              <w:t>% difference (min:max)</w:t>
            </w:r>
          </w:p>
        </w:tc>
      </w:tr>
      <w:tr w:rsidR="007B2E5A" w:rsidTr="00825350">
        <w:trPr>
          <w:jc w:val="center"/>
        </w:trPr>
        <w:tc>
          <w:tcPr>
            <w:tcW w:w="918" w:type="dxa"/>
            <w:vMerge/>
          </w:tcPr>
          <w:p w:rsidR="007B2E5A" w:rsidRDefault="007B2E5A" w:rsidP="00184D53">
            <w:pPr>
              <w:keepNext/>
              <w:spacing w:after="0"/>
              <w:jc w:val="center"/>
            </w:pPr>
          </w:p>
        </w:tc>
        <w:tc>
          <w:tcPr>
            <w:tcW w:w="720" w:type="dxa"/>
            <w:vMerge/>
          </w:tcPr>
          <w:p w:rsidR="007B2E5A" w:rsidRDefault="007B2E5A" w:rsidP="00184D53">
            <w:pPr>
              <w:keepNext/>
              <w:spacing w:after="0"/>
              <w:jc w:val="center"/>
            </w:pPr>
          </w:p>
        </w:tc>
        <w:tc>
          <w:tcPr>
            <w:tcW w:w="810" w:type="dxa"/>
            <w:tcBorders>
              <w:top w:val="nil"/>
            </w:tcBorders>
          </w:tcPr>
          <w:p w:rsidR="007B2E5A" w:rsidRDefault="007B2E5A" w:rsidP="00184D53">
            <w:pPr>
              <w:keepNext/>
              <w:spacing w:after="0"/>
              <w:jc w:val="center"/>
            </w:pPr>
            <w:r>
              <w:t>Watts</w:t>
            </w:r>
          </w:p>
        </w:tc>
        <w:tc>
          <w:tcPr>
            <w:tcW w:w="900" w:type="dxa"/>
          </w:tcPr>
          <w:p w:rsidR="007B2E5A" w:rsidRDefault="007B2E5A" w:rsidP="00184D53">
            <w:pPr>
              <w:keepNext/>
              <w:spacing w:after="0"/>
              <w:jc w:val="center"/>
            </w:pPr>
            <w:r>
              <w:t>Min</w:t>
            </w:r>
          </w:p>
        </w:tc>
        <w:tc>
          <w:tcPr>
            <w:tcW w:w="900" w:type="dxa"/>
          </w:tcPr>
          <w:p w:rsidR="007B2E5A" w:rsidRDefault="007B2E5A" w:rsidP="00184D53">
            <w:pPr>
              <w:keepNext/>
              <w:spacing w:after="0"/>
              <w:jc w:val="center"/>
            </w:pPr>
            <w:r>
              <w:t>Max</w:t>
            </w:r>
          </w:p>
        </w:tc>
        <w:tc>
          <w:tcPr>
            <w:tcW w:w="1260" w:type="dxa"/>
            <w:vMerge/>
          </w:tcPr>
          <w:p w:rsidR="007B2E5A" w:rsidRDefault="007B2E5A" w:rsidP="00184D53">
            <w:pPr>
              <w:keepNext/>
              <w:spacing w:after="0"/>
              <w:jc w:val="center"/>
            </w:pPr>
          </w:p>
        </w:tc>
      </w:tr>
      <w:tr w:rsidR="00AD5CA0" w:rsidTr="00AD5CA0">
        <w:trPr>
          <w:jc w:val="center"/>
        </w:trPr>
        <w:tc>
          <w:tcPr>
            <w:tcW w:w="918" w:type="dxa"/>
          </w:tcPr>
          <w:p w:rsidR="00AD5CA0" w:rsidRDefault="00AD5CA0" w:rsidP="00184D53">
            <w:pPr>
              <w:keepNext/>
              <w:spacing w:after="0"/>
              <w:jc w:val="center"/>
            </w:pPr>
            <w:r>
              <w:t>1</w:t>
            </w:r>
          </w:p>
        </w:tc>
        <w:tc>
          <w:tcPr>
            <w:tcW w:w="720" w:type="dxa"/>
          </w:tcPr>
          <w:p w:rsidR="00AD5CA0" w:rsidRDefault="00AD5CA0" w:rsidP="00184D53">
            <w:pPr>
              <w:keepNext/>
              <w:spacing w:after="0"/>
              <w:jc w:val="center"/>
            </w:pPr>
            <w:r>
              <w:t>40</w:t>
            </w:r>
          </w:p>
        </w:tc>
        <w:tc>
          <w:tcPr>
            <w:tcW w:w="810" w:type="dxa"/>
          </w:tcPr>
          <w:p w:rsidR="00AD5CA0" w:rsidRDefault="00AD5CA0" w:rsidP="00184D53">
            <w:pPr>
              <w:keepNext/>
              <w:spacing w:after="0"/>
              <w:jc w:val="center"/>
            </w:pPr>
            <w:r>
              <w:t>7</w:t>
            </w:r>
          </w:p>
        </w:tc>
        <w:tc>
          <w:tcPr>
            <w:tcW w:w="900" w:type="dxa"/>
          </w:tcPr>
          <w:p w:rsidR="00AD5CA0" w:rsidRDefault="00AD5CA0" w:rsidP="00184D53">
            <w:pPr>
              <w:keepNext/>
              <w:spacing w:after="0"/>
              <w:jc w:val="center"/>
            </w:pPr>
            <w:r>
              <w:t>500</w:t>
            </w:r>
          </w:p>
        </w:tc>
        <w:tc>
          <w:tcPr>
            <w:tcW w:w="900" w:type="dxa"/>
          </w:tcPr>
          <w:p w:rsidR="00AD5CA0" w:rsidRDefault="00AD5CA0" w:rsidP="00184D53">
            <w:pPr>
              <w:keepNext/>
              <w:spacing w:after="0"/>
              <w:jc w:val="center"/>
            </w:pPr>
            <w:r>
              <w:t>700</w:t>
            </w:r>
          </w:p>
        </w:tc>
        <w:tc>
          <w:tcPr>
            <w:tcW w:w="1260" w:type="dxa"/>
          </w:tcPr>
          <w:p w:rsidR="00AD5CA0" w:rsidRDefault="00AD5CA0" w:rsidP="00184D53">
            <w:pPr>
              <w:keepNext/>
              <w:spacing w:after="0"/>
              <w:jc w:val="center"/>
            </w:pPr>
            <w:r>
              <w:t>40%</w:t>
            </w:r>
          </w:p>
        </w:tc>
      </w:tr>
      <w:tr w:rsidR="00AD5CA0" w:rsidTr="00AD5CA0">
        <w:trPr>
          <w:jc w:val="center"/>
        </w:trPr>
        <w:tc>
          <w:tcPr>
            <w:tcW w:w="918" w:type="dxa"/>
          </w:tcPr>
          <w:p w:rsidR="00AD5CA0" w:rsidRDefault="00AD5CA0" w:rsidP="00184D53">
            <w:pPr>
              <w:keepNext/>
              <w:spacing w:after="0"/>
              <w:jc w:val="center"/>
            </w:pPr>
            <w:r>
              <w:t>2</w:t>
            </w:r>
          </w:p>
        </w:tc>
        <w:tc>
          <w:tcPr>
            <w:tcW w:w="720" w:type="dxa"/>
          </w:tcPr>
          <w:p w:rsidR="00AD5CA0" w:rsidRDefault="00AD5CA0" w:rsidP="00184D53">
            <w:pPr>
              <w:keepNext/>
              <w:spacing w:after="0"/>
              <w:jc w:val="center"/>
            </w:pPr>
            <w:r>
              <w:t>60</w:t>
            </w:r>
          </w:p>
        </w:tc>
        <w:tc>
          <w:tcPr>
            <w:tcW w:w="810" w:type="dxa"/>
          </w:tcPr>
          <w:p w:rsidR="00AD5CA0" w:rsidRDefault="00AD5CA0" w:rsidP="00184D53">
            <w:pPr>
              <w:keepNext/>
              <w:spacing w:after="0"/>
              <w:jc w:val="center"/>
            </w:pPr>
            <w:r>
              <w:t>9.5</w:t>
            </w:r>
          </w:p>
        </w:tc>
        <w:tc>
          <w:tcPr>
            <w:tcW w:w="900" w:type="dxa"/>
          </w:tcPr>
          <w:p w:rsidR="00AD5CA0" w:rsidRDefault="00AD5CA0" w:rsidP="00184D53">
            <w:pPr>
              <w:keepNext/>
              <w:spacing w:after="0"/>
              <w:jc w:val="center"/>
            </w:pPr>
            <w:r>
              <w:t>800</w:t>
            </w:r>
          </w:p>
        </w:tc>
        <w:tc>
          <w:tcPr>
            <w:tcW w:w="900" w:type="dxa"/>
          </w:tcPr>
          <w:p w:rsidR="00AD5CA0" w:rsidRDefault="00AD5CA0" w:rsidP="00184D53">
            <w:pPr>
              <w:keepNext/>
              <w:spacing w:after="0"/>
              <w:jc w:val="center"/>
            </w:pPr>
            <w:r>
              <w:t>1,000</w:t>
            </w:r>
          </w:p>
        </w:tc>
        <w:tc>
          <w:tcPr>
            <w:tcW w:w="1260" w:type="dxa"/>
          </w:tcPr>
          <w:p w:rsidR="00AD5CA0" w:rsidRDefault="00AD5CA0" w:rsidP="00184D53">
            <w:pPr>
              <w:keepNext/>
              <w:spacing w:after="0"/>
              <w:jc w:val="center"/>
            </w:pPr>
            <w:r>
              <w:t>25%</w:t>
            </w:r>
          </w:p>
        </w:tc>
      </w:tr>
      <w:tr w:rsidR="00AD5CA0" w:rsidTr="00AD5CA0">
        <w:trPr>
          <w:jc w:val="center"/>
        </w:trPr>
        <w:tc>
          <w:tcPr>
            <w:tcW w:w="918" w:type="dxa"/>
          </w:tcPr>
          <w:p w:rsidR="00AD5CA0" w:rsidRDefault="00AD5CA0" w:rsidP="00184D53">
            <w:pPr>
              <w:keepNext/>
              <w:spacing w:after="0"/>
              <w:jc w:val="center"/>
            </w:pPr>
            <w:r>
              <w:t>3</w:t>
            </w:r>
          </w:p>
        </w:tc>
        <w:tc>
          <w:tcPr>
            <w:tcW w:w="720" w:type="dxa"/>
          </w:tcPr>
          <w:p w:rsidR="00AD5CA0" w:rsidRDefault="00AD5CA0" w:rsidP="00184D53">
            <w:pPr>
              <w:keepNext/>
              <w:spacing w:after="0"/>
              <w:jc w:val="center"/>
            </w:pPr>
            <w:r>
              <w:t>75</w:t>
            </w:r>
          </w:p>
        </w:tc>
        <w:tc>
          <w:tcPr>
            <w:tcW w:w="810" w:type="dxa"/>
          </w:tcPr>
          <w:p w:rsidR="00AD5CA0" w:rsidRDefault="00AD5CA0" w:rsidP="00184D53">
            <w:pPr>
              <w:keepNext/>
              <w:spacing w:after="0"/>
              <w:jc w:val="center"/>
            </w:pPr>
            <w:r>
              <w:t>11</w:t>
            </w:r>
          </w:p>
        </w:tc>
        <w:tc>
          <w:tcPr>
            <w:tcW w:w="900" w:type="dxa"/>
          </w:tcPr>
          <w:p w:rsidR="00AD5CA0" w:rsidRDefault="00AD5CA0" w:rsidP="00184D53">
            <w:pPr>
              <w:keepNext/>
              <w:spacing w:after="0"/>
              <w:jc w:val="center"/>
            </w:pPr>
            <w:r>
              <w:t>1,100</w:t>
            </w:r>
          </w:p>
        </w:tc>
        <w:tc>
          <w:tcPr>
            <w:tcW w:w="900" w:type="dxa"/>
          </w:tcPr>
          <w:p w:rsidR="00AD5CA0" w:rsidRDefault="00AD5CA0" w:rsidP="00184D53">
            <w:pPr>
              <w:keepNext/>
              <w:spacing w:after="0"/>
              <w:jc w:val="center"/>
            </w:pPr>
            <w:r>
              <w:t>1,380</w:t>
            </w:r>
          </w:p>
        </w:tc>
        <w:tc>
          <w:tcPr>
            <w:tcW w:w="1260" w:type="dxa"/>
          </w:tcPr>
          <w:p w:rsidR="00AD5CA0" w:rsidRDefault="00AD5CA0" w:rsidP="00184D53">
            <w:pPr>
              <w:keepNext/>
              <w:spacing w:after="0"/>
              <w:jc w:val="center"/>
            </w:pPr>
            <w:r>
              <w:t>25%</w:t>
            </w:r>
          </w:p>
        </w:tc>
      </w:tr>
      <w:tr w:rsidR="00AD5CA0" w:rsidTr="00AD5CA0">
        <w:trPr>
          <w:jc w:val="center"/>
        </w:trPr>
        <w:tc>
          <w:tcPr>
            <w:tcW w:w="918" w:type="dxa"/>
          </w:tcPr>
          <w:p w:rsidR="00AD5CA0" w:rsidRDefault="00AD5CA0" w:rsidP="00AD5CA0">
            <w:pPr>
              <w:spacing w:after="0"/>
              <w:jc w:val="center"/>
            </w:pPr>
            <w:r>
              <w:t>4</w:t>
            </w:r>
          </w:p>
        </w:tc>
        <w:tc>
          <w:tcPr>
            <w:tcW w:w="720" w:type="dxa"/>
          </w:tcPr>
          <w:p w:rsidR="00AD5CA0" w:rsidRDefault="00AD5CA0" w:rsidP="00AD5CA0">
            <w:pPr>
              <w:spacing w:after="0"/>
              <w:jc w:val="center"/>
            </w:pPr>
            <w:r>
              <w:t>100</w:t>
            </w:r>
          </w:p>
        </w:tc>
        <w:tc>
          <w:tcPr>
            <w:tcW w:w="810" w:type="dxa"/>
          </w:tcPr>
          <w:p w:rsidR="00AD5CA0" w:rsidRDefault="00AD5CA0" w:rsidP="00AD5CA0">
            <w:pPr>
              <w:spacing w:after="0"/>
              <w:jc w:val="center"/>
            </w:pPr>
            <w:r>
              <w:t>15.5</w:t>
            </w:r>
          </w:p>
        </w:tc>
        <w:tc>
          <w:tcPr>
            <w:tcW w:w="900" w:type="dxa"/>
          </w:tcPr>
          <w:p w:rsidR="00AD5CA0" w:rsidRDefault="00AD5CA0" w:rsidP="00AD5CA0">
            <w:pPr>
              <w:spacing w:after="0"/>
              <w:jc w:val="center"/>
            </w:pPr>
            <w:r>
              <w:t>1,500</w:t>
            </w:r>
          </w:p>
        </w:tc>
        <w:tc>
          <w:tcPr>
            <w:tcW w:w="900" w:type="dxa"/>
          </w:tcPr>
          <w:p w:rsidR="00AD5CA0" w:rsidRDefault="00AD5CA0" w:rsidP="00AD5CA0">
            <w:pPr>
              <w:spacing w:after="0"/>
              <w:jc w:val="center"/>
            </w:pPr>
            <w:r>
              <w:t>1,800</w:t>
            </w:r>
          </w:p>
        </w:tc>
        <w:tc>
          <w:tcPr>
            <w:tcW w:w="1260" w:type="dxa"/>
          </w:tcPr>
          <w:p w:rsidR="00AD5CA0" w:rsidRDefault="00AD5CA0" w:rsidP="00AD5CA0">
            <w:pPr>
              <w:spacing w:after="0"/>
              <w:jc w:val="center"/>
            </w:pPr>
            <w:r>
              <w:t>20%</w:t>
            </w:r>
          </w:p>
        </w:tc>
      </w:tr>
    </w:tbl>
    <w:p w:rsidR="00AD5CA0" w:rsidRDefault="00AD5CA0" w:rsidP="00AD5CA0">
      <w:pPr>
        <w:ind w:left="360"/>
        <w:rPr>
          <w:b/>
        </w:rPr>
      </w:pPr>
    </w:p>
    <w:p w:rsidR="00AD5CA0" w:rsidRPr="00820BD1" w:rsidRDefault="00AD5CA0" w:rsidP="00184D53">
      <w:pPr>
        <w:pStyle w:val="Body3"/>
        <w:rPr>
          <w:b/>
        </w:rPr>
      </w:pPr>
      <w:r w:rsidRPr="00820BD1">
        <w:rPr>
          <w:b/>
        </w:rPr>
        <w:t>Example 2 – Similar lamps assigned to different EISA bins receive widely different savings values</w:t>
      </w:r>
    </w:p>
    <w:p w:rsidR="00125F7E" w:rsidRDefault="00AD5CA0" w:rsidP="00184D53">
      <w:pPr>
        <w:pStyle w:val="Body3"/>
      </w:pPr>
      <w:r>
        <w:fldChar w:fldCharType="begin"/>
      </w:r>
      <w:r>
        <w:instrText xml:space="preserve"> REF _Ref475885759 \h </w:instrText>
      </w:r>
      <w:r w:rsidR="007B2E5A">
        <w:instrText xml:space="preserve"> \* MERGEFORMAT </w:instrText>
      </w:r>
      <w:r>
        <w:fldChar w:fldCharType="separate"/>
      </w:r>
      <w:r w:rsidR="002D46C6">
        <w:t xml:space="preserve">Table </w:t>
      </w:r>
      <w:r w:rsidR="002D46C6">
        <w:rPr>
          <w:noProof/>
        </w:rPr>
        <w:t>11</w:t>
      </w:r>
      <w:r>
        <w:fldChar w:fldCharType="end"/>
      </w:r>
      <w:r>
        <w:t xml:space="preserve"> provides two </w:t>
      </w:r>
      <w:r w:rsidR="00125F7E">
        <w:t>cases</w:t>
      </w:r>
      <w:r>
        <w:t xml:space="preserve"> of how the proposed methodology does not provide the intended results. These examples show where two similar lamps end up in different EISA bins because one lamp has an output at the high end of a lower EISA wattage bin while the other lamp has an output at the lower end of a higher wattage bin. In these cases, the lamp in the higher wattage EISA bin will be assigned higher savings than the lamp in the lower bin</w:t>
      </w:r>
      <w:r w:rsidR="00125F7E">
        <w:t>. Further background on each sample case is provided below:</w:t>
      </w:r>
    </w:p>
    <w:p w:rsidR="00125F7E" w:rsidRDefault="00125F7E" w:rsidP="006B7A09">
      <w:pPr>
        <w:pStyle w:val="Body3"/>
        <w:tabs>
          <w:tab w:val="right" w:pos="2880"/>
          <w:tab w:val="left" w:pos="2970"/>
        </w:tabs>
        <w:ind w:left="2970" w:hanging="2970"/>
      </w:pPr>
      <w:r>
        <w:tab/>
        <w:t>Sample Case 1:</w:t>
      </w:r>
      <w:r>
        <w:tab/>
        <w:t xml:space="preserve">For this case, PG&amp;E’s submitted products list includes five of the 7 watt lamps and one 7.5 watt lamp. </w:t>
      </w:r>
      <w:r w:rsidR="009660AA">
        <w:t xml:space="preserve">The 7.5 watt lamp is assigned 60% more savings than the 7 watt lamps simply because its output places it in the 60 watt EISA bin. However, the efficacy of these lamps </w:t>
      </w:r>
      <w:r w:rsidR="00407831">
        <w:t>is</w:t>
      </w:r>
      <w:r w:rsidR="009660AA">
        <w:t xml:space="preserve"> identical and the total output differs by less than 10%.</w:t>
      </w:r>
    </w:p>
    <w:p w:rsidR="009660AA" w:rsidRDefault="009660AA" w:rsidP="006B7A09">
      <w:pPr>
        <w:pStyle w:val="Body3"/>
        <w:tabs>
          <w:tab w:val="right" w:pos="2880"/>
          <w:tab w:val="left" w:pos="2970"/>
        </w:tabs>
        <w:ind w:left="2970" w:hanging="2970"/>
      </w:pPr>
      <w:r>
        <w:tab/>
        <w:t>Sample Case 2:</w:t>
      </w:r>
      <w:r>
        <w:tab/>
        <w:t xml:space="preserve">For this case, PG&amp;E’s submitted products list includes seven 9.5 and 10 watt lamps with 1,000 lumens and three 10 watt lamps with 1,100 lumens. The 1,100 lumen lamps will be assigned 40% more savings because their lumen output places them in the 75 watt EISA bin. However, the efficacy of these lamps </w:t>
      </w:r>
      <w:r w:rsidR="00407831">
        <w:t>is</w:t>
      </w:r>
      <w:r>
        <w:t xml:space="preserve"> identical and the total output differs by only 10%.</w:t>
      </w:r>
    </w:p>
    <w:p w:rsidR="00184D53" w:rsidRDefault="00184D53" w:rsidP="00184D53">
      <w:pPr>
        <w:pStyle w:val="Body3"/>
      </w:pPr>
    </w:p>
    <w:p w:rsidR="00AD5CA0" w:rsidRDefault="00AD5CA0" w:rsidP="00820BD1">
      <w:pPr>
        <w:pStyle w:val="Caption"/>
        <w:keepNext/>
        <w:spacing w:after="120"/>
        <w:jc w:val="center"/>
      </w:pPr>
      <w:bookmarkStart w:id="49" w:name="_Ref475885759"/>
      <w:r>
        <w:t xml:space="preserve">Table </w:t>
      </w:r>
      <w:fldSimple w:instr=" SEQ Table \* ARABIC ">
        <w:r w:rsidR="00B25CDA">
          <w:rPr>
            <w:noProof/>
          </w:rPr>
          <w:t>11</w:t>
        </w:r>
      </w:fldSimple>
      <w:bookmarkEnd w:id="49"/>
      <w:r>
        <w:rPr>
          <w:noProof/>
        </w:rPr>
        <w:t xml:space="preserve"> </w:t>
      </w:r>
      <w:r w:rsidR="007B2E5A">
        <w:rPr>
          <w:noProof/>
        </w:rPr>
        <w:t>–</w:t>
      </w:r>
      <w:r>
        <w:rPr>
          <w:noProof/>
        </w:rPr>
        <w:t xml:space="preserve"> </w:t>
      </w:r>
      <w:r w:rsidR="007B2E5A">
        <w:rPr>
          <w:noProof/>
        </w:rPr>
        <w:t xml:space="preserve">Two Cases for Example 2, </w:t>
      </w:r>
      <w:r>
        <w:rPr>
          <w:noProof/>
        </w:rPr>
        <w:t>Savings Variation at EISA Bin Breakpoint</w:t>
      </w:r>
    </w:p>
    <w:tbl>
      <w:tblPr>
        <w:tblStyle w:val="TableGrid"/>
        <w:tblW w:w="0" w:type="auto"/>
        <w:jc w:val="center"/>
        <w:tblLook w:val="04A0" w:firstRow="1" w:lastRow="0" w:firstColumn="1" w:lastColumn="0" w:noHBand="0" w:noVBand="1"/>
      </w:tblPr>
      <w:tblGrid>
        <w:gridCol w:w="954"/>
        <w:gridCol w:w="864"/>
        <w:gridCol w:w="720"/>
        <w:gridCol w:w="810"/>
        <w:gridCol w:w="929"/>
        <w:gridCol w:w="601"/>
        <w:gridCol w:w="955"/>
        <w:gridCol w:w="957"/>
        <w:gridCol w:w="878"/>
        <w:gridCol w:w="1260"/>
      </w:tblGrid>
      <w:tr w:rsidR="00AD5CA0" w:rsidTr="00AD5CA0">
        <w:trPr>
          <w:jc w:val="center"/>
        </w:trPr>
        <w:tc>
          <w:tcPr>
            <w:tcW w:w="954" w:type="dxa"/>
            <w:vAlign w:val="bottom"/>
          </w:tcPr>
          <w:p w:rsidR="00AD5CA0" w:rsidRDefault="007B2E5A" w:rsidP="00AD5CA0">
            <w:pPr>
              <w:keepNext/>
              <w:keepLines/>
              <w:spacing w:after="100" w:afterAutospacing="1"/>
              <w:jc w:val="center"/>
            </w:pPr>
            <w:r>
              <w:t>Sample Case</w:t>
            </w:r>
          </w:p>
        </w:tc>
        <w:tc>
          <w:tcPr>
            <w:tcW w:w="864" w:type="dxa"/>
            <w:vAlign w:val="bottom"/>
          </w:tcPr>
          <w:p w:rsidR="00AD5CA0" w:rsidRDefault="007B2E5A" w:rsidP="00AD5CA0">
            <w:pPr>
              <w:keepNext/>
              <w:keepLines/>
              <w:spacing w:after="100" w:afterAutospacing="1"/>
              <w:jc w:val="center"/>
            </w:pPr>
            <w:r>
              <w:t>Lamp Class</w:t>
            </w:r>
          </w:p>
        </w:tc>
        <w:tc>
          <w:tcPr>
            <w:tcW w:w="720" w:type="dxa"/>
            <w:vAlign w:val="bottom"/>
          </w:tcPr>
          <w:p w:rsidR="00AD5CA0" w:rsidRDefault="00AD5CA0" w:rsidP="00AD5CA0">
            <w:pPr>
              <w:keepNext/>
              <w:keepLines/>
              <w:spacing w:after="100" w:afterAutospacing="1"/>
              <w:jc w:val="center"/>
            </w:pPr>
            <w:r>
              <w:t>Watts</w:t>
            </w:r>
          </w:p>
        </w:tc>
        <w:tc>
          <w:tcPr>
            <w:tcW w:w="810" w:type="dxa"/>
            <w:vAlign w:val="bottom"/>
          </w:tcPr>
          <w:p w:rsidR="00AD5CA0" w:rsidRDefault="00AD5CA0" w:rsidP="00AD5CA0">
            <w:pPr>
              <w:keepNext/>
              <w:keepLines/>
              <w:spacing w:after="100" w:afterAutospacing="1"/>
              <w:jc w:val="center"/>
            </w:pPr>
            <w:r>
              <w:t>Output</w:t>
            </w:r>
          </w:p>
        </w:tc>
        <w:tc>
          <w:tcPr>
            <w:tcW w:w="929" w:type="dxa"/>
            <w:vAlign w:val="bottom"/>
          </w:tcPr>
          <w:p w:rsidR="00AD5CA0" w:rsidRDefault="00AD5CA0" w:rsidP="00AD5CA0">
            <w:pPr>
              <w:keepNext/>
              <w:keepLines/>
              <w:spacing w:after="100" w:afterAutospacing="1"/>
              <w:jc w:val="center"/>
            </w:pPr>
            <w:r>
              <w:t>Efficacy (lm/W)</w:t>
            </w:r>
          </w:p>
        </w:tc>
        <w:tc>
          <w:tcPr>
            <w:tcW w:w="601" w:type="dxa"/>
            <w:vAlign w:val="bottom"/>
          </w:tcPr>
          <w:p w:rsidR="00AD5CA0" w:rsidRDefault="00AD5CA0" w:rsidP="00AD5CA0">
            <w:pPr>
              <w:keepNext/>
              <w:keepLines/>
              <w:spacing w:after="100" w:afterAutospacing="1"/>
              <w:jc w:val="center"/>
            </w:pPr>
            <w:r>
              <w:t>EISA Bin</w:t>
            </w:r>
          </w:p>
        </w:tc>
        <w:tc>
          <w:tcPr>
            <w:tcW w:w="955" w:type="dxa"/>
            <w:vAlign w:val="bottom"/>
          </w:tcPr>
          <w:p w:rsidR="00AD5CA0" w:rsidRDefault="00AD5CA0" w:rsidP="00AD5CA0">
            <w:pPr>
              <w:keepNext/>
              <w:keepLines/>
              <w:spacing w:after="100" w:afterAutospacing="1"/>
              <w:jc w:val="center"/>
            </w:pPr>
            <w:r>
              <w:t>Baseline Watts</w:t>
            </w:r>
          </w:p>
        </w:tc>
        <w:tc>
          <w:tcPr>
            <w:tcW w:w="957" w:type="dxa"/>
            <w:vAlign w:val="bottom"/>
          </w:tcPr>
          <w:p w:rsidR="00AD5CA0" w:rsidRDefault="00AD5CA0" w:rsidP="00AD5CA0">
            <w:pPr>
              <w:keepNext/>
              <w:keepLines/>
              <w:spacing w:after="100" w:afterAutospacing="1"/>
              <w:jc w:val="center"/>
            </w:pPr>
            <w:r>
              <w:t>Measure Watts</w:t>
            </w:r>
          </w:p>
        </w:tc>
        <w:tc>
          <w:tcPr>
            <w:tcW w:w="878" w:type="dxa"/>
            <w:vAlign w:val="bottom"/>
          </w:tcPr>
          <w:p w:rsidR="00AD5CA0" w:rsidRDefault="00AD5CA0" w:rsidP="00AD5CA0">
            <w:pPr>
              <w:keepNext/>
              <w:keepLines/>
              <w:spacing w:after="100" w:afterAutospacing="1"/>
              <w:jc w:val="center"/>
            </w:pPr>
            <w:r>
              <w:rPr>
                <w:rFonts w:ascii="Times New Roman" w:hAnsi="Times New Roman"/>
              </w:rPr>
              <w:t>∆</w:t>
            </w:r>
            <w:r>
              <w:t xml:space="preserve"> Watts</w:t>
            </w:r>
          </w:p>
        </w:tc>
        <w:tc>
          <w:tcPr>
            <w:tcW w:w="1260" w:type="dxa"/>
            <w:vAlign w:val="bottom"/>
          </w:tcPr>
          <w:p w:rsidR="00AD5CA0" w:rsidRDefault="00AD5CA0" w:rsidP="00AD5CA0">
            <w:pPr>
              <w:keepNext/>
              <w:keepLines/>
              <w:spacing w:after="100" w:afterAutospacing="1"/>
              <w:jc w:val="center"/>
            </w:pPr>
            <w:r>
              <w:t>% difference (min:max)</w:t>
            </w:r>
          </w:p>
        </w:tc>
      </w:tr>
      <w:tr w:rsidR="00AD5CA0" w:rsidTr="00AD5CA0">
        <w:trPr>
          <w:jc w:val="center"/>
        </w:trPr>
        <w:tc>
          <w:tcPr>
            <w:tcW w:w="954" w:type="dxa"/>
            <w:vMerge w:val="restart"/>
            <w:tcBorders>
              <w:bottom w:val="double" w:sz="4" w:space="0" w:color="auto"/>
            </w:tcBorders>
            <w:vAlign w:val="center"/>
          </w:tcPr>
          <w:p w:rsidR="00AD5CA0" w:rsidRDefault="00AD5CA0" w:rsidP="00AD5CA0">
            <w:pPr>
              <w:keepNext/>
              <w:keepLines/>
              <w:spacing w:after="100" w:afterAutospacing="1"/>
              <w:jc w:val="center"/>
            </w:pPr>
            <w:r>
              <w:t>1</w:t>
            </w:r>
          </w:p>
        </w:tc>
        <w:tc>
          <w:tcPr>
            <w:tcW w:w="864" w:type="dxa"/>
            <w:vAlign w:val="center"/>
          </w:tcPr>
          <w:p w:rsidR="00AD5CA0" w:rsidRDefault="00AD5CA0" w:rsidP="00AD5CA0">
            <w:pPr>
              <w:keepNext/>
              <w:keepLines/>
              <w:spacing w:after="100" w:afterAutospacing="1"/>
              <w:jc w:val="center"/>
            </w:pPr>
            <w:r>
              <w:t>Lamp 1</w:t>
            </w:r>
          </w:p>
        </w:tc>
        <w:tc>
          <w:tcPr>
            <w:tcW w:w="720" w:type="dxa"/>
            <w:vAlign w:val="center"/>
          </w:tcPr>
          <w:p w:rsidR="00AD5CA0" w:rsidRDefault="00AD5CA0" w:rsidP="00AD5CA0">
            <w:pPr>
              <w:keepNext/>
              <w:keepLines/>
              <w:spacing w:after="100" w:afterAutospacing="1"/>
              <w:jc w:val="center"/>
            </w:pPr>
            <w:r>
              <w:t>7</w:t>
            </w:r>
          </w:p>
        </w:tc>
        <w:tc>
          <w:tcPr>
            <w:tcW w:w="810" w:type="dxa"/>
            <w:vAlign w:val="center"/>
          </w:tcPr>
          <w:p w:rsidR="00AD5CA0" w:rsidRDefault="00AD5CA0" w:rsidP="00AD5CA0">
            <w:pPr>
              <w:keepNext/>
              <w:keepLines/>
              <w:spacing w:after="100" w:afterAutospacing="1"/>
              <w:jc w:val="center"/>
            </w:pPr>
            <w:r>
              <w:t>700</w:t>
            </w:r>
          </w:p>
        </w:tc>
        <w:tc>
          <w:tcPr>
            <w:tcW w:w="929" w:type="dxa"/>
            <w:vAlign w:val="center"/>
          </w:tcPr>
          <w:p w:rsidR="00AD5CA0" w:rsidRDefault="00AD5CA0" w:rsidP="00AD5CA0">
            <w:pPr>
              <w:keepNext/>
              <w:keepLines/>
              <w:spacing w:after="100" w:afterAutospacing="1"/>
              <w:jc w:val="center"/>
            </w:pPr>
            <w:r>
              <w:t>100</w:t>
            </w:r>
          </w:p>
        </w:tc>
        <w:tc>
          <w:tcPr>
            <w:tcW w:w="601" w:type="dxa"/>
            <w:vAlign w:val="center"/>
          </w:tcPr>
          <w:p w:rsidR="00AD5CA0" w:rsidRDefault="00AD5CA0" w:rsidP="00AD5CA0">
            <w:pPr>
              <w:keepNext/>
              <w:keepLines/>
              <w:spacing w:after="100" w:afterAutospacing="1"/>
              <w:jc w:val="center"/>
            </w:pPr>
            <w:r>
              <w:t>40</w:t>
            </w:r>
          </w:p>
        </w:tc>
        <w:tc>
          <w:tcPr>
            <w:tcW w:w="955" w:type="dxa"/>
            <w:vAlign w:val="center"/>
          </w:tcPr>
          <w:p w:rsidR="00AD5CA0" w:rsidRDefault="00AD5CA0" w:rsidP="00AD5CA0">
            <w:pPr>
              <w:keepNext/>
              <w:keepLines/>
              <w:spacing w:after="100" w:afterAutospacing="1"/>
              <w:jc w:val="center"/>
            </w:pPr>
            <w:r>
              <w:t>17.6</w:t>
            </w:r>
          </w:p>
        </w:tc>
        <w:tc>
          <w:tcPr>
            <w:tcW w:w="957" w:type="dxa"/>
            <w:vAlign w:val="center"/>
          </w:tcPr>
          <w:p w:rsidR="00AD5CA0" w:rsidRDefault="00AD5CA0" w:rsidP="00AD5CA0">
            <w:pPr>
              <w:keepNext/>
              <w:keepLines/>
              <w:spacing w:after="100" w:afterAutospacing="1"/>
              <w:jc w:val="center"/>
            </w:pPr>
            <w:r>
              <w:t>7</w:t>
            </w:r>
          </w:p>
        </w:tc>
        <w:tc>
          <w:tcPr>
            <w:tcW w:w="878" w:type="dxa"/>
            <w:vAlign w:val="center"/>
          </w:tcPr>
          <w:p w:rsidR="00AD5CA0" w:rsidRDefault="00AD5CA0" w:rsidP="00AD5CA0">
            <w:pPr>
              <w:keepNext/>
              <w:keepLines/>
              <w:spacing w:after="100" w:afterAutospacing="1"/>
              <w:jc w:val="center"/>
            </w:pPr>
            <w:r>
              <w:t>10.6</w:t>
            </w:r>
          </w:p>
        </w:tc>
        <w:tc>
          <w:tcPr>
            <w:tcW w:w="1260" w:type="dxa"/>
            <w:vMerge w:val="restart"/>
            <w:tcBorders>
              <w:bottom w:val="double" w:sz="4" w:space="0" w:color="auto"/>
            </w:tcBorders>
            <w:vAlign w:val="center"/>
          </w:tcPr>
          <w:p w:rsidR="00AD5CA0" w:rsidRDefault="00AD5CA0" w:rsidP="00AD5CA0">
            <w:pPr>
              <w:keepNext/>
              <w:keepLines/>
              <w:spacing w:after="100" w:afterAutospacing="1"/>
              <w:jc w:val="center"/>
            </w:pPr>
            <w:r>
              <w:t>60%</w:t>
            </w:r>
          </w:p>
        </w:tc>
      </w:tr>
      <w:tr w:rsidR="00AD5CA0" w:rsidTr="00AD5CA0">
        <w:trPr>
          <w:jc w:val="center"/>
        </w:trPr>
        <w:tc>
          <w:tcPr>
            <w:tcW w:w="954" w:type="dxa"/>
            <w:vMerge/>
            <w:tcBorders>
              <w:bottom w:val="double" w:sz="4" w:space="0" w:color="auto"/>
            </w:tcBorders>
            <w:vAlign w:val="center"/>
          </w:tcPr>
          <w:p w:rsidR="00AD5CA0" w:rsidRDefault="00AD5CA0" w:rsidP="00AD5CA0">
            <w:pPr>
              <w:keepNext/>
              <w:keepLines/>
              <w:spacing w:after="100" w:afterAutospacing="1"/>
              <w:jc w:val="center"/>
            </w:pPr>
          </w:p>
        </w:tc>
        <w:tc>
          <w:tcPr>
            <w:tcW w:w="864" w:type="dxa"/>
            <w:tcBorders>
              <w:bottom w:val="double" w:sz="4" w:space="0" w:color="auto"/>
            </w:tcBorders>
            <w:vAlign w:val="center"/>
          </w:tcPr>
          <w:p w:rsidR="00AD5CA0" w:rsidRDefault="00AD5CA0" w:rsidP="00AD5CA0">
            <w:pPr>
              <w:keepNext/>
              <w:keepLines/>
              <w:spacing w:after="100" w:afterAutospacing="1"/>
              <w:jc w:val="center"/>
            </w:pPr>
            <w:r>
              <w:t>Lamp 2</w:t>
            </w:r>
          </w:p>
        </w:tc>
        <w:tc>
          <w:tcPr>
            <w:tcW w:w="720" w:type="dxa"/>
            <w:tcBorders>
              <w:bottom w:val="double" w:sz="4" w:space="0" w:color="auto"/>
            </w:tcBorders>
            <w:vAlign w:val="center"/>
          </w:tcPr>
          <w:p w:rsidR="00AD5CA0" w:rsidRDefault="00AD5CA0" w:rsidP="00AD5CA0">
            <w:pPr>
              <w:keepNext/>
              <w:keepLines/>
              <w:spacing w:after="100" w:afterAutospacing="1"/>
              <w:jc w:val="center"/>
            </w:pPr>
            <w:r>
              <w:t>7.5</w:t>
            </w:r>
          </w:p>
        </w:tc>
        <w:tc>
          <w:tcPr>
            <w:tcW w:w="810" w:type="dxa"/>
            <w:tcBorders>
              <w:bottom w:val="double" w:sz="4" w:space="0" w:color="auto"/>
            </w:tcBorders>
            <w:vAlign w:val="center"/>
          </w:tcPr>
          <w:p w:rsidR="00AD5CA0" w:rsidRDefault="00AD5CA0" w:rsidP="00AD5CA0">
            <w:pPr>
              <w:keepNext/>
              <w:keepLines/>
              <w:spacing w:after="100" w:afterAutospacing="1"/>
              <w:jc w:val="center"/>
            </w:pPr>
            <w:r>
              <w:t>750</w:t>
            </w:r>
          </w:p>
        </w:tc>
        <w:tc>
          <w:tcPr>
            <w:tcW w:w="929" w:type="dxa"/>
            <w:tcBorders>
              <w:bottom w:val="double" w:sz="4" w:space="0" w:color="auto"/>
            </w:tcBorders>
            <w:vAlign w:val="center"/>
          </w:tcPr>
          <w:p w:rsidR="00AD5CA0" w:rsidRDefault="00AD5CA0" w:rsidP="00AD5CA0">
            <w:pPr>
              <w:keepNext/>
              <w:keepLines/>
              <w:spacing w:after="100" w:afterAutospacing="1"/>
              <w:jc w:val="center"/>
            </w:pPr>
            <w:r>
              <w:t>100</w:t>
            </w:r>
          </w:p>
        </w:tc>
        <w:tc>
          <w:tcPr>
            <w:tcW w:w="601" w:type="dxa"/>
            <w:tcBorders>
              <w:bottom w:val="double" w:sz="4" w:space="0" w:color="auto"/>
            </w:tcBorders>
            <w:vAlign w:val="center"/>
          </w:tcPr>
          <w:p w:rsidR="00AD5CA0" w:rsidRDefault="00AD5CA0" w:rsidP="00AD5CA0">
            <w:pPr>
              <w:keepNext/>
              <w:keepLines/>
              <w:spacing w:after="100" w:afterAutospacing="1"/>
              <w:jc w:val="center"/>
            </w:pPr>
            <w:r>
              <w:t>60</w:t>
            </w:r>
          </w:p>
        </w:tc>
        <w:tc>
          <w:tcPr>
            <w:tcW w:w="955" w:type="dxa"/>
            <w:tcBorders>
              <w:bottom w:val="double" w:sz="4" w:space="0" w:color="auto"/>
            </w:tcBorders>
            <w:vAlign w:val="center"/>
          </w:tcPr>
          <w:p w:rsidR="00AD5CA0" w:rsidRDefault="00AD5CA0" w:rsidP="00AD5CA0">
            <w:pPr>
              <w:keepNext/>
              <w:keepLines/>
              <w:spacing w:after="100" w:afterAutospacing="1"/>
              <w:jc w:val="center"/>
            </w:pPr>
            <w:r>
              <w:t>25</w:t>
            </w:r>
          </w:p>
        </w:tc>
        <w:tc>
          <w:tcPr>
            <w:tcW w:w="957" w:type="dxa"/>
            <w:tcBorders>
              <w:bottom w:val="double" w:sz="4" w:space="0" w:color="auto"/>
            </w:tcBorders>
            <w:vAlign w:val="center"/>
          </w:tcPr>
          <w:p w:rsidR="00AD5CA0" w:rsidRDefault="00AD5CA0" w:rsidP="00AD5CA0">
            <w:pPr>
              <w:keepNext/>
              <w:keepLines/>
              <w:spacing w:after="100" w:afterAutospacing="1"/>
              <w:jc w:val="center"/>
            </w:pPr>
            <w:r>
              <w:t>8</w:t>
            </w:r>
          </w:p>
        </w:tc>
        <w:tc>
          <w:tcPr>
            <w:tcW w:w="878" w:type="dxa"/>
            <w:tcBorders>
              <w:bottom w:val="double" w:sz="4" w:space="0" w:color="auto"/>
            </w:tcBorders>
            <w:vAlign w:val="center"/>
          </w:tcPr>
          <w:p w:rsidR="00AD5CA0" w:rsidRDefault="00AD5CA0" w:rsidP="00AD5CA0">
            <w:pPr>
              <w:keepNext/>
              <w:keepLines/>
              <w:spacing w:after="100" w:afterAutospacing="1"/>
              <w:jc w:val="center"/>
            </w:pPr>
            <w:r>
              <w:t>17</w:t>
            </w:r>
          </w:p>
        </w:tc>
        <w:tc>
          <w:tcPr>
            <w:tcW w:w="1260" w:type="dxa"/>
            <w:vMerge/>
            <w:tcBorders>
              <w:bottom w:val="double" w:sz="4" w:space="0" w:color="auto"/>
            </w:tcBorders>
            <w:vAlign w:val="center"/>
          </w:tcPr>
          <w:p w:rsidR="00AD5CA0" w:rsidRDefault="00AD5CA0" w:rsidP="00AD5CA0">
            <w:pPr>
              <w:keepNext/>
              <w:keepLines/>
              <w:spacing w:after="100" w:afterAutospacing="1"/>
              <w:jc w:val="center"/>
            </w:pPr>
          </w:p>
        </w:tc>
      </w:tr>
      <w:tr w:rsidR="00AD5CA0" w:rsidTr="00AD5CA0">
        <w:trPr>
          <w:jc w:val="center"/>
        </w:trPr>
        <w:tc>
          <w:tcPr>
            <w:tcW w:w="954" w:type="dxa"/>
            <w:vMerge w:val="restart"/>
            <w:tcBorders>
              <w:top w:val="double" w:sz="4" w:space="0" w:color="auto"/>
            </w:tcBorders>
            <w:vAlign w:val="center"/>
          </w:tcPr>
          <w:p w:rsidR="00AD5CA0" w:rsidRDefault="00AD5CA0" w:rsidP="00AD5CA0">
            <w:pPr>
              <w:keepNext/>
              <w:keepLines/>
              <w:spacing w:after="100" w:afterAutospacing="1"/>
              <w:jc w:val="center"/>
            </w:pPr>
            <w:r>
              <w:t>2</w:t>
            </w:r>
          </w:p>
        </w:tc>
        <w:tc>
          <w:tcPr>
            <w:tcW w:w="864" w:type="dxa"/>
            <w:tcBorders>
              <w:top w:val="double" w:sz="4" w:space="0" w:color="auto"/>
            </w:tcBorders>
            <w:vAlign w:val="center"/>
          </w:tcPr>
          <w:p w:rsidR="00AD5CA0" w:rsidRDefault="00AD5CA0" w:rsidP="00AD5CA0">
            <w:pPr>
              <w:keepNext/>
              <w:keepLines/>
              <w:spacing w:after="100" w:afterAutospacing="1"/>
              <w:jc w:val="center"/>
            </w:pPr>
            <w:r>
              <w:t>Lamp 1</w:t>
            </w:r>
          </w:p>
        </w:tc>
        <w:tc>
          <w:tcPr>
            <w:tcW w:w="720" w:type="dxa"/>
            <w:tcBorders>
              <w:top w:val="double" w:sz="4" w:space="0" w:color="auto"/>
            </w:tcBorders>
            <w:vAlign w:val="center"/>
          </w:tcPr>
          <w:p w:rsidR="00AD5CA0" w:rsidRDefault="00AD5CA0" w:rsidP="00AD5CA0">
            <w:pPr>
              <w:keepNext/>
              <w:keepLines/>
              <w:spacing w:after="100" w:afterAutospacing="1"/>
              <w:jc w:val="center"/>
            </w:pPr>
            <w:r>
              <w:t>9.5</w:t>
            </w:r>
          </w:p>
        </w:tc>
        <w:tc>
          <w:tcPr>
            <w:tcW w:w="810" w:type="dxa"/>
            <w:tcBorders>
              <w:top w:val="double" w:sz="4" w:space="0" w:color="auto"/>
            </w:tcBorders>
            <w:vAlign w:val="center"/>
          </w:tcPr>
          <w:p w:rsidR="00AD5CA0" w:rsidRDefault="00AD5CA0" w:rsidP="00AD5CA0">
            <w:pPr>
              <w:keepNext/>
              <w:keepLines/>
              <w:spacing w:after="100" w:afterAutospacing="1"/>
              <w:jc w:val="center"/>
            </w:pPr>
            <w:r>
              <w:t>1,000</w:t>
            </w:r>
          </w:p>
        </w:tc>
        <w:tc>
          <w:tcPr>
            <w:tcW w:w="929" w:type="dxa"/>
            <w:tcBorders>
              <w:top w:val="double" w:sz="4" w:space="0" w:color="auto"/>
            </w:tcBorders>
            <w:vAlign w:val="center"/>
          </w:tcPr>
          <w:p w:rsidR="00AD5CA0" w:rsidRDefault="00AD5CA0" w:rsidP="00AD5CA0">
            <w:pPr>
              <w:keepNext/>
              <w:keepLines/>
              <w:spacing w:after="100" w:afterAutospacing="1"/>
              <w:jc w:val="center"/>
            </w:pPr>
            <w:r>
              <w:t>105</w:t>
            </w:r>
          </w:p>
        </w:tc>
        <w:tc>
          <w:tcPr>
            <w:tcW w:w="601" w:type="dxa"/>
            <w:tcBorders>
              <w:top w:val="double" w:sz="4" w:space="0" w:color="auto"/>
            </w:tcBorders>
            <w:vAlign w:val="center"/>
          </w:tcPr>
          <w:p w:rsidR="00AD5CA0" w:rsidRDefault="00AD5CA0" w:rsidP="00AD5CA0">
            <w:pPr>
              <w:keepNext/>
              <w:keepLines/>
              <w:spacing w:after="100" w:afterAutospacing="1"/>
              <w:jc w:val="center"/>
            </w:pPr>
            <w:r>
              <w:t>60</w:t>
            </w:r>
          </w:p>
        </w:tc>
        <w:tc>
          <w:tcPr>
            <w:tcW w:w="955" w:type="dxa"/>
            <w:tcBorders>
              <w:top w:val="double" w:sz="4" w:space="0" w:color="auto"/>
            </w:tcBorders>
            <w:vAlign w:val="center"/>
          </w:tcPr>
          <w:p w:rsidR="00AD5CA0" w:rsidRDefault="00AD5CA0" w:rsidP="00AD5CA0">
            <w:pPr>
              <w:keepNext/>
              <w:keepLines/>
              <w:spacing w:after="100" w:afterAutospacing="1"/>
              <w:jc w:val="center"/>
            </w:pPr>
            <w:r>
              <w:t>25</w:t>
            </w:r>
          </w:p>
        </w:tc>
        <w:tc>
          <w:tcPr>
            <w:tcW w:w="957" w:type="dxa"/>
            <w:tcBorders>
              <w:top w:val="double" w:sz="4" w:space="0" w:color="auto"/>
            </w:tcBorders>
            <w:vAlign w:val="center"/>
          </w:tcPr>
          <w:p w:rsidR="00AD5CA0" w:rsidRDefault="00AD5CA0" w:rsidP="00AD5CA0">
            <w:pPr>
              <w:keepNext/>
              <w:keepLines/>
              <w:spacing w:after="100" w:afterAutospacing="1"/>
              <w:jc w:val="center"/>
            </w:pPr>
            <w:r>
              <w:t>10</w:t>
            </w:r>
          </w:p>
        </w:tc>
        <w:tc>
          <w:tcPr>
            <w:tcW w:w="878" w:type="dxa"/>
            <w:tcBorders>
              <w:top w:val="double" w:sz="4" w:space="0" w:color="auto"/>
            </w:tcBorders>
            <w:vAlign w:val="center"/>
          </w:tcPr>
          <w:p w:rsidR="00AD5CA0" w:rsidRDefault="00AD5CA0" w:rsidP="00AD5CA0">
            <w:pPr>
              <w:keepNext/>
              <w:keepLines/>
              <w:spacing w:after="100" w:afterAutospacing="1"/>
              <w:jc w:val="center"/>
            </w:pPr>
            <w:r>
              <w:t>15</w:t>
            </w:r>
          </w:p>
        </w:tc>
        <w:tc>
          <w:tcPr>
            <w:tcW w:w="1260" w:type="dxa"/>
            <w:vMerge w:val="restart"/>
            <w:tcBorders>
              <w:top w:val="double" w:sz="4" w:space="0" w:color="auto"/>
            </w:tcBorders>
            <w:vAlign w:val="center"/>
          </w:tcPr>
          <w:p w:rsidR="00AD5CA0" w:rsidRDefault="00AD5CA0" w:rsidP="00AD5CA0">
            <w:pPr>
              <w:keepNext/>
              <w:keepLines/>
              <w:spacing w:after="100" w:afterAutospacing="1"/>
              <w:jc w:val="center"/>
            </w:pPr>
            <w:r>
              <w:t>40%</w:t>
            </w:r>
          </w:p>
        </w:tc>
      </w:tr>
      <w:tr w:rsidR="00AD5CA0" w:rsidTr="00AD5CA0">
        <w:trPr>
          <w:jc w:val="center"/>
        </w:trPr>
        <w:tc>
          <w:tcPr>
            <w:tcW w:w="954" w:type="dxa"/>
            <w:vMerge/>
            <w:vAlign w:val="center"/>
          </w:tcPr>
          <w:p w:rsidR="00AD5CA0" w:rsidRDefault="00AD5CA0" w:rsidP="00AD5CA0">
            <w:pPr>
              <w:keepLines/>
              <w:spacing w:after="100" w:afterAutospacing="1"/>
              <w:jc w:val="center"/>
            </w:pPr>
          </w:p>
        </w:tc>
        <w:tc>
          <w:tcPr>
            <w:tcW w:w="864" w:type="dxa"/>
            <w:vAlign w:val="center"/>
          </w:tcPr>
          <w:p w:rsidR="00AD5CA0" w:rsidRDefault="00AD5CA0" w:rsidP="00AD5CA0">
            <w:pPr>
              <w:keepLines/>
              <w:spacing w:after="100" w:afterAutospacing="1"/>
              <w:jc w:val="center"/>
            </w:pPr>
            <w:r>
              <w:t>Lamp 2</w:t>
            </w:r>
          </w:p>
        </w:tc>
        <w:tc>
          <w:tcPr>
            <w:tcW w:w="720" w:type="dxa"/>
            <w:vAlign w:val="center"/>
          </w:tcPr>
          <w:p w:rsidR="00AD5CA0" w:rsidRDefault="00AD5CA0" w:rsidP="00AD5CA0">
            <w:pPr>
              <w:keepLines/>
              <w:spacing w:after="100" w:afterAutospacing="1"/>
              <w:jc w:val="center"/>
            </w:pPr>
            <w:r>
              <w:t>10.5</w:t>
            </w:r>
          </w:p>
        </w:tc>
        <w:tc>
          <w:tcPr>
            <w:tcW w:w="810" w:type="dxa"/>
            <w:vAlign w:val="center"/>
          </w:tcPr>
          <w:p w:rsidR="00AD5CA0" w:rsidRDefault="00AD5CA0" w:rsidP="00AD5CA0">
            <w:pPr>
              <w:keepLines/>
              <w:spacing w:after="100" w:afterAutospacing="1"/>
              <w:jc w:val="center"/>
            </w:pPr>
            <w:r>
              <w:t>1,100</w:t>
            </w:r>
          </w:p>
        </w:tc>
        <w:tc>
          <w:tcPr>
            <w:tcW w:w="929" w:type="dxa"/>
            <w:vAlign w:val="center"/>
          </w:tcPr>
          <w:p w:rsidR="00AD5CA0" w:rsidRDefault="00AD5CA0" w:rsidP="00AD5CA0">
            <w:pPr>
              <w:keepLines/>
              <w:spacing w:after="100" w:afterAutospacing="1"/>
              <w:jc w:val="center"/>
            </w:pPr>
            <w:r>
              <w:t>105</w:t>
            </w:r>
          </w:p>
        </w:tc>
        <w:tc>
          <w:tcPr>
            <w:tcW w:w="601" w:type="dxa"/>
            <w:vAlign w:val="center"/>
          </w:tcPr>
          <w:p w:rsidR="00AD5CA0" w:rsidRDefault="00AD5CA0" w:rsidP="00AD5CA0">
            <w:pPr>
              <w:keepLines/>
              <w:spacing w:after="100" w:afterAutospacing="1"/>
              <w:jc w:val="center"/>
            </w:pPr>
            <w:r>
              <w:t>75</w:t>
            </w:r>
          </w:p>
        </w:tc>
        <w:tc>
          <w:tcPr>
            <w:tcW w:w="955" w:type="dxa"/>
            <w:vAlign w:val="center"/>
          </w:tcPr>
          <w:p w:rsidR="00AD5CA0" w:rsidRDefault="00AD5CA0" w:rsidP="00AD5CA0">
            <w:pPr>
              <w:keepLines/>
              <w:spacing w:after="100" w:afterAutospacing="1"/>
              <w:jc w:val="center"/>
            </w:pPr>
            <w:r>
              <w:t>32</w:t>
            </w:r>
          </w:p>
        </w:tc>
        <w:tc>
          <w:tcPr>
            <w:tcW w:w="957" w:type="dxa"/>
            <w:vAlign w:val="center"/>
          </w:tcPr>
          <w:p w:rsidR="00AD5CA0" w:rsidRDefault="00AD5CA0" w:rsidP="00AD5CA0">
            <w:pPr>
              <w:keepLines/>
              <w:spacing w:after="100" w:afterAutospacing="1"/>
              <w:jc w:val="center"/>
            </w:pPr>
            <w:r>
              <w:t>11</w:t>
            </w:r>
          </w:p>
        </w:tc>
        <w:tc>
          <w:tcPr>
            <w:tcW w:w="878" w:type="dxa"/>
            <w:vAlign w:val="center"/>
          </w:tcPr>
          <w:p w:rsidR="00AD5CA0" w:rsidRDefault="00AD5CA0" w:rsidP="00AD5CA0">
            <w:pPr>
              <w:keepLines/>
              <w:spacing w:after="100" w:afterAutospacing="1"/>
              <w:jc w:val="center"/>
            </w:pPr>
            <w:r>
              <w:t>21</w:t>
            </w:r>
          </w:p>
        </w:tc>
        <w:tc>
          <w:tcPr>
            <w:tcW w:w="1260" w:type="dxa"/>
            <w:vMerge/>
            <w:vAlign w:val="center"/>
          </w:tcPr>
          <w:p w:rsidR="00AD5CA0" w:rsidRDefault="00AD5CA0" w:rsidP="00AD5CA0">
            <w:pPr>
              <w:keepLines/>
              <w:spacing w:after="100" w:afterAutospacing="1"/>
              <w:jc w:val="center"/>
            </w:pPr>
          </w:p>
        </w:tc>
      </w:tr>
    </w:tbl>
    <w:p w:rsidR="00AD5CA0" w:rsidRDefault="00AD5CA0" w:rsidP="00AD5CA0"/>
    <w:p w:rsidR="003F0505" w:rsidRDefault="007B2E5A" w:rsidP="007B2E5A">
      <w:pPr>
        <w:pStyle w:val="Heading3"/>
      </w:pPr>
      <w:bookmarkStart w:id="50" w:name="_Ref476042288"/>
      <w:r>
        <w:t>Eligibility criteria and incentives do not differentiate the most efficient products</w:t>
      </w:r>
      <w:bookmarkEnd w:id="50"/>
    </w:p>
    <w:p w:rsidR="007B2E5A" w:rsidRDefault="007B2E5A" w:rsidP="00184D53">
      <w:pPr>
        <w:pStyle w:val="Body3"/>
      </w:pPr>
      <w:r>
        <w:t xml:space="preserve">The eligibility criteria allow lamps with efficacies as low as 70 lm/w to be eligible. This is the primary contributor to the large savings variances described in the previous section. Additionally, program requirements are only slightly, if at all, better than current Title 20 </w:t>
      </w:r>
      <w:r>
        <w:lastRenderedPageBreak/>
        <w:t>requirements. Title 20 requirements also become more stringent on January 1, 2018</w:t>
      </w:r>
      <w:r w:rsidR="0082532B">
        <w:t xml:space="preserve"> (see </w:t>
      </w:r>
      <w:r w:rsidR="0082532B">
        <w:fldChar w:fldCharType="begin"/>
      </w:r>
      <w:r w:rsidR="0082532B">
        <w:instrText xml:space="preserve"> REF _Ref475960457 \h </w:instrText>
      </w:r>
      <w:r w:rsidR="0082532B">
        <w:fldChar w:fldCharType="separate"/>
      </w:r>
      <w:r w:rsidR="00B25CDA">
        <w:t xml:space="preserve">Table </w:t>
      </w:r>
      <w:r w:rsidR="00B25CDA">
        <w:rPr>
          <w:noProof/>
        </w:rPr>
        <w:t>12</w:t>
      </w:r>
      <w:r w:rsidR="0082532B">
        <w:fldChar w:fldCharType="end"/>
      </w:r>
      <w:r w:rsidR="0082532B">
        <w:t>)</w:t>
      </w:r>
      <w:r>
        <w:t xml:space="preserve">. The list of available lamps submitted with the workpaper includes 816 lamps that would qualify under the proposed eligibility requirements, 786 would qualify if the minimum efficacy were raised to 80 lm/w and 655 would qualify if the minimum efficacy were raised to 90 lm/w. Even if the minimum efficacy were raised to 100 lm/w, the product list submitted by PG&amp;E still includes 366 lamps that would be eligible for their program. </w:t>
      </w:r>
      <w:r>
        <w:fldChar w:fldCharType="begin"/>
      </w:r>
      <w:r>
        <w:instrText xml:space="preserve"> REF _Ref475787319 \h </w:instrText>
      </w:r>
      <w:r>
        <w:fldChar w:fldCharType="separate"/>
      </w:r>
      <w:r w:rsidR="002D46C6">
        <w:t xml:space="preserve">Table </w:t>
      </w:r>
      <w:r w:rsidR="002D46C6">
        <w:rPr>
          <w:noProof/>
        </w:rPr>
        <w:t>13</w:t>
      </w:r>
      <w:r>
        <w:fldChar w:fldCharType="end"/>
      </w:r>
      <w:r>
        <w:t xml:space="preserve"> lists the number of program eligible lamps within each six different efficacy ranges and shows that most eligible lamps have an efficacy greater than 90 lm/w. </w:t>
      </w:r>
    </w:p>
    <w:p w:rsidR="00184D53" w:rsidRDefault="00184D53" w:rsidP="00184D53">
      <w:pPr>
        <w:pStyle w:val="Body3"/>
      </w:pPr>
    </w:p>
    <w:p w:rsidR="0082532B" w:rsidRDefault="0082532B" w:rsidP="00820BD1">
      <w:pPr>
        <w:pStyle w:val="Caption"/>
        <w:keepNext/>
        <w:spacing w:after="120"/>
        <w:jc w:val="center"/>
      </w:pPr>
      <w:bookmarkStart w:id="51" w:name="_Ref475960457"/>
      <w:r>
        <w:t xml:space="preserve">Table </w:t>
      </w:r>
      <w:fldSimple w:instr=" SEQ Table \* ARABIC ">
        <w:r w:rsidR="00B25CDA">
          <w:rPr>
            <w:noProof/>
          </w:rPr>
          <w:t>12</w:t>
        </w:r>
      </w:fldSimple>
      <w:bookmarkEnd w:id="51"/>
      <w:r>
        <w:t xml:space="preserve"> - California Requirements for LED Lamps</w:t>
      </w:r>
      <w:r>
        <w:rPr>
          <w:rStyle w:val="FootnoteReference"/>
        </w:rPr>
        <w:footnoteReference w:id="14"/>
      </w:r>
    </w:p>
    <w:tbl>
      <w:tblPr>
        <w:tblStyle w:val="TableGrid"/>
        <w:tblW w:w="0" w:type="auto"/>
        <w:jc w:val="center"/>
        <w:tblLook w:val="04A0" w:firstRow="1" w:lastRow="0" w:firstColumn="1" w:lastColumn="0" w:noHBand="0" w:noVBand="1"/>
      </w:tblPr>
      <w:tblGrid>
        <w:gridCol w:w="1728"/>
        <w:gridCol w:w="1800"/>
      </w:tblGrid>
      <w:tr w:rsidR="0082532B" w:rsidRPr="00184D53" w:rsidTr="006B7A09">
        <w:trPr>
          <w:cantSplit/>
          <w:trHeight w:val="557"/>
          <w:jc w:val="center"/>
        </w:trPr>
        <w:tc>
          <w:tcPr>
            <w:tcW w:w="1728" w:type="dxa"/>
            <w:vAlign w:val="bottom"/>
          </w:tcPr>
          <w:p w:rsidR="0082532B" w:rsidRPr="00184D53" w:rsidRDefault="0082532B" w:rsidP="006B7A09">
            <w:pPr>
              <w:spacing w:after="0"/>
            </w:pPr>
            <w:r w:rsidRPr="00184D53">
              <w:t>Effective Date</w:t>
            </w:r>
          </w:p>
        </w:tc>
        <w:tc>
          <w:tcPr>
            <w:tcW w:w="1800" w:type="dxa"/>
            <w:vAlign w:val="bottom"/>
          </w:tcPr>
          <w:p w:rsidR="0082532B" w:rsidRPr="00184D53" w:rsidRDefault="0082532B" w:rsidP="006B7A09">
            <w:pPr>
              <w:spacing w:after="0"/>
            </w:pPr>
            <w:r w:rsidRPr="00184D53">
              <w:t>Minimum Efficacy Lumens Per Watt</w:t>
            </w:r>
          </w:p>
        </w:tc>
      </w:tr>
      <w:tr w:rsidR="0082532B" w:rsidTr="006B7A09">
        <w:trPr>
          <w:cantSplit/>
          <w:jc w:val="center"/>
        </w:trPr>
        <w:tc>
          <w:tcPr>
            <w:tcW w:w="1728" w:type="dxa"/>
            <w:vAlign w:val="bottom"/>
          </w:tcPr>
          <w:p w:rsidR="0082532B" w:rsidRDefault="0082532B" w:rsidP="006B7A09">
            <w:pPr>
              <w:spacing w:after="0"/>
            </w:pPr>
            <w:r>
              <w:t>January 1, 2018</w:t>
            </w:r>
          </w:p>
        </w:tc>
        <w:tc>
          <w:tcPr>
            <w:tcW w:w="1800" w:type="dxa"/>
            <w:vAlign w:val="center"/>
          </w:tcPr>
          <w:p w:rsidR="0082532B" w:rsidRDefault="0082532B" w:rsidP="00820BD1">
            <w:pPr>
              <w:spacing w:after="0"/>
              <w:jc w:val="center"/>
            </w:pPr>
            <w:r>
              <w:t>68</w:t>
            </w:r>
          </w:p>
        </w:tc>
      </w:tr>
      <w:tr w:rsidR="0082532B" w:rsidTr="006B7A09">
        <w:trPr>
          <w:cantSplit/>
          <w:jc w:val="center"/>
        </w:trPr>
        <w:tc>
          <w:tcPr>
            <w:tcW w:w="1728" w:type="dxa"/>
            <w:vAlign w:val="bottom"/>
          </w:tcPr>
          <w:p w:rsidR="0082532B" w:rsidRDefault="0082532B" w:rsidP="006B7A09">
            <w:pPr>
              <w:spacing w:after="0"/>
            </w:pPr>
            <w:r>
              <w:t>January 1, 2019</w:t>
            </w:r>
          </w:p>
        </w:tc>
        <w:tc>
          <w:tcPr>
            <w:tcW w:w="1800" w:type="dxa"/>
            <w:vAlign w:val="center"/>
          </w:tcPr>
          <w:p w:rsidR="0082532B" w:rsidRDefault="0082532B" w:rsidP="00820BD1">
            <w:pPr>
              <w:spacing w:after="0"/>
              <w:jc w:val="center"/>
            </w:pPr>
            <w:r>
              <w:t>80</w:t>
            </w:r>
          </w:p>
        </w:tc>
      </w:tr>
    </w:tbl>
    <w:p w:rsidR="0082532B" w:rsidRDefault="0082532B" w:rsidP="00184D53">
      <w:pPr>
        <w:pStyle w:val="Body3"/>
      </w:pPr>
    </w:p>
    <w:p w:rsidR="007B2E5A" w:rsidRDefault="007B2E5A" w:rsidP="00820BD1">
      <w:pPr>
        <w:pStyle w:val="Caption"/>
        <w:keepNext/>
        <w:spacing w:after="120"/>
        <w:jc w:val="center"/>
      </w:pPr>
      <w:bookmarkStart w:id="52" w:name="_Ref475787319"/>
      <w:r>
        <w:t xml:space="preserve">Table </w:t>
      </w:r>
      <w:fldSimple w:instr=" SEQ Table \* ARABIC ">
        <w:r w:rsidR="00B25CDA">
          <w:rPr>
            <w:noProof/>
          </w:rPr>
          <w:t>13</w:t>
        </w:r>
      </w:fldSimple>
      <w:bookmarkEnd w:id="52"/>
      <w:r>
        <w:t xml:space="preserve"> - Available Lamps by Efficacy</w:t>
      </w:r>
    </w:p>
    <w:tbl>
      <w:tblPr>
        <w:tblStyle w:val="TableGrid"/>
        <w:tblW w:w="0" w:type="auto"/>
        <w:jc w:val="center"/>
        <w:tblLook w:val="04A0" w:firstRow="1" w:lastRow="0" w:firstColumn="1" w:lastColumn="0" w:noHBand="0" w:noVBand="1"/>
      </w:tblPr>
      <w:tblGrid>
        <w:gridCol w:w="1998"/>
        <w:gridCol w:w="1530"/>
      </w:tblGrid>
      <w:tr w:rsidR="007B2E5A" w:rsidRPr="00716F8D" w:rsidTr="00825350">
        <w:trPr>
          <w:jc w:val="center"/>
        </w:trPr>
        <w:tc>
          <w:tcPr>
            <w:tcW w:w="1998" w:type="dxa"/>
            <w:vAlign w:val="bottom"/>
          </w:tcPr>
          <w:p w:rsidR="007B2E5A" w:rsidRPr="00716F8D" w:rsidRDefault="007B2E5A" w:rsidP="00825350">
            <w:pPr>
              <w:keepNext/>
              <w:spacing w:after="0"/>
              <w:jc w:val="center"/>
              <w:rPr>
                <w:b/>
              </w:rPr>
            </w:pPr>
            <w:r w:rsidRPr="00716F8D">
              <w:rPr>
                <w:b/>
              </w:rPr>
              <w:t>Efficacy Range</w:t>
            </w:r>
          </w:p>
        </w:tc>
        <w:tc>
          <w:tcPr>
            <w:tcW w:w="1530" w:type="dxa"/>
            <w:vAlign w:val="bottom"/>
          </w:tcPr>
          <w:p w:rsidR="007B2E5A" w:rsidRPr="00716F8D" w:rsidRDefault="007B2E5A" w:rsidP="00825350">
            <w:pPr>
              <w:keepNext/>
              <w:spacing w:after="0"/>
              <w:jc w:val="center"/>
              <w:rPr>
                <w:b/>
              </w:rPr>
            </w:pPr>
            <w:r w:rsidRPr="00716F8D">
              <w:rPr>
                <w:b/>
              </w:rPr>
              <w:t>Qty of Lamps</w:t>
            </w:r>
          </w:p>
        </w:tc>
      </w:tr>
      <w:tr w:rsidR="007B2E5A" w:rsidTr="00825350">
        <w:trPr>
          <w:jc w:val="center"/>
        </w:trPr>
        <w:tc>
          <w:tcPr>
            <w:tcW w:w="1998" w:type="dxa"/>
          </w:tcPr>
          <w:p w:rsidR="007B2E5A" w:rsidRDefault="007B2E5A" w:rsidP="00825350">
            <w:pPr>
              <w:keepNext/>
              <w:spacing w:after="0"/>
              <w:jc w:val="center"/>
            </w:pPr>
            <w:r>
              <w:t xml:space="preserve">80 &gt; lm/w </w:t>
            </w:r>
            <w:r w:rsidRPr="00A4480F">
              <w:rPr>
                <w:u w:val="single"/>
              </w:rPr>
              <w:t>&gt;</w:t>
            </w:r>
            <w:r>
              <w:t xml:space="preserve"> 70</w:t>
            </w:r>
          </w:p>
        </w:tc>
        <w:tc>
          <w:tcPr>
            <w:tcW w:w="1530" w:type="dxa"/>
          </w:tcPr>
          <w:p w:rsidR="007B2E5A" w:rsidRDefault="007B2E5A" w:rsidP="00825350">
            <w:pPr>
              <w:keepNext/>
              <w:spacing w:after="0"/>
              <w:jc w:val="center"/>
            </w:pPr>
            <w:r>
              <w:t>30</w:t>
            </w:r>
          </w:p>
        </w:tc>
      </w:tr>
      <w:tr w:rsidR="007B2E5A" w:rsidTr="00825350">
        <w:trPr>
          <w:jc w:val="center"/>
        </w:trPr>
        <w:tc>
          <w:tcPr>
            <w:tcW w:w="1998" w:type="dxa"/>
          </w:tcPr>
          <w:p w:rsidR="007B2E5A" w:rsidRDefault="007B2E5A" w:rsidP="00825350">
            <w:pPr>
              <w:keepNext/>
              <w:spacing w:after="0"/>
              <w:jc w:val="center"/>
            </w:pPr>
            <w:r>
              <w:t xml:space="preserve">90 &gt; lm/w </w:t>
            </w:r>
            <w:r w:rsidRPr="00A4480F">
              <w:rPr>
                <w:u w:val="single"/>
              </w:rPr>
              <w:t>&gt;</w:t>
            </w:r>
            <w:r>
              <w:t xml:space="preserve"> 80</w:t>
            </w:r>
          </w:p>
        </w:tc>
        <w:tc>
          <w:tcPr>
            <w:tcW w:w="1530" w:type="dxa"/>
          </w:tcPr>
          <w:p w:rsidR="007B2E5A" w:rsidRDefault="007B2E5A" w:rsidP="00825350">
            <w:pPr>
              <w:keepNext/>
              <w:spacing w:after="0"/>
              <w:jc w:val="center"/>
            </w:pPr>
            <w:r>
              <w:t>131</w:t>
            </w:r>
          </w:p>
        </w:tc>
      </w:tr>
      <w:tr w:rsidR="007B2E5A" w:rsidTr="00825350">
        <w:trPr>
          <w:jc w:val="center"/>
        </w:trPr>
        <w:tc>
          <w:tcPr>
            <w:tcW w:w="1998" w:type="dxa"/>
          </w:tcPr>
          <w:p w:rsidR="007B2E5A" w:rsidRDefault="007B2E5A" w:rsidP="00825350">
            <w:pPr>
              <w:keepNext/>
              <w:spacing w:after="0"/>
              <w:jc w:val="center"/>
            </w:pPr>
            <w:r>
              <w:t xml:space="preserve">100 &gt; lm/w </w:t>
            </w:r>
            <w:r w:rsidRPr="00A4480F">
              <w:rPr>
                <w:u w:val="single"/>
              </w:rPr>
              <w:t>&gt;</w:t>
            </w:r>
            <w:r>
              <w:t xml:space="preserve"> 90</w:t>
            </w:r>
          </w:p>
        </w:tc>
        <w:tc>
          <w:tcPr>
            <w:tcW w:w="1530" w:type="dxa"/>
          </w:tcPr>
          <w:p w:rsidR="007B2E5A" w:rsidRDefault="007B2E5A" w:rsidP="00825350">
            <w:pPr>
              <w:keepNext/>
              <w:spacing w:after="0"/>
              <w:jc w:val="center"/>
            </w:pPr>
            <w:r>
              <w:t>286</w:t>
            </w:r>
          </w:p>
        </w:tc>
      </w:tr>
      <w:tr w:rsidR="007B2E5A" w:rsidTr="00825350">
        <w:trPr>
          <w:jc w:val="center"/>
        </w:trPr>
        <w:tc>
          <w:tcPr>
            <w:tcW w:w="1998" w:type="dxa"/>
          </w:tcPr>
          <w:p w:rsidR="007B2E5A" w:rsidRDefault="007B2E5A" w:rsidP="00825350">
            <w:pPr>
              <w:keepNext/>
              <w:spacing w:after="0"/>
              <w:jc w:val="center"/>
            </w:pPr>
            <w:r>
              <w:t xml:space="preserve">110 &gt; lm/w </w:t>
            </w:r>
            <w:r w:rsidRPr="00A4480F">
              <w:rPr>
                <w:u w:val="single"/>
              </w:rPr>
              <w:t>&gt;</w:t>
            </w:r>
            <w:r>
              <w:t xml:space="preserve"> 100</w:t>
            </w:r>
          </w:p>
        </w:tc>
        <w:tc>
          <w:tcPr>
            <w:tcW w:w="1530" w:type="dxa"/>
          </w:tcPr>
          <w:p w:rsidR="007B2E5A" w:rsidRDefault="007B2E5A" w:rsidP="00825350">
            <w:pPr>
              <w:keepNext/>
              <w:spacing w:after="0"/>
              <w:jc w:val="center"/>
            </w:pPr>
            <w:r>
              <w:t>303</w:t>
            </w:r>
          </w:p>
        </w:tc>
      </w:tr>
      <w:tr w:rsidR="007B2E5A" w:rsidTr="00825350">
        <w:trPr>
          <w:jc w:val="center"/>
        </w:trPr>
        <w:tc>
          <w:tcPr>
            <w:tcW w:w="1998" w:type="dxa"/>
          </w:tcPr>
          <w:p w:rsidR="007B2E5A" w:rsidRDefault="007B2E5A" w:rsidP="00825350">
            <w:pPr>
              <w:keepNext/>
              <w:spacing w:after="0"/>
              <w:jc w:val="center"/>
            </w:pPr>
            <w:r>
              <w:t xml:space="preserve">120 &gt; lm/w </w:t>
            </w:r>
            <w:r w:rsidRPr="00A4480F">
              <w:rPr>
                <w:u w:val="single"/>
              </w:rPr>
              <w:t>&gt;</w:t>
            </w:r>
            <w:r>
              <w:t xml:space="preserve"> 110</w:t>
            </w:r>
          </w:p>
        </w:tc>
        <w:tc>
          <w:tcPr>
            <w:tcW w:w="1530" w:type="dxa"/>
          </w:tcPr>
          <w:p w:rsidR="007B2E5A" w:rsidRDefault="007B2E5A" w:rsidP="00825350">
            <w:pPr>
              <w:keepNext/>
              <w:spacing w:after="0"/>
              <w:jc w:val="center"/>
            </w:pPr>
            <w:r>
              <w:t>54</w:t>
            </w:r>
          </w:p>
        </w:tc>
      </w:tr>
      <w:tr w:rsidR="007B2E5A" w:rsidTr="00825350">
        <w:trPr>
          <w:jc w:val="center"/>
        </w:trPr>
        <w:tc>
          <w:tcPr>
            <w:tcW w:w="1998" w:type="dxa"/>
          </w:tcPr>
          <w:p w:rsidR="007B2E5A" w:rsidRDefault="007B2E5A" w:rsidP="00825350">
            <w:pPr>
              <w:spacing w:after="0"/>
              <w:jc w:val="center"/>
            </w:pPr>
            <w:r>
              <w:t xml:space="preserve">lm/w </w:t>
            </w:r>
            <w:r w:rsidRPr="00A4480F">
              <w:rPr>
                <w:u w:val="single"/>
              </w:rPr>
              <w:t>&gt;</w:t>
            </w:r>
            <w:r>
              <w:t xml:space="preserve"> 120</w:t>
            </w:r>
          </w:p>
        </w:tc>
        <w:tc>
          <w:tcPr>
            <w:tcW w:w="1530" w:type="dxa"/>
          </w:tcPr>
          <w:p w:rsidR="007B2E5A" w:rsidRDefault="007B2E5A" w:rsidP="00825350">
            <w:pPr>
              <w:spacing w:after="0"/>
              <w:jc w:val="center"/>
            </w:pPr>
            <w:r>
              <w:t>9</w:t>
            </w:r>
          </w:p>
        </w:tc>
      </w:tr>
    </w:tbl>
    <w:p w:rsidR="007B2E5A" w:rsidRDefault="007B2E5A" w:rsidP="007B2E5A">
      <w:pPr>
        <w:ind w:left="360" w:hanging="360"/>
        <w:rPr>
          <w:b/>
        </w:rPr>
      </w:pPr>
    </w:p>
    <w:p w:rsidR="007B2E5A" w:rsidRDefault="00407831" w:rsidP="00407831">
      <w:pPr>
        <w:pStyle w:val="Heading2"/>
      </w:pPr>
      <w:bookmarkStart w:id="53" w:name="_Ref476044496"/>
      <w:bookmarkStart w:id="54" w:name="_Toc475967913"/>
      <w:bookmarkStart w:id="55" w:name="_Toc476066440"/>
      <w:r>
        <w:t>Directed Revisions to PGECOLTG165</w:t>
      </w:r>
      <w:r w:rsidR="001F6D54">
        <w:t>, LED A-Lamps</w:t>
      </w:r>
      <w:bookmarkEnd w:id="53"/>
      <w:bookmarkEnd w:id="54"/>
      <w:bookmarkEnd w:id="55"/>
    </w:p>
    <w:p w:rsidR="00407831" w:rsidRDefault="00E01086" w:rsidP="00184D53">
      <w:pPr>
        <w:pStyle w:val="Body2"/>
      </w:pPr>
      <w:r>
        <w:t xml:space="preserve">CPUC staff agrees the PG&amp;E’s intended purpose of developing programs, ex ante savings values, and incentives that encourage the purchase and installation of higher efficacy products. However, the proposed much needs significant revisions to accomplish this goal. </w:t>
      </w:r>
      <w:r w:rsidR="00407831">
        <w:t>Workpaper savings, net-to-gross, and program eligibility requirements are not approved and shall be revised as follows.</w:t>
      </w:r>
    </w:p>
    <w:p w:rsidR="00407831" w:rsidRDefault="00C6423B" w:rsidP="00407831">
      <w:pPr>
        <w:pStyle w:val="Heading3"/>
      </w:pPr>
      <w:r>
        <w:t>Savings methods shall be revised by on</w:t>
      </w:r>
      <w:r w:rsidR="00DF55B0">
        <w:t>e</w:t>
      </w:r>
      <w:r>
        <w:t xml:space="preserve"> of the following methods</w:t>
      </w:r>
    </w:p>
    <w:p w:rsidR="00C6423B" w:rsidRPr="00184D53" w:rsidRDefault="00C6423B" w:rsidP="00DF55B0">
      <w:pPr>
        <w:pStyle w:val="Body3"/>
        <w:ind w:left="634"/>
        <w:rPr>
          <w:b/>
        </w:rPr>
      </w:pPr>
      <w:r w:rsidRPr="00184D53">
        <w:rPr>
          <w:b/>
        </w:rPr>
        <w:t>Option A: Use Current Method but Update Fraction of CFLs in Baseline</w:t>
      </w:r>
    </w:p>
    <w:p w:rsidR="00407831" w:rsidRDefault="00407831" w:rsidP="00184D53">
      <w:pPr>
        <w:pStyle w:val="Body3"/>
        <w:ind w:left="630"/>
      </w:pPr>
      <w:r w:rsidRPr="00407831">
        <w:t>Follow the current method of using a WRR, but revise the current approved WRR to include 80% CFLs in the baseline. Following the same analysis used in the 2012 LED dispositio</w:t>
      </w:r>
      <w:r>
        <w:t>n, this results in a WRR of 1.98</w:t>
      </w:r>
      <w:r w:rsidRPr="00407831">
        <w:t>.</w:t>
      </w:r>
    </w:p>
    <w:p w:rsidR="00184D53" w:rsidRDefault="00184D53" w:rsidP="00184D53">
      <w:pPr>
        <w:pStyle w:val="Body3"/>
        <w:ind w:left="630"/>
      </w:pPr>
    </w:p>
    <w:p w:rsidR="00C6423B" w:rsidRPr="00184D53" w:rsidRDefault="00C6423B" w:rsidP="00FB3E27">
      <w:pPr>
        <w:pStyle w:val="Body3"/>
        <w:keepNext/>
        <w:ind w:left="634"/>
        <w:rPr>
          <w:b/>
        </w:rPr>
      </w:pPr>
      <w:r w:rsidRPr="00184D53">
        <w:rPr>
          <w:b/>
        </w:rPr>
        <w:lastRenderedPageBreak/>
        <w:t>Option B: Establish a Tiered Savings Method that Assigns Increased Savings for Higher Efficacy</w:t>
      </w:r>
    </w:p>
    <w:p w:rsidR="00C6423B" w:rsidRDefault="00C6423B" w:rsidP="00184D53">
      <w:pPr>
        <w:pStyle w:val="Body3"/>
        <w:ind w:left="630"/>
      </w:pPr>
      <w:r>
        <w:t xml:space="preserve">CPUC </w:t>
      </w:r>
      <w:r w:rsidR="001E24C0">
        <w:t>staff has</w:t>
      </w:r>
      <w:r>
        <w:t xml:space="preserve"> developed an alternative method that assumes a</w:t>
      </w:r>
      <w:r w:rsidR="00AE195E">
        <w:t>n</w:t>
      </w:r>
      <w:r>
        <w:t xml:space="preserve"> 80% CFL baseline </w:t>
      </w:r>
      <w:r w:rsidR="00AE195E">
        <w:t xml:space="preserve">content </w:t>
      </w:r>
      <w:r>
        <w:t xml:space="preserve">and assigns higher estimated savings for higher efficacy lamps, summarized in </w:t>
      </w:r>
      <w:fldSimple w:instr=" REF _Ref475792765 ">
        <w:r w:rsidR="002D46C6">
          <w:t xml:space="preserve">Table </w:t>
        </w:r>
        <w:r w:rsidR="002D46C6">
          <w:rPr>
            <w:noProof/>
          </w:rPr>
          <w:t>14</w:t>
        </w:r>
      </w:fldSimple>
      <w:r>
        <w:t xml:space="preserve"> below. The full savings method is included in the workbook </w:t>
      </w:r>
      <w:r w:rsidR="001E24C0">
        <w:t>ScrewInLampDispositionBackup-Mar</w:t>
      </w:r>
      <w:r w:rsidR="002D4E44" w:rsidRPr="002D4E44">
        <w:t>2017-v1</w:t>
      </w:r>
      <w:r w:rsidR="002D4E44">
        <w:t>.xlsx.</w:t>
      </w:r>
    </w:p>
    <w:p w:rsidR="00184D53" w:rsidRDefault="00184D53" w:rsidP="00184D53">
      <w:pPr>
        <w:pStyle w:val="Body3"/>
        <w:ind w:left="630"/>
      </w:pPr>
    </w:p>
    <w:p w:rsidR="00C6423B" w:rsidRDefault="00C6423B" w:rsidP="00820BD1">
      <w:pPr>
        <w:pStyle w:val="Caption"/>
        <w:keepNext/>
        <w:spacing w:after="120"/>
        <w:jc w:val="center"/>
      </w:pPr>
      <w:bookmarkStart w:id="56" w:name="_Ref475792765"/>
      <w:r>
        <w:t xml:space="preserve">Table </w:t>
      </w:r>
      <w:fldSimple w:instr=" SEQ Table \* ARABIC ">
        <w:r w:rsidR="002D46C6">
          <w:rPr>
            <w:noProof/>
          </w:rPr>
          <w:t>14</w:t>
        </w:r>
      </w:fldSimple>
      <w:bookmarkEnd w:id="56"/>
      <w:r>
        <w:t xml:space="preserve"> - CPUC Staff Approved Wattage Reduction Values</w:t>
      </w:r>
    </w:p>
    <w:p w:rsidR="00C6423B" w:rsidRDefault="00810DFD" w:rsidP="00C6423B">
      <w:pPr>
        <w:ind w:left="360"/>
      </w:pPr>
      <w:r>
        <w:rPr>
          <w:noProof/>
        </w:rPr>
        <w:drawing>
          <wp:inline distT="0" distB="0" distL="0" distR="0">
            <wp:extent cx="5233670" cy="571817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3670" cy="5718175"/>
                    </a:xfrm>
                    <a:prstGeom prst="rect">
                      <a:avLst/>
                    </a:prstGeom>
                    <a:noFill/>
                    <a:ln>
                      <a:noFill/>
                    </a:ln>
                  </pic:spPr>
                </pic:pic>
              </a:graphicData>
            </a:graphic>
          </wp:inline>
        </w:drawing>
      </w:r>
    </w:p>
    <w:p w:rsidR="00C6423B" w:rsidRDefault="00C6423B" w:rsidP="00FB3E27">
      <w:pPr>
        <w:pStyle w:val="Heading3"/>
      </w:pPr>
      <w:r>
        <w:lastRenderedPageBreak/>
        <w:t>Revise net-to-gross</w:t>
      </w:r>
    </w:p>
    <w:p w:rsidR="00C6423B" w:rsidRDefault="00C6423B" w:rsidP="00FB3E27">
      <w:pPr>
        <w:pStyle w:val="Body3"/>
        <w:keepNext/>
      </w:pPr>
      <w:r>
        <w:t xml:space="preserve">The approved NTG value is listed in </w:t>
      </w:r>
      <w:r>
        <w:fldChar w:fldCharType="begin"/>
      </w:r>
      <w:r>
        <w:instrText xml:space="preserve"> REF _Ref475958143 \h </w:instrText>
      </w:r>
      <w:r>
        <w:fldChar w:fldCharType="separate"/>
      </w:r>
      <w:r w:rsidR="00B25CDA">
        <w:t xml:space="preserve">Table </w:t>
      </w:r>
      <w:r w:rsidR="00B25CDA">
        <w:rPr>
          <w:noProof/>
        </w:rPr>
        <w:t>6</w:t>
      </w:r>
      <w:r>
        <w:fldChar w:fldCharType="end"/>
      </w:r>
      <w:r>
        <w:t xml:space="preserve"> in Section </w:t>
      </w:r>
      <w:r>
        <w:fldChar w:fldCharType="begin"/>
      </w:r>
      <w:r>
        <w:instrText xml:space="preserve"> REF _Ref475962684 \r \h </w:instrText>
      </w:r>
      <w:r>
        <w:fldChar w:fldCharType="separate"/>
      </w:r>
      <w:r w:rsidR="00B25CDA">
        <w:t>3.5.3</w:t>
      </w:r>
      <w:r>
        <w:fldChar w:fldCharType="end"/>
      </w:r>
      <w:r>
        <w:t>, above.</w:t>
      </w:r>
    </w:p>
    <w:p w:rsidR="00C6423B" w:rsidRDefault="00C6423B" w:rsidP="00C6423B">
      <w:pPr>
        <w:pStyle w:val="Heading3"/>
      </w:pPr>
      <w:r>
        <w:t>Immediately revise product eligibility requirements</w:t>
      </w:r>
    </w:p>
    <w:p w:rsidR="00C6423B" w:rsidRPr="00C6423B" w:rsidRDefault="00C6423B" w:rsidP="00184D53">
      <w:pPr>
        <w:pStyle w:val="Body3"/>
      </w:pPr>
      <w:r>
        <w:t>P</w:t>
      </w:r>
      <w:r w:rsidRPr="00C6423B">
        <w:t>rogram eligibility rules shall be immediately revised for 2017 to include a minimum efficacy of 90 lm/w and the minimum shall be raised to 100 lm/w as of 1/1/2018.</w:t>
      </w:r>
    </w:p>
    <w:p w:rsidR="00C6423B" w:rsidRPr="00C6423B" w:rsidRDefault="00C6423B" w:rsidP="00184D53">
      <w:pPr>
        <w:pStyle w:val="Body3"/>
      </w:pPr>
    </w:p>
    <w:sectPr w:rsidR="00C6423B" w:rsidRPr="00C6423B" w:rsidSect="007420F0">
      <w:headerReference w:type="default" r:id="rId13"/>
      <w:footerReference w:type="default" r:id="rId14"/>
      <w:footerReference w:type="firs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DFD" w:rsidRDefault="00810DFD" w:rsidP="000E70A1">
      <w:pPr>
        <w:spacing w:after="0" w:line="240" w:lineRule="auto"/>
      </w:pPr>
      <w:r>
        <w:separator/>
      </w:r>
    </w:p>
  </w:endnote>
  <w:endnote w:type="continuationSeparator" w:id="0">
    <w:p w:rsidR="00810DFD" w:rsidRDefault="00810DFD" w:rsidP="000E70A1">
      <w:pPr>
        <w:spacing w:after="0" w:line="240" w:lineRule="auto"/>
      </w:pPr>
      <w:r>
        <w:continuationSeparator/>
      </w:r>
    </w:p>
  </w:endnote>
  <w:endnote w:type="continuationNotice" w:id="1">
    <w:p w:rsidR="00810DFD" w:rsidRDefault="00810D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4D" w:rsidRPr="007B4BBF" w:rsidRDefault="0029244D" w:rsidP="00C0532D">
    <w:pPr>
      <w:pStyle w:val="Footer"/>
      <w:rPr>
        <w:sz w:val="18"/>
        <w:szCs w:val="18"/>
      </w:rPr>
    </w:pPr>
    <w:r w:rsidRPr="007B4BBF">
      <w:rPr>
        <w:sz w:val="18"/>
        <w:szCs w:val="18"/>
      </w:rPr>
      <w:tab/>
      <w:t xml:space="preserve">page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D17A8B">
      <w:rPr>
        <w:noProof/>
        <w:sz w:val="18"/>
        <w:szCs w:val="18"/>
      </w:rPr>
      <w:t>19</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D17A8B">
      <w:rPr>
        <w:noProof/>
        <w:sz w:val="18"/>
        <w:szCs w:val="18"/>
      </w:rPr>
      <w:t>19</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4D" w:rsidRDefault="0029244D">
    <w:pPr>
      <w:pStyle w:val="Footer"/>
    </w:pPr>
    <w:r>
      <w:tab/>
      <w:t xml:space="preserve">page </w:t>
    </w:r>
    <w:r>
      <w:fldChar w:fldCharType="begin"/>
    </w:r>
    <w:r>
      <w:instrText xml:space="preserve"> PAGE  \* Arabic  \* MERGEFORMAT </w:instrText>
    </w:r>
    <w:r>
      <w:fldChar w:fldCharType="separate"/>
    </w:r>
    <w:r w:rsidR="00D17A8B">
      <w:rPr>
        <w:noProof/>
      </w:rPr>
      <w:t>1</w:t>
    </w:r>
    <w:r>
      <w:fldChar w:fldCharType="end"/>
    </w:r>
    <w:r>
      <w:t xml:space="preserve"> of </w:t>
    </w:r>
    <w:fldSimple w:instr=" NUMPAGES   \* MERGEFORMAT ">
      <w:r w:rsidR="00D17A8B">
        <w:rPr>
          <w:noProof/>
        </w:rPr>
        <w:t>19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DFD" w:rsidRDefault="00810DFD" w:rsidP="000E70A1">
      <w:pPr>
        <w:spacing w:after="0" w:line="240" w:lineRule="auto"/>
      </w:pPr>
      <w:r>
        <w:separator/>
      </w:r>
    </w:p>
  </w:footnote>
  <w:footnote w:type="continuationSeparator" w:id="0">
    <w:p w:rsidR="00810DFD" w:rsidRDefault="00810DFD" w:rsidP="000E70A1">
      <w:pPr>
        <w:spacing w:after="0" w:line="240" w:lineRule="auto"/>
      </w:pPr>
      <w:r>
        <w:continuationSeparator/>
      </w:r>
    </w:p>
  </w:footnote>
  <w:footnote w:type="continuationNotice" w:id="1">
    <w:p w:rsidR="00810DFD" w:rsidRDefault="00810DFD">
      <w:pPr>
        <w:spacing w:after="0" w:line="240" w:lineRule="auto"/>
      </w:pPr>
    </w:p>
  </w:footnote>
  <w:footnote w:id="2">
    <w:p w:rsidR="00000000" w:rsidRDefault="0029244D" w:rsidP="001D30F6">
      <w:pPr>
        <w:pStyle w:val="FootnoteText"/>
      </w:pPr>
      <w:r>
        <w:rPr>
          <w:rStyle w:val="FootnoteReference"/>
        </w:rPr>
        <w:footnoteRef/>
      </w:r>
      <w:r>
        <w:t xml:space="preserve"> Q4-2015 through Q3-2016 represents the latest claims data published by the CPUC</w:t>
      </w:r>
    </w:p>
  </w:footnote>
  <w:footnote w:id="3">
    <w:p w:rsidR="00000000" w:rsidRDefault="0029244D">
      <w:pPr>
        <w:pStyle w:val="FootnoteText"/>
      </w:pPr>
      <w:r>
        <w:rPr>
          <w:rStyle w:val="FootnoteReference"/>
        </w:rPr>
        <w:footnoteRef/>
      </w:r>
      <w:r>
        <w:t xml:space="preserve"> Pricing surveys undertaken by the workpaper review team reveal, for example, that standard (40-60 watt equivalent non-dimmable) A-Lamp LED products are generally available in the price range of $1.50 to $3.00. A casual review of products available on websites of the most common large retailers will yield numerous examples of low-priced LED lamps.</w:t>
      </w:r>
    </w:p>
  </w:footnote>
  <w:footnote w:id="4">
    <w:p w:rsidR="00000000" w:rsidRDefault="0029244D" w:rsidP="001D30F6">
      <w:pPr>
        <w:pStyle w:val="FootnoteText"/>
      </w:pPr>
      <w:r>
        <w:rPr>
          <w:rStyle w:val="FootnoteReference"/>
        </w:rPr>
        <w:footnoteRef/>
      </w:r>
      <w:r>
        <w:t xml:space="preserve"> See NEMA Lamp Indices: </w:t>
      </w:r>
      <w:r w:rsidRPr="00471E40">
        <w:t>http://www.nema.org/Intelligence/Pages/Lamp-Indices.aspx</w:t>
      </w:r>
    </w:p>
  </w:footnote>
  <w:footnote w:id="5">
    <w:p w:rsidR="00000000" w:rsidRDefault="0029244D">
      <w:pPr>
        <w:pStyle w:val="FootnoteText"/>
      </w:pPr>
      <w:r>
        <w:rPr>
          <w:rStyle w:val="FootnoteReference"/>
        </w:rPr>
        <w:footnoteRef/>
      </w:r>
      <w:r>
        <w:t xml:space="preserve"> Prior to the DEER 2016 update, savings for CFLs were estimated above a baseline consisting only of incandescent lamps, even though research showed that a significant number of lamp purchasers used CFL lamps exclusively, regardless of program incentives. This was handled by considering the CFLs in the determination of NTG. However, CPUC policy requires that gross baselines be determined over standard practice, not the least efficient case. In DEER 2016, the gross baseline for CFLs was revised to include 40% CFLs, which reduced the gross savings. However, since these higher efficient lamps were now included in the gross baseline, they were no longer included (incorrectly so) as free-riders in the NTG determination. Therefore, gross savings were decreased, but the NTG for CFLs was increased, keeping net ex ante savings approximately equal. </w:t>
      </w:r>
    </w:p>
  </w:footnote>
  <w:footnote w:id="6">
    <w:p w:rsidR="00000000" w:rsidRDefault="0029244D" w:rsidP="008D2446">
      <w:pPr>
        <w:pStyle w:val="FootnoteText"/>
      </w:pPr>
      <w:r>
        <w:rPr>
          <w:rStyle w:val="FootnoteReference"/>
        </w:rPr>
        <w:footnoteRef/>
      </w:r>
      <w:r>
        <w:t xml:space="preserve"> Impact Evaluation of 2013-2014 Upstream and Residential Downstream Lighting Programs prepared by DNVGL for the California Public Utilities Commission, Energy Division, April 1, 2016.</w:t>
      </w:r>
    </w:p>
  </w:footnote>
  <w:footnote w:id="7">
    <w:p w:rsidR="00000000" w:rsidRDefault="0029244D">
      <w:pPr>
        <w:pStyle w:val="FootnoteText"/>
      </w:pPr>
      <w:r>
        <w:rPr>
          <w:rStyle w:val="FootnoteReference"/>
        </w:rPr>
        <w:footnoteRef/>
      </w:r>
      <w:r>
        <w:t xml:space="preserve"> The value of 0.54 was developed based on EM&amp;V findings through the 2010-2012 program cycles that identified approximately 40% of sockets had been “transformed” to a point that they would never have an incandescent lamp installed. The 2013-2014 evaluation results show an overall NTG with 0.40 for all CFLs statewide. This value was developed assuming that the gross baseline was comprised only of incandescent lamps and any “transformed” CFL sockets were considered free-riders in the NTG calculation. However, the overall NTG of 0.40 indicates an even larger fraction of “transformed” sockets than the 40% indicated in previous evaluations.</w:t>
      </w:r>
    </w:p>
  </w:footnote>
  <w:footnote w:id="8">
    <w:p w:rsidR="00000000" w:rsidRDefault="0029244D" w:rsidP="00626680">
      <w:pPr>
        <w:pStyle w:val="FootnoteText"/>
      </w:pPr>
      <w:r>
        <w:rPr>
          <w:rStyle w:val="FootnoteReference"/>
        </w:rPr>
        <w:footnoteRef/>
      </w:r>
      <w:r>
        <w:t xml:space="preserve"> D.15-10-028 at 82 “The annual EM&amp;V plan is expected to be completed at the end of each calendar year. The studies to be implemented in the following year will inform, and be informed by the EM&amp;V plan. March 1 will be a consistent target to ensure information will be available for program planning, ex ante savings updates, and potential and goals, but interim results and actionable findings may be available throughout the year.”</w:t>
      </w:r>
    </w:p>
  </w:footnote>
  <w:footnote w:id="9">
    <w:p w:rsidR="00000000" w:rsidRDefault="0029244D" w:rsidP="00626680">
      <w:pPr>
        <w:pStyle w:val="FootnoteText"/>
      </w:pPr>
      <w:r>
        <w:rPr>
          <w:rStyle w:val="FootnoteReference"/>
        </w:rPr>
        <w:footnoteRef/>
      </w:r>
      <w:r>
        <w:t xml:space="preserve"> D.15-10-028 at 83 “With this shift in the EM&amp;V bus stop, the DEER update bus stop needs to shift to the fall. The ex ante update period would run through Q2 and Q3, with draft results released on June 1, and the final DEER released on September 1.” And OP 17 “Commission Staff shall propose changes to the Database of Energy Efficient Resources once annually via resolution, with the associated comment/protest period provided by General Order 96-B. However, Commission staff may make changes at any time without a resolution to fix errors or change documentation.”</w:t>
      </w:r>
    </w:p>
  </w:footnote>
  <w:footnote w:id="10">
    <w:p w:rsidR="00000000" w:rsidRDefault="0029244D" w:rsidP="00626680">
      <w:pPr>
        <w:pStyle w:val="FootnoteText"/>
      </w:pPr>
      <w:r>
        <w:rPr>
          <w:rStyle w:val="FootnoteReference"/>
        </w:rPr>
        <w:footnoteRef/>
      </w:r>
      <w:r>
        <w:t xml:space="preserve"> D.15-10-028 at 83: “Accordingly we will maintain the January 1 deadline for updates to workpapers to reflect changes in DEER values. Workpapers for new measures, and workpapers that do more than just update values to conform with revised DEER values, may come in at any time or on the first and third Monday, respectively.”</w:t>
      </w:r>
    </w:p>
  </w:footnote>
  <w:footnote w:id="11">
    <w:p w:rsidR="00000000" w:rsidRDefault="0029244D" w:rsidP="00626680">
      <w:pPr>
        <w:pStyle w:val="FootnoteText"/>
      </w:pPr>
      <w:r>
        <w:rPr>
          <w:rStyle w:val="FootnoteReference"/>
        </w:rPr>
        <w:footnoteRef/>
      </w:r>
      <w:r>
        <w:t xml:space="preserve"> D.15-10-028 OP 14: “Parties and Commission staff shall comply with the timeline for energy efficiency portfolio review and related activities as set forth in the Gantt chart in Appendix 10”</w:t>
      </w:r>
    </w:p>
  </w:footnote>
  <w:footnote w:id="12">
    <w:p w:rsidR="00000000" w:rsidRDefault="0029244D" w:rsidP="00626680">
      <w:pPr>
        <w:pStyle w:val="FootnoteText"/>
      </w:pPr>
      <w:r>
        <w:rPr>
          <w:rStyle w:val="FootnoteReference"/>
        </w:rPr>
        <w:footnoteRef/>
      </w:r>
      <w:r>
        <w:t xml:space="preserve"> D.12-05-015 OP 156:</w:t>
      </w:r>
      <w:r w:rsidRPr="000931DD">
        <w:t xml:space="preserve"> </w:t>
      </w:r>
      <w:r>
        <w:t>“</w:t>
      </w:r>
      <w:r w:rsidRPr="000931DD">
        <w:t>Information emerging from the evaluations shall be used to refine and improve programs on an on-going basis, and/or shall be available to assist in portfolio design decisions and revising frozen ex ante savings parameters for the next program cycle.</w:t>
      </w:r>
      <w:r>
        <w:t>”</w:t>
      </w:r>
    </w:p>
  </w:footnote>
  <w:footnote w:id="13">
    <w:p w:rsidR="00000000" w:rsidRDefault="0029244D" w:rsidP="00AD5CA0">
      <w:pPr>
        <w:pStyle w:val="FootnoteText"/>
      </w:pPr>
      <w:r>
        <w:rPr>
          <w:rStyle w:val="FootnoteReference"/>
        </w:rPr>
        <w:footnoteRef/>
      </w:r>
      <w:r>
        <w:t xml:space="preserve"> Based on the list of A-lamps submitted with PG&amp;E’s workpaper and included in the workbook “certified-light-bulbs-2016-11-23_delinked.xlsx.” CPUC staff filtered this list based on the program requirements listed in Table 2, page 3 of PG&amp;E’s submitted workpaper.</w:t>
      </w:r>
    </w:p>
  </w:footnote>
  <w:footnote w:id="14">
    <w:p w:rsidR="00000000" w:rsidRDefault="0029244D">
      <w:pPr>
        <w:pStyle w:val="FootnoteText"/>
      </w:pPr>
      <w:r>
        <w:rPr>
          <w:rStyle w:val="FootnoteReference"/>
        </w:rPr>
        <w:footnoteRef/>
      </w:r>
      <w:r>
        <w:t xml:space="preserve"> 2016 Appliance Efficiency Regulations, CEC-400-2017-002, California Energy Commission, January 2017 (See Table K-14)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4D" w:rsidRPr="007B4BBF" w:rsidRDefault="0029244D" w:rsidP="003C17B2">
    <w:pPr>
      <w:pStyle w:val="Header"/>
      <w:rPr>
        <w:sz w:val="18"/>
        <w:szCs w:val="18"/>
      </w:rPr>
    </w:pPr>
    <w:r>
      <w:rPr>
        <w:sz w:val="18"/>
        <w:szCs w:val="18"/>
      </w:rPr>
      <w:fldChar w:fldCharType="begin"/>
    </w:r>
    <w:r>
      <w:rPr>
        <w:sz w:val="18"/>
        <w:szCs w:val="18"/>
      </w:rPr>
      <w:instrText xml:space="preserve"> STYLEREF  Title  \* MERGEFORMAT </w:instrText>
    </w:r>
    <w:r>
      <w:rPr>
        <w:sz w:val="18"/>
        <w:szCs w:val="18"/>
      </w:rPr>
      <w:fldChar w:fldCharType="separate"/>
    </w:r>
    <w:r w:rsidR="00D17A8B">
      <w:rPr>
        <w:noProof/>
        <w:sz w:val="18"/>
        <w:szCs w:val="18"/>
      </w:rPr>
      <w:t>Comprehensive Workpaper Disposition for: Screw-In Lamps</w:t>
    </w:r>
    <w:r>
      <w:rPr>
        <w:sz w:val="18"/>
        <w:szCs w:val="18"/>
      </w:rPr>
      <w:fldChar w:fldCharType="end"/>
    </w:r>
  </w:p>
  <w:p w:rsidR="0029244D" w:rsidRDefault="0029244D" w:rsidP="00C0532D">
    <w:pPr>
      <w:pStyle w:val="Header"/>
      <w:rPr>
        <w:sz w:val="18"/>
        <w:szCs w:val="18"/>
      </w:rPr>
    </w:pPr>
    <w:r>
      <w:rPr>
        <w:sz w:val="18"/>
        <w:szCs w:val="18"/>
      </w:rPr>
      <w:fldChar w:fldCharType="begin"/>
    </w:r>
    <w:r>
      <w:rPr>
        <w:sz w:val="18"/>
        <w:szCs w:val="18"/>
      </w:rPr>
      <w:instrText xml:space="preserve"> STYLEREF  Subtitle  \* MERGEFORMAT </w:instrText>
    </w:r>
    <w:r>
      <w:rPr>
        <w:sz w:val="18"/>
        <w:szCs w:val="18"/>
      </w:rPr>
      <w:fldChar w:fldCharType="separate"/>
    </w:r>
    <w:r w:rsidR="00D17A8B">
      <w:rPr>
        <w:noProof/>
        <w:sz w:val="18"/>
        <w:szCs w:val="18"/>
      </w:rPr>
      <w:t>California Public Utilities Commission, Energy Division</w:t>
    </w:r>
    <w:r>
      <w:rPr>
        <w:sz w:val="18"/>
        <w:szCs w:val="18"/>
      </w:rPr>
      <w:fldChar w:fldCharType="end"/>
    </w:r>
  </w:p>
  <w:p w:rsidR="0029244D" w:rsidRDefault="0029244D" w:rsidP="00C0532D">
    <w:pPr>
      <w:pStyle w:val="Header"/>
      <w:rPr>
        <w:sz w:val="18"/>
        <w:szCs w:val="18"/>
      </w:rPr>
    </w:pPr>
    <w:r>
      <w:rPr>
        <w:sz w:val="18"/>
        <w:szCs w:val="18"/>
      </w:rPr>
      <w:fldChar w:fldCharType="begin"/>
    </w:r>
    <w:r>
      <w:rPr>
        <w:sz w:val="18"/>
        <w:szCs w:val="18"/>
      </w:rPr>
      <w:instrText xml:space="preserve"> STYLEREF  "Disposition Date"  \* MERGEFORMAT </w:instrText>
    </w:r>
    <w:r>
      <w:rPr>
        <w:sz w:val="18"/>
        <w:szCs w:val="18"/>
      </w:rPr>
      <w:fldChar w:fldCharType="separate"/>
    </w:r>
    <w:r w:rsidR="00D17A8B">
      <w:rPr>
        <w:noProof/>
        <w:sz w:val="18"/>
        <w:szCs w:val="18"/>
      </w:rPr>
      <w:t>March 1, 2017</w:t>
    </w:r>
    <w:r>
      <w:rPr>
        <w:sz w:val="18"/>
        <w:szCs w:val="18"/>
      </w:rPr>
      <w:fldChar w:fldCharType="end"/>
    </w:r>
  </w:p>
  <w:p w:rsidR="0029244D" w:rsidRDefault="0029244D" w:rsidP="00C0532D">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nsid w:val="072A0B3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084D18E4"/>
    <w:multiLevelType w:val="multilevel"/>
    <w:tmpl w:val="480422CA"/>
    <w:styleLink w:val="Dispositions"/>
    <w:lvl w:ilvl="0">
      <w:start w:val="1"/>
      <w:numFmt w:val="decimal"/>
      <w:pStyle w:val="Heading1"/>
      <w:suff w:val="space"/>
      <w:lvlText w:val="%1."/>
      <w:lvlJc w:val="left"/>
      <w:pPr>
        <w:ind w:left="360" w:hanging="360"/>
      </w:pPr>
      <w:rPr>
        <w:rFonts w:ascii="Calibri" w:hAnsi="Calibri" w:cs="Times New Roman" w:hint="default"/>
        <w:b/>
        <w:i w:val="0"/>
        <w:sz w:val="22"/>
      </w:rPr>
    </w:lvl>
    <w:lvl w:ilvl="1">
      <w:start w:val="1"/>
      <w:numFmt w:val="decimal"/>
      <w:pStyle w:val="Heading2"/>
      <w:suff w:val="space"/>
      <w:lvlText w:val="%1.%2."/>
      <w:lvlJc w:val="left"/>
      <w:pPr>
        <w:ind w:left="216" w:hanging="216"/>
      </w:pPr>
      <w:rPr>
        <w:rFonts w:ascii="Calibri" w:hAnsi="Calibri" w:cs="Times New Roman" w:hint="default"/>
        <w:b/>
        <w:i w:val="0"/>
        <w:sz w:val="22"/>
      </w:rPr>
    </w:lvl>
    <w:lvl w:ilvl="2">
      <w:start w:val="1"/>
      <w:numFmt w:val="decimal"/>
      <w:pStyle w:val="Heading3"/>
      <w:suff w:val="space"/>
      <w:lvlText w:val="%1.%2.%3."/>
      <w:lvlJc w:val="left"/>
      <w:pPr>
        <w:ind w:left="720" w:hanging="360"/>
      </w:pPr>
      <w:rPr>
        <w:rFonts w:ascii="Calibri" w:hAnsi="Calibri" w:cs="Times New Roman" w:hint="default"/>
        <w:sz w:val="22"/>
      </w:rPr>
    </w:lvl>
    <w:lvl w:ilvl="3">
      <w:start w:val="1"/>
      <w:numFmt w:val="decimal"/>
      <w:pStyle w:val="Heading4"/>
      <w:suff w:val="space"/>
      <w:lvlText w:val="%1.%2.%3.%4."/>
      <w:lvlJc w:val="left"/>
      <w:pPr>
        <w:ind w:left="1080" w:hanging="360"/>
      </w:pPr>
      <w:rPr>
        <w:rFonts w:ascii="Calibri" w:hAnsi="Calibri" w:cs="Times New Roman" w:hint="default"/>
        <w:sz w:val="22"/>
      </w:rPr>
    </w:lvl>
    <w:lvl w:ilvl="4">
      <w:start w:val="1"/>
      <w:numFmt w:val="decimal"/>
      <w:pStyle w:val="Heading5"/>
      <w:suff w:val="space"/>
      <w:lvlText w:val="%1.%2.%3.%4.%5."/>
      <w:lvlJc w:val="left"/>
      <w:pPr>
        <w:ind w:left="1440" w:hanging="360"/>
      </w:pPr>
      <w:rPr>
        <w:rFonts w:ascii="Calibri" w:hAnsi="Calibri" w:cs="Times New Roman" w:hint="default"/>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nsid w:val="18C4498D"/>
    <w:multiLevelType w:val="hybridMultilevel"/>
    <w:tmpl w:val="E25EB2AC"/>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7">
    <w:nsid w:val="205A5483"/>
    <w:multiLevelType w:val="hybridMultilevel"/>
    <w:tmpl w:val="48181E1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8">
    <w:nsid w:val="213D4B39"/>
    <w:multiLevelType w:val="hybridMultilevel"/>
    <w:tmpl w:val="0992861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27E544C1"/>
    <w:multiLevelType w:val="hybridMultilevel"/>
    <w:tmpl w:val="D60E5AE6"/>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2">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3212B1E"/>
    <w:multiLevelType w:val="hybridMultilevel"/>
    <w:tmpl w:val="A3B847CE"/>
    <w:lvl w:ilvl="0" w:tplc="04090017">
      <w:start w:val="1"/>
      <w:numFmt w:val="lowerLetter"/>
      <w:lvlText w:val="%1)"/>
      <w:lvlJc w:val="left"/>
      <w:pPr>
        <w:ind w:left="936" w:hanging="360"/>
      </w:pPr>
      <w:rPr>
        <w:rFonts w:cs="Times New Roman"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5">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6F63BF4"/>
    <w:multiLevelType w:val="hybridMultilevel"/>
    <w:tmpl w:val="5F48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997D4A"/>
    <w:multiLevelType w:val="multilevel"/>
    <w:tmpl w:val="480422CA"/>
    <w:numStyleLink w:val="Dispositions"/>
  </w:abstractNum>
  <w:abstractNum w:abstractNumId="18">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F100A0E"/>
    <w:multiLevelType w:val="multilevel"/>
    <w:tmpl w:val="480422CA"/>
    <w:numStyleLink w:val="Dispositions"/>
  </w:abstractNum>
  <w:abstractNum w:abstractNumId="27">
    <w:nsid w:val="71713EC7"/>
    <w:multiLevelType w:val="hybridMultilevel"/>
    <w:tmpl w:val="29726472"/>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8">
    <w:nsid w:val="73794700"/>
    <w:multiLevelType w:val="hybridMultilevel"/>
    <w:tmpl w:val="26C0F088"/>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9">
    <w:nsid w:val="739A19B6"/>
    <w:multiLevelType w:val="multilevel"/>
    <w:tmpl w:val="480422CA"/>
    <w:numStyleLink w:val="Dispositions"/>
  </w:abstractNum>
  <w:abstractNum w:abstractNumId="30">
    <w:nsid w:val="73E30B83"/>
    <w:multiLevelType w:val="hybridMultilevel"/>
    <w:tmpl w:val="997245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2">
    <w:nsid w:val="78DC5A1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nsid w:val="7BB51ABA"/>
    <w:multiLevelType w:val="multilevel"/>
    <w:tmpl w:val="480422CA"/>
    <w:numStyleLink w:val="Dispositions"/>
  </w:abstractNum>
  <w:abstractNum w:abstractNumId="34">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0"/>
  </w:num>
  <w:num w:numId="3">
    <w:abstractNumId w:val="24"/>
  </w:num>
  <w:num w:numId="4">
    <w:abstractNumId w:val="12"/>
  </w:num>
  <w:num w:numId="5">
    <w:abstractNumId w:val="34"/>
  </w:num>
  <w:num w:numId="6">
    <w:abstractNumId w:val="4"/>
  </w:num>
  <w:num w:numId="7">
    <w:abstractNumId w:val="25"/>
  </w:num>
  <w:num w:numId="8">
    <w:abstractNumId w:val="21"/>
  </w:num>
  <w:num w:numId="9">
    <w:abstractNumId w:val="18"/>
  </w:num>
  <w:num w:numId="10">
    <w:abstractNumId w:val="13"/>
  </w:num>
  <w:num w:numId="11">
    <w:abstractNumId w:val="10"/>
  </w:num>
  <w:num w:numId="12">
    <w:abstractNumId w:val="31"/>
  </w:num>
  <w:num w:numId="13">
    <w:abstractNumId w:val="22"/>
  </w:num>
  <w:num w:numId="14">
    <w:abstractNumId w:val="6"/>
  </w:num>
  <w:num w:numId="15">
    <w:abstractNumId w:val="9"/>
  </w:num>
  <w:num w:numId="16">
    <w:abstractNumId w:val="1"/>
  </w:num>
  <w:num w:numId="17">
    <w:abstractNumId w:val="23"/>
  </w:num>
  <w:num w:numId="18">
    <w:abstractNumId w:val="5"/>
  </w:num>
  <w:num w:numId="19">
    <w:abstractNumId w:val="15"/>
  </w:num>
  <w:num w:numId="20">
    <w:abstractNumId w:val="19"/>
  </w:num>
  <w:num w:numId="21">
    <w:abstractNumId w:val="32"/>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33"/>
  </w:num>
  <w:num w:numId="26">
    <w:abstractNumId w:val="26"/>
  </w:num>
  <w:num w:numId="27">
    <w:abstractNumId w:val="17"/>
  </w:num>
  <w:num w:numId="28">
    <w:abstractNumId w:val="29"/>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1260" w:hanging="360"/>
        </w:pPr>
        <w:rPr>
          <w:rFonts w:ascii="Calibri" w:hAnsi="Calibri" w:cs="Times New Roman" w:hint="default"/>
          <w:sz w:val="22"/>
        </w:rPr>
      </w:lvl>
    </w:lvlOverride>
    <w:lvlOverride w:ilvl="3">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9">
    <w:abstractNumId w:val="29"/>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0">
    <w:abstractNumId w:val="30"/>
  </w:num>
  <w:num w:numId="31">
    <w:abstractNumId w:val="8"/>
  </w:num>
  <w:num w:numId="32">
    <w:abstractNumId w:val="16"/>
  </w:num>
  <w:num w:numId="33">
    <w:abstractNumId w:val="27"/>
  </w:num>
  <w:num w:numId="34">
    <w:abstractNumId w:val="28"/>
  </w:num>
  <w:num w:numId="35">
    <w:abstractNumId w:val="7"/>
  </w:num>
  <w:num w:numId="36">
    <w:abstractNumId w:val="11"/>
  </w:num>
  <w:num w:numId="37">
    <w:abstractNumId w:val="29"/>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8">
    <w:abstractNumId w:val="29"/>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39">
    <w:abstractNumId w:val="14"/>
  </w:num>
  <w:num w:numId="40">
    <w:abstractNumId w:val="29"/>
    <w:lvlOverride w:ilvl="0">
      <w:startOverride w:val="1"/>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startOverride w:va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startOverride w:val="1"/>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startOverride w:val="1"/>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startOverride w:val="1"/>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startOverride w:val="1"/>
      <w:lvl w:ilvl="5">
        <w:start w:val="1"/>
        <w:numFmt w:val="lowerRoman"/>
        <w:lvlText w:val="(%6)"/>
        <w:lvlJc w:val="left"/>
        <w:pPr>
          <w:ind w:left="2160" w:hanging="360"/>
        </w:pPr>
        <w:rPr>
          <w:rFonts w:cs="Times New Roman" w:hint="default"/>
        </w:rPr>
      </w:lvl>
    </w:lvlOverride>
    <w:lvlOverride w:ilvl="6">
      <w:startOverride w:val="1"/>
      <w:lvl w:ilvl="6">
        <w:start w:val="1"/>
        <w:numFmt w:val="decimal"/>
        <w:lvlText w:val="%7."/>
        <w:lvlJc w:val="left"/>
        <w:pPr>
          <w:ind w:left="2520" w:hanging="360"/>
        </w:pPr>
        <w:rPr>
          <w:rFonts w:cs="Times New Roman" w:hint="default"/>
        </w:rPr>
      </w:lvl>
    </w:lvlOverride>
    <w:lvlOverride w:ilvl="7">
      <w:startOverride w:val="1"/>
      <w:lvl w:ilvl="7">
        <w:start w:val="1"/>
        <w:numFmt w:val="lowerLetter"/>
        <w:lvlText w:val="%8."/>
        <w:lvlJc w:val="left"/>
        <w:pPr>
          <w:ind w:left="2880" w:hanging="360"/>
        </w:pPr>
        <w:rPr>
          <w:rFonts w:cs="Times New Roman" w:hint="default"/>
        </w:rPr>
      </w:lvl>
    </w:lvlOverride>
    <w:lvlOverride w:ilvl="8">
      <w:startOverride w:val="1"/>
      <w:lvl w:ilvl="8">
        <w:start w:val="1"/>
        <w:numFmt w:val="lowerRoman"/>
        <w:lvlText w:val="%9."/>
        <w:lvlJc w:val="left"/>
        <w:pPr>
          <w:ind w:left="3240" w:hanging="360"/>
        </w:pPr>
        <w:rPr>
          <w:rFonts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0F6"/>
    <w:rsid w:val="00002A25"/>
    <w:rsid w:val="000050BD"/>
    <w:rsid w:val="00012020"/>
    <w:rsid w:val="00014D39"/>
    <w:rsid w:val="00015D9B"/>
    <w:rsid w:val="00015EE3"/>
    <w:rsid w:val="00015F65"/>
    <w:rsid w:val="00016B21"/>
    <w:rsid w:val="00030FB0"/>
    <w:rsid w:val="00034AE8"/>
    <w:rsid w:val="00040151"/>
    <w:rsid w:val="00051079"/>
    <w:rsid w:val="00053FF3"/>
    <w:rsid w:val="000575E4"/>
    <w:rsid w:val="00057F68"/>
    <w:rsid w:val="000612D4"/>
    <w:rsid w:val="00065FEB"/>
    <w:rsid w:val="00072D0A"/>
    <w:rsid w:val="00080E9A"/>
    <w:rsid w:val="00081633"/>
    <w:rsid w:val="00082CA9"/>
    <w:rsid w:val="00084BBB"/>
    <w:rsid w:val="00090AD3"/>
    <w:rsid w:val="000931DD"/>
    <w:rsid w:val="00093AF7"/>
    <w:rsid w:val="00094AD0"/>
    <w:rsid w:val="00095567"/>
    <w:rsid w:val="000B33BC"/>
    <w:rsid w:val="000B3A74"/>
    <w:rsid w:val="000B56D4"/>
    <w:rsid w:val="000B6C7F"/>
    <w:rsid w:val="000C544D"/>
    <w:rsid w:val="000D04A0"/>
    <w:rsid w:val="000D0D8E"/>
    <w:rsid w:val="000D7703"/>
    <w:rsid w:val="000E70A1"/>
    <w:rsid w:val="000F41A4"/>
    <w:rsid w:val="000F67FC"/>
    <w:rsid w:val="00102ED4"/>
    <w:rsid w:val="001038DE"/>
    <w:rsid w:val="00112875"/>
    <w:rsid w:val="00115CF4"/>
    <w:rsid w:val="00124328"/>
    <w:rsid w:val="00125F7E"/>
    <w:rsid w:val="00126006"/>
    <w:rsid w:val="0012658A"/>
    <w:rsid w:val="00134CD1"/>
    <w:rsid w:val="0014039F"/>
    <w:rsid w:val="001435E5"/>
    <w:rsid w:val="00146BCF"/>
    <w:rsid w:val="001509AE"/>
    <w:rsid w:val="0015264F"/>
    <w:rsid w:val="00153AA3"/>
    <w:rsid w:val="00153D56"/>
    <w:rsid w:val="00154E04"/>
    <w:rsid w:val="001566B4"/>
    <w:rsid w:val="0016053A"/>
    <w:rsid w:val="001620D5"/>
    <w:rsid w:val="00164F7A"/>
    <w:rsid w:val="00165686"/>
    <w:rsid w:val="0018340B"/>
    <w:rsid w:val="00184D53"/>
    <w:rsid w:val="00187B12"/>
    <w:rsid w:val="001A651A"/>
    <w:rsid w:val="001B1A3A"/>
    <w:rsid w:val="001C01C3"/>
    <w:rsid w:val="001C0D30"/>
    <w:rsid w:val="001C2764"/>
    <w:rsid w:val="001C2ECC"/>
    <w:rsid w:val="001C3A3C"/>
    <w:rsid w:val="001C5C1C"/>
    <w:rsid w:val="001C680B"/>
    <w:rsid w:val="001D14BF"/>
    <w:rsid w:val="001D30F6"/>
    <w:rsid w:val="001D7DD7"/>
    <w:rsid w:val="001E24C0"/>
    <w:rsid w:val="001E5F48"/>
    <w:rsid w:val="001E7899"/>
    <w:rsid w:val="001F6237"/>
    <w:rsid w:val="001F6D54"/>
    <w:rsid w:val="0020456B"/>
    <w:rsid w:val="002064B2"/>
    <w:rsid w:val="00207ACE"/>
    <w:rsid w:val="00217209"/>
    <w:rsid w:val="00221765"/>
    <w:rsid w:val="00223D23"/>
    <w:rsid w:val="00232AF7"/>
    <w:rsid w:val="00235ACC"/>
    <w:rsid w:val="002362E9"/>
    <w:rsid w:val="00237438"/>
    <w:rsid w:val="00241C0C"/>
    <w:rsid w:val="00243FA9"/>
    <w:rsid w:val="00245B0F"/>
    <w:rsid w:val="00246F7E"/>
    <w:rsid w:val="00250B06"/>
    <w:rsid w:val="002545F7"/>
    <w:rsid w:val="00257A30"/>
    <w:rsid w:val="00257E69"/>
    <w:rsid w:val="0026230D"/>
    <w:rsid w:val="00273FB3"/>
    <w:rsid w:val="002746EA"/>
    <w:rsid w:val="00283390"/>
    <w:rsid w:val="0029244D"/>
    <w:rsid w:val="00292681"/>
    <w:rsid w:val="002A67E5"/>
    <w:rsid w:val="002B1119"/>
    <w:rsid w:val="002C0125"/>
    <w:rsid w:val="002C0670"/>
    <w:rsid w:val="002C15CC"/>
    <w:rsid w:val="002C4D7A"/>
    <w:rsid w:val="002C7AC6"/>
    <w:rsid w:val="002D46C6"/>
    <w:rsid w:val="002D4B33"/>
    <w:rsid w:val="002D4E44"/>
    <w:rsid w:val="002E18F0"/>
    <w:rsid w:val="002E2F58"/>
    <w:rsid w:val="002E695E"/>
    <w:rsid w:val="002F205A"/>
    <w:rsid w:val="002F27DB"/>
    <w:rsid w:val="002F71FF"/>
    <w:rsid w:val="003013ED"/>
    <w:rsid w:val="003021CB"/>
    <w:rsid w:val="00302301"/>
    <w:rsid w:val="00310A10"/>
    <w:rsid w:val="00310BA9"/>
    <w:rsid w:val="003119F8"/>
    <w:rsid w:val="0031210A"/>
    <w:rsid w:val="00320623"/>
    <w:rsid w:val="00322A72"/>
    <w:rsid w:val="00350DB3"/>
    <w:rsid w:val="003630CF"/>
    <w:rsid w:val="00365699"/>
    <w:rsid w:val="0036640A"/>
    <w:rsid w:val="00376DEE"/>
    <w:rsid w:val="00377271"/>
    <w:rsid w:val="00383D3A"/>
    <w:rsid w:val="00384A1E"/>
    <w:rsid w:val="0039305A"/>
    <w:rsid w:val="003A0CFC"/>
    <w:rsid w:val="003A50A1"/>
    <w:rsid w:val="003B1395"/>
    <w:rsid w:val="003B4AE7"/>
    <w:rsid w:val="003B6493"/>
    <w:rsid w:val="003C17B2"/>
    <w:rsid w:val="003D06FD"/>
    <w:rsid w:val="003D6049"/>
    <w:rsid w:val="003D77C9"/>
    <w:rsid w:val="003F0162"/>
    <w:rsid w:val="003F0505"/>
    <w:rsid w:val="003F1245"/>
    <w:rsid w:val="003F4B5C"/>
    <w:rsid w:val="003F5191"/>
    <w:rsid w:val="003F7718"/>
    <w:rsid w:val="0040181E"/>
    <w:rsid w:val="004037AC"/>
    <w:rsid w:val="0040649D"/>
    <w:rsid w:val="00407831"/>
    <w:rsid w:val="004132D9"/>
    <w:rsid w:val="004274BF"/>
    <w:rsid w:val="00431133"/>
    <w:rsid w:val="00432ABB"/>
    <w:rsid w:val="00433E2E"/>
    <w:rsid w:val="00437E0D"/>
    <w:rsid w:val="0044149E"/>
    <w:rsid w:val="00444535"/>
    <w:rsid w:val="00453708"/>
    <w:rsid w:val="00453E23"/>
    <w:rsid w:val="00454309"/>
    <w:rsid w:val="00455836"/>
    <w:rsid w:val="00455B01"/>
    <w:rsid w:val="00466E11"/>
    <w:rsid w:val="00470289"/>
    <w:rsid w:val="00471E40"/>
    <w:rsid w:val="00481FC4"/>
    <w:rsid w:val="00487678"/>
    <w:rsid w:val="004923B6"/>
    <w:rsid w:val="00496374"/>
    <w:rsid w:val="004A74A0"/>
    <w:rsid w:val="004B52F9"/>
    <w:rsid w:val="004C5878"/>
    <w:rsid w:val="004C7C15"/>
    <w:rsid w:val="004D03B5"/>
    <w:rsid w:val="004D4B7D"/>
    <w:rsid w:val="004E3453"/>
    <w:rsid w:val="004F20F2"/>
    <w:rsid w:val="004F50A2"/>
    <w:rsid w:val="004F62F9"/>
    <w:rsid w:val="00502878"/>
    <w:rsid w:val="00511CFA"/>
    <w:rsid w:val="005276D2"/>
    <w:rsid w:val="00531411"/>
    <w:rsid w:val="00533162"/>
    <w:rsid w:val="00533E15"/>
    <w:rsid w:val="005358EE"/>
    <w:rsid w:val="00537A7A"/>
    <w:rsid w:val="0054186F"/>
    <w:rsid w:val="00550CF1"/>
    <w:rsid w:val="005547E7"/>
    <w:rsid w:val="00562831"/>
    <w:rsid w:val="0057291C"/>
    <w:rsid w:val="00580CC6"/>
    <w:rsid w:val="005833F6"/>
    <w:rsid w:val="005846F6"/>
    <w:rsid w:val="00584753"/>
    <w:rsid w:val="00590C39"/>
    <w:rsid w:val="00591A82"/>
    <w:rsid w:val="00594E3A"/>
    <w:rsid w:val="005975F4"/>
    <w:rsid w:val="005A0498"/>
    <w:rsid w:val="005A1C4D"/>
    <w:rsid w:val="005B033C"/>
    <w:rsid w:val="005B30E1"/>
    <w:rsid w:val="005B40DD"/>
    <w:rsid w:val="005D092D"/>
    <w:rsid w:val="005D1215"/>
    <w:rsid w:val="005D2083"/>
    <w:rsid w:val="005E2100"/>
    <w:rsid w:val="005E5A55"/>
    <w:rsid w:val="005F0289"/>
    <w:rsid w:val="005F15E9"/>
    <w:rsid w:val="005F61B9"/>
    <w:rsid w:val="00607F4A"/>
    <w:rsid w:val="006137ED"/>
    <w:rsid w:val="0062209E"/>
    <w:rsid w:val="00626680"/>
    <w:rsid w:val="006300B4"/>
    <w:rsid w:val="00633C5E"/>
    <w:rsid w:val="00633C82"/>
    <w:rsid w:val="0064014A"/>
    <w:rsid w:val="0064069F"/>
    <w:rsid w:val="00642C94"/>
    <w:rsid w:val="006458D4"/>
    <w:rsid w:val="00650593"/>
    <w:rsid w:val="00655F19"/>
    <w:rsid w:val="0065725B"/>
    <w:rsid w:val="00660B27"/>
    <w:rsid w:val="006677EF"/>
    <w:rsid w:val="00671077"/>
    <w:rsid w:val="006734CC"/>
    <w:rsid w:val="0067452F"/>
    <w:rsid w:val="00674988"/>
    <w:rsid w:val="0068170E"/>
    <w:rsid w:val="00685481"/>
    <w:rsid w:val="00687D70"/>
    <w:rsid w:val="0069420A"/>
    <w:rsid w:val="006A38BC"/>
    <w:rsid w:val="006A4ACA"/>
    <w:rsid w:val="006A6776"/>
    <w:rsid w:val="006B751F"/>
    <w:rsid w:val="006B7A09"/>
    <w:rsid w:val="006D38C4"/>
    <w:rsid w:val="006D4FCF"/>
    <w:rsid w:val="006D7BC2"/>
    <w:rsid w:val="006E7CDA"/>
    <w:rsid w:val="00700804"/>
    <w:rsid w:val="00706DC3"/>
    <w:rsid w:val="007072C0"/>
    <w:rsid w:val="00711EEF"/>
    <w:rsid w:val="007121DC"/>
    <w:rsid w:val="00712925"/>
    <w:rsid w:val="00716F8D"/>
    <w:rsid w:val="00722043"/>
    <w:rsid w:val="0072213E"/>
    <w:rsid w:val="0072405F"/>
    <w:rsid w:val="00724B2C"/>
    <w:rsid w:val="00726AA5"/>
    <w:rsid w:val="00735549"/>
    <w:rsid w:val="007360E1"/>
    <w:rsid w:val="00736D3E"/>
    <w:rsid w:val="007377AB"/>
    <w:rsid w:val="00740096"/>
    <w:rsid w:val="007420F0"/>
    <w:rsid w:val="00751AE1"/>
    <w:rsid w:val="00761265"/>
    <w:rsid w:val="00761F76"/>
    <w:rsid w:val="00763F00"/>
    <w:rsid w:val="007703D9"/>
    <w:rsid w:val="00771712"/>
    <w:rsid w:val="00774848"/>
    <w:rsid w:val="007757D0"/>
    <w:rsid w:val="00775AE6"/>
    <w:rsid w:val="007768F5"/>
    <w:rsid w:val="00777942"/>
    <w:rsid w:val="00781765"/>
    <w:rsid w:val="007960F6"/>
    <w:rsid w:val="007A39B0"/>
    <w:rsid w:val="007A3BB2"/>
    <w:rsid w:val="007B2E5A"/>
    <w:rsid w:val="007B4BBF"/>
    <w:rsid w:val="007C0813"/>
    <w:rsid w:val="007C2ACC"/>
    <w:rsid w:val="007C5817"/>
    <w:rsid w:val="007C5EBB"/>
    <w:rsid w:val="007C6215"/>
    <w:rsid w:val="007D314F"/>
    <w:rsid w:val="007D4B9B"/>
    <w:rsid w:val="007D4DDD"/>
    <w:rsid w:val="007E0DEA"/>
    <w:rsid w:val="007F3E73"/>
    <w:rsid w:val="0080005B"/>
    <w:rsid w:val="0080239C"/>
    <w:rsid w:val="00807199"/>
    <w:rsid w:val="00810DFD"/>
    <w:rsid w:val="008111CF"/>
    <w:rsid w:val="0081477F"/>
    <w:rsid w:val="00820BD1"/>
    <w:rsid w:val="00823CF7"/>
    <w:rsid w:val="00824250"/>
    <w:rsid w:val="0082532B"/>
    <w:rsid w:val="00825350"/>
    <w:rsid w:val="008262FE"/>
    <w:rsid w:val="008325C8"/>
    <w:rsid w:val="008350A5"/>
    <w:rsid w:val="00836DD6"/>
    <w:rsid w:val="00836E27"/>
    <w:rsid w:val="00837F98"/>
    <w:rsid w:val="00840E35"/>
    <w:rsid w:val="00845438"/>
    <w:rsid w:val="008504F1"/>
    <w:rsid w:val="0086193B"/>
    <w:rsid w:val="00862988"/>
    <w:rsid w:val="008774A6"/>
    <w:rsid w:val="00882907"/>
    <w:rsid w:val="0088515F"/>
    <w:rsid w:val="00893C67"/>
    <w:rsid w:val="008A099B"/>
    <w:rsid w:val="008B2D68"/>
    <w:rsid w:val="008B6EA2"/>
    <w:rsid w:val="008C3BD7"/>
    <w:rsid w:val="008C711A"/>
    <w:rsid w:val="008C7F61"/>
    <w:rsid w:val="008D2446"/>
    <w:rsid w:val="008E551C"/>
    <w:rsid w:val="008E6B1C"/>
    <w:rsid w:val="008F2DF0"/>
    <w:rsid w:val="008F35F6"/>
    <w:rsid w:val="008F6C5B"/>
    <w:rsid w:val="009047DA"/>
    <w:rsid w:val="0090760C"/>
    <w:rsid w:val="00913B3A"/>
    <w:rsid w:val="00916DEE"/>
    <w:rsid w:val="00922A4E"/>
    <w:rsid w:val="00932F64"/>
    <w:rsid w:val="00934E05"/>
    <w:rsid w:val="009608F0"/>
    <w:rsid w:val="0096247A"/>
    <w:rsid w:val="009660AA"/>
    <w:rsid w:val="00971B21"/>
    <w:rsid w:val="00975A87"/>
    <w:rsid w:val="0098085C"/>
    <w:rsid w:val="00993C2C"/>
    <w:rsid w:val="00997A05"/>
    <w:rsid w:val="009A0582"/>
    <w:rsid w:val="009A121A"/>
    <w:rsid w:val="009A400D"/>
    <w:rsid w:val="009B4E31"/>
    <w:rsid w:val="009C216B"/>
    <w:rsid w:val="009C3040"/>
    <w:rsid w:val="009C3051"/>
    <w:rsid w:val="009D05FC"/>
    <w:rsid w:val="009F5F3F"/>
    <w:rsid w:val="00A021FB"/>
    <w:rsid w:val="00A03798"/>
    <w:rsid w:val="00A0471B"/>
    <w:rsid w:val="00A04C90"/>
    <w:rsid w:val="00A06959"/>
    <w:rsid w:val="00A11247"/>
    <w:rsid w:val="00A14E41"/>
    <w:rsid w:val="00A15C83"/>
    <w:rsid w:val="00A21E0E"/>
    <w:rsid w:val="00A24402"/>
    <w:rsid w:val="00A24712"/>
    <w:rsid w:val="00A32722"/>
    <w:rsid w:val="00A36E8C"/>
    <w:rsid w:val="00A4480F"/>
    <w:rsid w:val="00A5254E"/>
    <w:rsid w:val="00A56550"/>
    <w:rsid w:val="00A61D93"/>
    <w:rsid w:val="00A64E0C"/>
    <w:rsid w:val="00A71E1C"/>
    <w:rsid w:val="00A7209F"/>
    <w:rsid w:val="00A873F8"/>
    <w:rsid w:val="00A90560"/>
    <w:rsid w:val="00AA31E7"/>
    <w:rsid w:val="00AA7059"/>
    <w:rsid w:val="00AB08CD"/>
    <w:rsid w:val="00AB68C5"/>
    <w:rsid w:val="00AD2469"/>
    <w:rsid w:val="00AD5CA0"/>
    <w:rsid w:val="00AE056F"/>
    <w:rsid w:val="00AE195E"/>
    <w:rsid w:val="00AE25A2"/>
    <w:rsid w:val="00AE671B"/>
    <w:rsid w:val="00AE6891"/>
    <w:rsid w:val="00AF2BE8"/>
    <w:rsid w:val="00AF349A"/>
    <w:rsid w:val="00B06998"/>
    <w:rsid w:val="00B12167"/>
    <w:rsid w:val="00B14C8C"/>
    <w:rsid w:val="00B220E6"/>
    <w:rsid w:val="00B25CDA"/>
    <w:rsid w:val="00B26946"/>
    <w:rsid w:val="00B27A91"/>
    <w:rsid w:val="00B36114"/>
    <w:rsid w:val="00B379D6"/>
    <w:rsid w:val="00B4196E"/>
    <w:rsid w:val="00B4298A"/>
    <w:rsid w:val="00B433BF"/>
    <w:rsid w:val="00B43B6F"/>
    <w:rsid w:val="00B469C3"/>
    <w:rsid w:val="00B47583"/>
    <w:rsid w:val="00B51572"/>
    <w:rsid w:val="00B600C6"/>
    <w:rsid w:val="00B702D7"/>
    <w:rsid w:val="00B75D56"/>
    <w:rsid w:val="00B80733"/>
    <w:rsid w:val="00B864D0"/>
    <w:rsid w:val="00B927D8"/>
    <w:rsid w:val="00B948EC"/>
    <w:rsid w:val="00B97C9B"/>
    <w:rsid w:val="00BA0C3E"/>
    <w:rsid w:val="00BA26ED"/>
    <w:rsid w:val="00BA3F2D"/>
    <w:rsid w:val="00BB303C"/>
    <w:rsid w:val="00BC0A24"/>
    <w:rsid w:val="00BD33CB"/>
    <w:rsid w:val="00BD3DDF"/>
    <w:rsid w:val="00BD7A08"/>
    <w:rsid w:val="00BE16D9"/>
    <w:rsid w:val="00BE2B49"/>
    <w:rsid w:val="00BE3652"/>
    <w:rsid w:val="00BF4533"/>
    <w:rsid w:val="00C0532D"/>
    <w:rsid w:val="00C05560"/>
    <w:rsid w:val="00C070E5"/>
    <w:rsid w:val="00C10911"/>
    <w:rsid w:val="00C11B9A"/>
    <w:rsid w:val="00C163B5"/>
    <w:rsid w:val="00C26165"/>
    <w:rsid w:val="00C372B8"/>
    <w:rsid w:val="00C37430"/>
    <w:rsid w:val="00C40C29"/>
    <w:rsid w:val="00C411E6"/>
    <w:rsid w:val="00C42220"/>
    <w:rsid w:val="00C42DC7"/>
    <w:rsid w:val="00C46478"/>
    <w:rsid w:val="00C47612"/>
    <w:rsid w:val="00C525A8"/>
    <w:rsid w:val="00C55387"/>
    <w:rsid w:val="00C617DB"/>
    <w:rsid w:val="00C61CBE"/>
    <w:rsid w:val="00C6423B"/>
    <w:rsid w:val="00C704CD"/>
    <w:rsid w:val="00C73825"/>
    <w:rsid w:val="00C812A5"/>
    <w:rsid w:val="00C8311F"/>
    <w:rsid w:val="00C83AF7"/>
    <w:rsid w:val="00C84574"/>
    <w:rsid w:val="00CA138C"/>
    <w:rsid w:val="00CA4309"/>
    <w:rsid w:val="00CA4BEB"/>
    <w:rsid w:val="00CA652B"/>
    <w:rsid w:val="00CA67D2"/>
    <w:rsid w:val="00CB6450"/>
    <w:rsid w:val="00CC4CF5"/>
    <w:rsid w:val="00CC7570"/>
    <w:rsid w:val="00CD0872"/>
    <w:rsid w:val="00CD3B54"/>
    <w:rsid w:val="00CD3CB0"/>
    <w:rsid w:val="00CD6AB2"/>
    <w:rsid w:val="00CE171E"/>
    <w:rsid w:val="00CE357F"/>
    <w:rsid w:val="00CE73BF"/>
    <w:rsid w:val="00D066B4"/>
    <w:rsid w:val="00D1454B"/>
    <w:rsid w:val="00D172B5"/>
    <w:rsid w:val="00D17A8B"/>
    <w:rsid w:val="00D23BEF"/>
    <w:rsid w:val="00D259D6"/>
    <w:rsid w:val="00D655E2"/>
    <w:rsid w:val="00D657AB"/>
    <w:rsid w:val="00D67344"/>
    <w:rsid w:val="00D8241D"/>
    <w:rsid w:val="00D84533"/>
    <w:rsid w:val="00D84B6C"/>
    <w:rsid w:val="00D85716"/>
    <w:rsid w:val="00DA224D"/>
    <w:rsid w:val="00DC095C"/>
    <w:rsid w:val="00DD0918"/>
    <w:rsid w:val="00DD6BB7"/>
    <w:rsid w:val="00DE193E"/>
    <w:rsid w:val="00DF3DAD"/>
    <w:rsid w:val="00DF55B0"/>
    <w:rsid w:val="00E0003E"/>
    <w:rsid w:val="00E01086"/>
    <w:rsid w:val="00E06BD4"/>
    <w:rsid w:val="00E06DEF"/>
    <w:rsid w:val="00E12B44"/>
    <w:rsid w:val="00E12E68"/>
    <w:rsid w:val="00E162A4"/>
    <w:rsid w:val="00E224E2"/>
    <w:rsid w:val="00E23624"/>
    <w:rsid w:val="00E3047B"/>
    <w:rsid w:val="00E357AA"/>
    <w:rsid w:val="00E47259"/>
    <w:rsid w:val="00E47FFD"/>
    <w:rsid w:val="00E534A2"/>
    <w:rsid w:val="00E55481"/>
    <w:rsid w:val="00E56918"/>
    <w:rsid w:val="00E56DF7"/>
    <w:rsid w:val="00E57C4D"/>
    <w:rsid w:val="00E60139"/>
    <w:rsid w:val="00E73793"/>
    <w:rsid w:val="00E7450A"/>
    <w:rsid w:val="00E858B0"/>
    <w:rsid w:val="00E875C4"/>
    <w:rsid w:val="00E95FFB"/>
    <w:rsid w:val="00E96F17"/>
    <w:rsid w:val="00E96FC2"/>
    <w:rsid w:val="00EB17D2"/>
    <w:rsid w:val="00EB3A89"/>
    <w:rsid w:val="00EB52F9"/>
    <w:rsid w:val="00EC14AB"/>
    <w:rsid w:val="00EC319B"/>
    <w:rsid w:val="00EC7891"/>
    <w:rsid w:val="00ED1EEC"/>
    <w:rsid w:val="00EE1027"/>
    <w:rsid w:val="00EE11D0"/>
    <w:rsid w:val="00EE315E"/>
    <w:rsid w:val="00EE4705"/>
    <w:rsid w:val="00EE74BD"/>
    <w:rsid w:val="00F00C5A"/>
    <w:rsid w:val="00F015A8"/>
    <w:rsid w:val="00F07D30"/>
    <w:rsid w:val="00F11C2D"/>
    <w:rsid w:val="00F201E9"/>
    <w:rsid w:val="00F25727"/>
    <w:rsid w:val="00F26DE8"/>
    <w:rsid w:val="00F27D2E"/>
    <w:rsid w:val="00F42F1D"/>
    <w:rsid w:val="00F47C91"/>
    <w:rsid w:val="00F540E4"/>
    <w:rsid w:val="00F5571C"/>
    <w:rsid w:val="00F80949"/>
    <w:rsid w:val="00F84648"/>
    <w:rsid w:val="00F84AF9"/>
    <w:rsid w:val="00F874C9"/>
    <w:rsid w:val="00F87D33"/>
    <w:rsid w:val="00F87DA7"/>
    <w:rsid w:val="00F90DBC"/>
    <w:rsid w:val="00F95C2E"/>
    <w:rsid w:val="00FA383D"/>
    <w:rsid w:val="00FB06B7"/>
    <w:rsid w:val="00FB0919"/>
    <w:rsid w:val="00FB3E27"/>
    <w:rsid w:val="00FB54E5"/>
    <w:rsid w:val="00FC178F"/>
    <w:rsid w:val="00FD15A7"/>
    <w:rsid w:val="00FD31B6"/>
    <w:rsid w:val="00FD72DE"/>
    <w:rsid w:val="00FE183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8C4"/>
    <w:pPr>
      <w:spacing w:after="200" w:line="276" w:lineRule="auto"/>
    </w:pPr>
    <w:rPr>
      <w:rFonts w:cs="Times New Roman"/>
    </w:rPr>
  </w:style>
  <w:style w:type="paragraph" w:styleId="Heading1">
    <w:name w:val="heading 1"/>
    <w:basedOn w:val="Normal"/>
    <w:next w:val="Body1"/>
    <w:link w:val="Heading1Char"/>
    <w:uiPriority w:val="9"/>
    <w:qFormat/>
    <w:locked/>
    <w:rsid w:val="002D46C6"/>
    <w:pPr>
      <w:keepNext/>
      <w:keepLines/>
      <w:numPr>
        <w:numId w:val="29"/>
      </w:numPr>
      <w:spacing w:before="480" w:after="0"/>
      <w:outlineLvl w:val="0"/>
    </w:pPr>
    <w:rPr>
      <w:rFonts w:eastAsiaTheme="majorEastAsia"/>
      <w:b/>
      <w:bCs/>
      <w:szCs w:val="28"/>
    </w:rPr>
  </w:style>
  <w:style w:type="paragraph" w:styleId="Heading2">
    <w:name w:val="heading 2"/>
    <w:basedOn w:val="Normal"/>
    <w:next w:val="Body2"/>
    <w:link w:val="Heading2Char"/>
    <w:uiPriority w:val="9"/>
    <w:unhideWhenUsed/>
    <w:qFormat/>
    <w:locked/>
    <w:rsid w:val="002D46C6"/>
    <w:pPr>
      <w:keepNext/>
      <w:keepLines/>
      <w:numPr>
        <w:ilvl w:val="1"/>
        <w:numId w:val="29"/>
      </w:numPr>
      <w:spacing w:before="200" w:after="0"/>
      <w:outlineLvl w:val="1"/>
    </w:pPr>
    <w:rPr>
      <w:rFonts w:eastAsiaTheme="majorEastAsia"/>
      <w:b/>
      <w:bCs/>
      <w:szCs w:val="26"/>
    </w:rPr>
  </w:style>
  <w:style w:type="paragraph" w:styleId="Heading3">
    <w:name w:val="heading 3"/>
    <w:basedOn w:val="Normal"/>
    <w:next w:val="Body3"/>
    <w:link w:val="Heading3Char"/>
    <w:uiPriority w:val="9"/>
    <w:unhideWhenUsed/>
    <w:qFormat/>
    <w:locked/>
    <w:rsid w:val="002D46C6"/>
    <w:pPr>
      <w:keepNext/>
      <w:keepLines/>
      <w:numPr>
        <w:ilvl w:val="2"/>
        <w:numId w:val="29"/>
      </w:numPr>
      <w:spacing w:before="200" w:after="0"/>
      <w:outlineLvl w:val="2"/>
    </w:pPr>
    <w:rPr>
      <w:rFonts w:eastAsiaTheme="majorEastAsia"/>
      <w:bCs/>
      <w:u w:val="single"/>
    </w:rPr>
  </w:style>
  <w:style w:type="paragraph" w:styleId="Heading4">
    <w:name w:val="heading 4"/>
    <w:basedOn w:val="Normal"/>
    <w:next w:val="Normal"/>
    <w:link w:val="Heading4Char"/>
    <w:autoRedefine/>
    <w:uiPriority w:val="9"/>
    <w:unhideWhenUsed/>
    <w:qFormat/>
    <w:locked/>
    <w:rsid w:val="002D46C6"/>
    <w:pPr>
      <w:keepNext/>
      <w:keepLines/>
      <w:numPr>
        <w:ilvl w:val="3"/>
        <w:numId w:val="29"/>
      </w:numPr>
      <w:spacing w:before="200" w:after="0"/>
      <w:outlineLvl w:val="3"/>
    </w:pPr>
    <w:rPr>
      <w:rFonts w:eastAsiaTheme="majorEastAsia"/>
      <w:bCs/>
      <w:iCs/>
    </w:rPr>
  </w:style>
  <w:style w:type="paragraph" w:styleId="Heading5">
    <w:name w:val="heading 5"/>
    <w:basedOn w:val="Normal"/>
    <w:next w:val="Normal"/>
    <w:link w:val="Heading5Char"/>
    <w:autoRedefine/>
    <w:uiPriority w:val="9"/>
    <w:unhideWhenUsed/>
    <w:qFormat/>
    <w:locked/>
    <w:rsid w:val="002D46C6"/>
    <w:pPr>
      <w:keepNext/>
      <w:keepLines/>
      <w:numPr>
        <w:ilvl w:val="4"/>
        <w:numId w:val="29"/>
      </w:numPr>
      <w:spacing w:before="200" w:after="0"/>
      <w:outlineLvl w:val="4"/>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D38C4"/>
    <w:rPr>
      <w:rFonts w:eastAsiaTheme="majorEastAsia" w:cs="Times New Roman"/>
      <w:b/>
      <w:bCs/>
      <w:sz w:val="28"/>
      <w:szCs w:val="28"/>
    </w:rPr>
  </w:style>
  <w:style w:type="character" w:customStyle="1" w:styleId="Heading2Char">
    <w:name w:val="Heading 2 Char"/>
    <w:basedOn w:val="DefaultParagraphFont"/>
    <w:link w:val="Heading2"/>
    <w:uiPriority w:val="9"/>
    <w:locked/>
    <w:rsid w:val="006D38C4"/>
    <w:rPr>
      <w:rFonts w:eastAsiaTheme="majorEastAsia" w:cs="Times New Roman"/>
      <w:b/>
      <w:bCs/>
      <w:sz w:val="26"/>
      <w:szCs w:val="26"/>
    </w:rPr>
  </w:style>
  <w:style w:type="character" w:customStyle="1" w:styleId="Heading3Char">
    <w:name w:val="Heading 3 Char"/>
    <w:basedOn w:val="DefaultParagraphFont"/>
    <w:link w:val="Heading3"/>
    <w:uiPriority w:val="9"/>
    <w:locked/>
    <w:rsid w:val="00825350"/>
    <w:rPr>
      <w:rFonts w:eastAsiaTheme="majorEastAsia" w:cs="Times New Roman"/>
      <w:bCs/>
      <w:u w:val="single"/>
    </w:rPr>
  </w:style>
  <w:style w:type="character" w:customStyle="1" w:styleId="Heading4Char">
    <w:name w:val="Heading 4 Char"/>
    <w:basedOn w:val="DefaultParagraphFont"/>
    <w:link w:val="Heading4"/>
    <w:uiPriority w:val="9"/>
    <w:locked/>
    <w:rsid w:val="006D38C4"/>
    <w:rPr>
      <w:rFonts w:eastAsiaTheme="majorEastAsia" w:cs="Times New Roman"/>
      <w:bCs/>
      <w:iCs/>
    </w:rPr>
  </w:style>
  <w:style w:type="character" w:customStyle="1" w:styleId="Heading5Char">
    <w:name w:val="Heading 5 Char"/>
    <w:basedOn w:val="DefaultParagraphFont"/>
    <w:link w:val="Heading5"/>
    <w:uiPriority w:val="9"/>
    <w:locked/>
    <w:rsid w:val="006D38C4"/>
    <w:rPr>
      <w:rFonts w:eastAsiaTheme="majorEastAsia" w:cs="Times New Roman"/>
    </w:rPr>
  </w:style>
  <w:style w:type="paragraph" w:styleId="ListParagraph">
    <w:name w:val="List Paragraph"/>
    <w:basedOn w:val="Normal"/>
    <w:uiPriority w:val="99"/>
    <w:qFormat/>
    <w:rsid w:val="006D38C4"/>
    <w:pPr>
      <w:ind w:left="720"/>
      <w:contextualSpacing/>
    </w:pPr>
  </w:style>
  <w:style w:type="paragraph" w:styleId="Caption">
    <w:name w:val="caption"/>
    <w:basedOn w:val="Normal"/>
    <w:next w:val="Normal"/>
    <w:uiPriority w:val="99"/>
    <w:qFormat/>
    <w:rsid w:val="006D38C4"/>
    <w:pPr>
      <w:spacing w:line="240" w:lineRule="auto"/>
    </w:pPr>
    <w:rPr>
      <w:b/>
      <w:bCs/>
      <w:color w:val="4F81BD"/>
      <w:sz w:val="18"/>
      <w:szCs w:val="18"/>
    </w:rPr>
  </w:style>
  <w:style w:type="table" w:styleId="TableGrid">
    <w:name w:val="Table Grid"/>
    <w:basedOn w:val="TableNormal"/>
    <w:uiPriority w:val="59"/>
    <w:rsid w:val="006D38C4"/>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D38C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D38C4"/>
    <w:rPr>
      <w:rFonts w:cs="Times New Roman"/>
    </w:rPr>
  </w:style>
  <w:style w:type="paragraph" w:styleId="Footer">
    <w:name w:val="footer"/>
    <w:basedOn w:val="Normal"/>
    <w:link w:val="FooterChar"/>
    <w:uiPriority w:val="99"/>
    <w:rsid w:val="006D38C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D38C4"/>
    <w:rPr>
      <w:rFonts w:cs="Times New Roman"/>
    </w:rPr>
  </w:style>
  <w:style w:type="paragraph" w:styleId="FootnoteText">
    <w:name w:val="footnote text"/>
    <w:basedOn w:val="Normal"/>
    <w:link w:val="FootnoteTextChar"/>
    <w:uiPriority w:val="99"/>
    <w:semiHidden/>
    <w:rsid w:val="006D38C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D38C4"/>
    <w:rPr>
      <w:rFonts w:cs="Times New Roman"/>
      <w:sz w:val="20"/>
      <w:szCs w:val="20"/>
    </w:rPr>
  </w:style>
  <w:style w:type="character" w:styleId="FootnoteReference">
    <w:name w:val="footnote reference"/>
    <w:basedOn w:val="DefaultParagraphFont"/>
    <w:uiPriority w:val="99"/>
    <w:semiHidden/>
    <w:rsid w:val="006D38C4"/>
    <w:rPr>
      <w:rFonts w:cs="Times New Roman"/>
      <w:vertAlign w:val="superscript"/>
    </w:rPr>
  </w:style>
  <w:style w:type="character" w:styleId="CommentReference">
    <w:name w:val="annotation reference"/>
    <w:basedOn w:val="DefaultParagraphFont"/>
    <w:uiPriority w:val="99"/>
    <w:semiHidden/>
    <w:unhideWhenUsed/>
    <w:rsid w:val="006D38C4"/>
    <w:rPr>
      <w:rFonts w:cs="Times New Roman"/>
      <w:sz w:val="16"/>
      <w:szCs w:val="16"/>
    </w:rPr>
  </w:style>
  <w:style w:type="paragraph" w:styleId="CommentText">
    <w:name w:val="annotation text"/>
    <w:basedOn w:val="Normal"/>
    <w:link w:val="CommentTextChar"/>
    <w:uiPriority w:val="99"/>
    <w:semiHidden/>
    <w:unhideWhenUsed/>
    <w:rsid w:val="006D38C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38C4"/>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38C4"/>
    <w:rPr>
      <w:b/>
      <w:bCs/>
    </w:rPr>
  </w:style>
  <w:style w:type="character" w:customStyle="1" w:styleId="CommentSubjectChar">
    <w:name w:val="Comment Subject Char"/>
    <w:basedOn w:val="CommentTextChar"/>
    <w:link w:val="CommentSubject"/>
    <w:uiPriority w:val="99"/>
    <w:semiHidden/>
    <w:locked/>
    <w:rsid w:val="006D38C4"/>
    <w:rPr>
      <w:rFonts w:cs="Times New Roman"/>
      <w:b/>
      <w:bCs/>
      <w:sz w:val="20"/>
      <w:szCs w:val="20"/>
    </w:rPr>
  </w:style>
  <w:style w:type="paragraph" w:styleId="BalloonText">
    <w:name w:val="Balloon Text"/>
    <w:basedOn w:val="Normal"/>
    <w:link w:val="BalloonTextChar"/>
    <w:uiPriority w:val="99"/>
    <w:semiHidden/>
    <w:unhideWhenUsed/>
    <w:rsid w:val="006D38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38C4"/>
    <w:rPr>
      <w:rFonts w:ascii="Tahoma" w:hAnsi="Tahoma" w:cs="Tahoma"/>
      <w:sz w:val="16"/>
      <w:szCs w:val="16"/>
    </w:rPr>
  </w:style>
  <w:style w:type="paragraph" w:styleId="EndnoteText">
    <w:name w:val="endnote text"/>
    <w:basedOn w:val="Normal"/>
    <w:link w:val="EndnoteTextChar"/>
    <w:uiPriority w:val="99"/>
    <w:semiHidden/>
    <w:unhideWhenUsed/>
    <w:rsid w:val="006D38C4"/>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6D38C4"/>
    <w:rPr>
      <w:rFonts w:cs="Times New Roman"/>
      <w:sz w:val="20"/>
      <w:szCs w:val="20"/>
    </w:rPr>
  </w:style>
  <w:style w:type="character" w:styleId="EndnoteReference">
    <w:name w:val="endnote reference"/>
    <w:basedOn w:val="DefaultParagraphFont"/>
    <w:uiPriority w:val="99"/>
    <w:semiHidden/>
    <w:unhideWhenUsed/>
    <w:rsid w:val="006D38C4"/>
    <w:rPr>
      <w:rFonts w:cs="Times New Roman"/>
      <w:vertAlign w:val="superscript"/>
    </w:rPr>
  </w:style>
  <w:style w:type="paragraph" w:styleId="Title">
    <w:name w:val="Title"/>
    <w:basedOn w:val="Normal"/>
    <w:next w:val="Normal"/>
    <w:link w:val="TitleChar"/>
    <w:autoRedefine/>
    <w:uiPriority w:val="10"/>
    <w:qFormat/>
    <w:locked/>
    <w:rsid w:val="006D38C4"/>
    <w:pPr>
      <w:spacing w:after="0" w:line="240" w:lineRule="auto"/>
    </w:pPr>
    <w:rPr>
      <w:b/>
      <w:caps/>
      <w:sz w:val="24"/>
      <w:szCs w:val="24"/>
    </w:rPr>
  </w:style>
  <w:style w:type="character" w:customStyle="1" w:styleId="TitleChar">
    <w:name w:val="Title Char"/>
    <w:basedOn w:val="DefaultParagraphFont"/>
    <w:link w:val="Title"/>
    <w:uiPriority w:val="10"/>
    <w:locked/>
    <w:rsid w:val="006D38C4"/>
    <w:rPr>
      <w:rFonts w:cs="Times New Roman"/>
      <w:b/>
      <w:caps/>
      <w:sz w:val="24"/>
      <w:szCs w:val="24"/>
    </w:rPr>
  </w:style>
  <w:style w:type="paragraph" w:styleId="Subtitle">
    <w:name w:val="Subtitle"/>
    <w:basedOn w:val="Normal"/>
    <w:next w:val="Normal"/>
    <w:link w:val="SubtitleChar"/>
    <w:uiPriority w:val="11"/>
    <w:qFormat/>
    <w:locked/>
    <w:rsid w:val="006D38C4"/>
    <w:pPr>
      <w:spacing w:after="0" w:line="240" w:lineRule="auto"/>
    </w:pPr>
    <w:rPr>
      <w:b/>
      <w:sz w:val="24"/>
      <w:szCs w:val="24"/>
    </w:rPr>
  </w:style>
  <w:style w:type="character" w:customStyle="1" w:styleId="SubtitleChar">
    <w:name w:val="Subtitle Char"/>
    <w:basedOn w:val="DefaultParagraphFont"/>
    <w:link w:val="Subtitle"/>
    <w:uiPriority w:val="11"/>
    <w:locked/>
    <w:rsid w:val="006D38C4"/>
    <w:rPr>
      <w:rFonts w:cs="Times New Roman"/>
      <w:b/>
      <w:sz w:val="24"/>
      <w:szCs w:val="24"/>
    </w:rPr>
  </w:style>
  <w:style w:type="paragraph" w:customStyle="1" w:styleId="DispositionDate">
    <w:name w:val="Disposition Date"/>
    <w:basedOn w:val="Normal"/>
    <w:autoRedefine/>
    <w:qFormat/>
    <w:rsid w:val="006D38C4"/>
    <w:rPr>
      <w:sz w:val="24"/>
      <w:szCs w:val="24"/>
    </w:rPr>
  </w:style>
  <w:style w:type="paragraph" w:styleId="TOC1">
    <w:name w:val="toc 1"/>
    <w:basedOn w:val="Normal"/>
    <w:next w:val="Heading1"/>
    <w:autoRedefine/>
    <w:uiPriority w:val="39"/>
    <w:locked/>
    <w:rsid w:val="006D38C4"/>
  </w:style>
  <w:style w:type="paragraph" w:styleId="TOC2">
    <w:name w:val="toc 2"/>
    <w:basedOn w:val="TOC1"/>
    <w:next w:val="Normal"/>
    <w:autoRedefine/>
    <w:uiPriority w:val="39"/>
    <w:locked/>
    <w:rsid w:val="006D38C4"/>
    <w:pPr>
      <w:spacing w:before="100" w:after="100"/>
      <w:ind w:left="216"/>
    </w:pPr>
  </w:style>
  <w:style w:type="paragraph" w:styleId="TOC3">
    <w:name w:val="toc 3"/>
    <w:basedOn w:val="Normal"/>
    <w:next w:val="Normal"/>
    <w:autoRedefine/>
    <w:uiPriority w:val="39"/>
    <w:locked/>
    <w:rsid w:val="006D38C4"/>
    <w:pPr>
      <w:spacing w:before="100" w:after="100"/>
      <w:ind w:left="720"/>
    </w:pPr>
    <w:rPr>
      <w:rFonts w:asciiTheme="minorHAnsi" w:eastAsiaTheme="majorEastAsia" w:hAnsiTheme="minorHAnsi"/>
      <w:bCs/>
    </w:rPr>
  </w:style>
  <w:style w:type="paragraph" w:customStyle="1" w:styleId="Body1">
    <w:name w:val="Body1"/>
    <w:basedOn w:val="Normal"/>
    <w:qFormat/>
    <w:rsid w:val="006D38C4"/>
  </w:style>
  <w:style w:type="paragraph" w:customStyle="1" w:styleId="Body2">
    <w:name w:val="Body2"/>
    <w:basedOn w:val="Normal"/>
    <w:qFormat/>
    <w:rsid w:val="006D38C4"/>
    <w:pPr>
      <w:ind w:left="216"/>
    </w:pPr>
  </w:style>
  <w:style w:type="paragraph" w:customStyle="1" w:styleId="Body3">
    <w:name w:val="Body3"/>
    <w:basedOn w:val="Body2"/>
    <w:qFormat/>
    <w:rsid w:val="00DF55B0"/>
    <w:pPr>
      <w:spacing w:after="0"/>
      <w:ind w:left="720"/>
    </w:pPr>
  </w:style>
  <w:style w:type="character" w:styleId="Hyperlink">
    <w:name w:val="Hyperlink"/>
    <w:basedOn w:val="DefaultParagraphFont"/>
    <w:uiPriority w:val="99"/>
    <w:unhideWhenUsed/>
    <w:rsid w:val="006D38C4"/>
    <w:rPr>
      <w:rFonts w:cs="Times New Roman"/>
      <w:color w:val="0000FF" w:themeColor="hyperlink"/>
      <w:u w:val="single"/>
    </w:rPr>
  </w:style>
  <w:style w:type="paragraph" w:styleId="Revision">
    <w:name w:val="Revision"/>
    <w:hidden/>
    <w:uiPriority w:val="99"/>
    <w:semiHidden/>
    <w:rsid w:val="00E12B44"/>
    <w:rPr>
      <w:rFonts w:cs="Times New Roman"/>
    </w:rPr>
  </w:style>
  <w:style w:type="numbering" w:customStyle="1" w:styleId="Dispositions">
    <w:name w:val="Dispositions"/>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8C4"/>
    <w:pPr>
      <w:spacing w:after="200" w:line="276" w:lineRule="auto"/>
    </w:pPr>
    <w:rPr>
      <w:rFonts w:cs="Times New Roman"/>
    </w:rPr>
  </w:style>
  <w:style w:type="paragraph" w:styleId="Heading1">
    <w:name w:val="heading 1"/>
    <w:basedOn w:val="Normal"/>
    <w:next w:val="Body1"/>
    <w:link w:val="Heading1Char"/>
    <w:uiPriority w:val="9"/>
    <w:qFormat/>
    <w:locked/>
    <w:rsid w:val="002D46C6"/>
    <w:pPr>
      <w:keepNext/>
      <w:keepLines/>
      <w:numPr>
        <w:numId w:val="29"/>
      </w:numPr>
      <w:spacing w:before="480" w:after="0"/>
      <w:outlineLvl w:val="0"/>
    </w:pPr>
    <w:rPr>
      <w:rFonts w:eastAsiaTheme="majorEastAsia"/>
      <w:b/>
      <w:bCs/>
      <w:szCs w:val="28"/>
    </w:rPr>
  </w:style>
  <w:style w:type="paragraph" w:styleId="Heading2">
    <w:name w:val="heading 2"/>
    <w:basedOn w:val="Normal"/>
    <w:next w:val="Body2"/>
    <w:link w:val="Heading2Char"/>
    <w:uiPriority w:val="9"/>
    <w:unhideWhenUsed/>
    <w:qFormat/>
    <w:locked/>
    <w:rsid w:val="002D46C6"/>
    <w:pPr>
      <w:keepNext/>
      <w:keepLines/>
      <w:numPr>
        <w:ilvl w:val="1"/>
        <w:numId w:val="29"/>
      </w:numPr>
      <w:spacing w:before="200" w:after="0"/>
      <w:outlineLvl w:val="1"/>
    </w:pPr>
    <w:rPr>
      <w:rFonts w:eastAsiaTheme="majorEastAsia"/>
      <w:b/>
      <w:bCs/>
      <w:szCs w:val="26"/>
    </w:rPr>
  </w:style>
  <w:style w:type="paragraph" w:styleId="Heading3">
    <w:name w:val="heading 3"/>
    <w:basedOn w:val="Normal"/>
    <w:next w:val="Body3"/>
    <w:link w:val="Heading3Char"/>
    <w:uiPriority w:val="9"/>
    <w:unhideWhenUsed/>
    <w:qFormat/>
    <w:locked/>
    <w:rsid w:val="002D46C6"/>
    <w:pPr>
      <w:keepNext/>
      <w:keepLines/>
      <w:numPr>
        <w:ilvl w:val="2"/>
        <w:numId w:val="29"/>
      </w:numPr>
      <w:spacing w:before="200" w:after="0"/>
      <w:outlineLvl w:val="2"/>
    </w:pPr>
    <w:rPr>
      <w:rFonts w:eastAsiaTheme="majorEastAsia"/>
      <w:bCs/>
      <w:u w:val="single"/>
    </w:rPr>
  </w:style>
  <w:style w:type="paragraph" w:styleId="Heading4">
    <w:name w:val="heading 4"/>
    <w:basedOn w:val="Normal"/>
    <w:next w:val="Normal"/>
    <w:link w:val="Heading4Char"/>
    <w:autoRedefine/>
    <w:uiPriority w:val="9"/>
    <w:unhideWhenUsed/>
    <w:qFormat/>
    <w:locked/>
    <w:rsid w:val="002D46C6"/>
    <w:pPr>
      <w:keepNext/>
      <w:keepLines/>
      <w:numPr>
        <w:ilvl w:val="3"/>
        <w:numId w:val="29"/>
      </w:numPr>
      <w:spacing w:before="200" w:after="0"/>
      <w:outlineLvl w:val="3"/>
    </w:pPr>
    <w:rPr>
      <w:rFonts w:eastAsiaTheme="majorEastAsia"/>
      <w:bCs/>
      <w:iCs/>
    </w:rPr>
  </w:style>
  <w:style w:type="paragraph" w:styleId="Heading5">
    <w:name w:val="heading 5"/>
    <w:basedOn w:val="Normal"/>
    <w:next w:val="Normal"/>
    <w:link w:val="Heading5Char"/>
    <w:autoRedefine/>
    <w:uiPriority w:val="9"/>
    <w:unhideWhenUsed/>
    <w:qFormat/>
    <w:locked/>
    <w:rsid w:val="002D46C6"/>
    <w:pPr>
      <w:keepNext/>
      <w:keepLines/>
      <w:numPr>
        <w:ilvl w:val="4"/>
        <w:numId w:val="29"/>
      </w:numPr>
      <w:spacing w:before="200" w:after="0"/>
      <w:outlineLvl w:val="4"/>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D38C4"/>
    <w:rPr>
      <w:rFonts w:eastAsiaTheme="majorEastAsia" w:cs="Times New Roman"/>
      <w:b/>
      <w:bCs/>
      <w:sz w:val="28"/>
      <w:szCs w:val="28"/>
    </w:rPr>
  </w:style>
  <w:style w:type="character" w:customStyle="1" w:styleId="Heading2Char">
    <w:name w:val="Heading 2 Char"/>
    <w:basedOn w:val="DefaultParagraphFont"/>
    <w:link w:val="Heading2"/>
    <w:uiPriority w:val="9"/>
    <w:locked/>
    <w:rsid w:val="006D38C4"/>
    <w:rPr>
      <w:rFonts w:eastAsiaTheme="majorEastAsia" w:cs="Times New Roman"/>
      <w:b/>
      <w:bCs/>
      <w:sz w:val="26"/>
      <w:szCs w:val="26"/>
    </w:rPr>
  </w:style>
  <w:style w:type="character" w:customStyle="1" w:styleId="Heading3Char">
    <w:name w:val="Heading 3 Char"/>
    <w:basedOn w:val="DefaultParagraphFont"/>
    <w:link w:val="Heading3"/>
    <w:uiPriority w:val="9"/>
    <w:locked/>
    <w:rsid w:val="00825350"/>
    <w:rPr>
      <w:rFonts w:eastAsiaTheme="majorEastAsia" w:cs="Times New Roman"/>
      <w:bCs/>
      <w:u w:val="single"/>
    </w:rPr>
  </w:style>
  <w:style w:type="character" w:customStyle="1" w:styleId="Heading4Char">
    <w:name w:val="Heading 4 Char"/>
    <w:basedOn w:val="DefaultParagraphFont"/>
    <w:link w:val="Heading4"/>
    <w:uiPriority w:val="9"/>
    <w:locked/>
    <w:rsid w:val="006D38C4"/>
    <w:rPr>
      <w:rFonts w:eastAsiaTheme="majorEastAsia" w:cs="Times New Roman"/>
      <w:bCs/>
      <w:iCs/>
    </w:rPr>
  </w:style>
  <w:style w:type="character" w:customStyle="1" w:styleId="Heading5Char">
    <w:name w:val="Heading 5 Char"/>
    <w:basedOn w:val="DefaultParagraphFont"/>
    <w:link w:val="Heading5"/>
    <w:uiPriority w:val="9"/>
    <w:locked/>
    <w:rsid w:val="006D38C4"/>
    <w:rPr>
      <w:rFonts w:eastAsiaTheme="majorEastAsia" w:cs="Times New Roman"/>
    </w:rPr>
  </w:style>
  <w:style w:type="paragraph" w:styleId="ListParagraph">
    <w:name w:val="List Paragraph"/>
    <w:basedOn w:val="Normal"/>
    <w:uiPriority w:val="99"/>
    <w:qFormat/>
    <w:rsid w:val="006D38C4"/>
    <w:pPr>
      <w:ind w:left="720"/>
      <w:contextualSpacing/>
    </w:pPr>
  </w:style>
  <w:style w:type="paragraph" w:styleId="Caption">
    <w:name w:val="caption"/>
    <w:basedOn w:val="Normal"/>
    <w:next w:val="Normal"/>
    <w:uiPriority w:val="99"/>
    <w:qFormat/>
    <w:rsid w:val="006D38C4"/>
    <w:pPr>
      <w:spacing w:line="240" w:lineRule="auto"/>
    </w:pPr>
    <w:rPr>
      <w:b/>
      <w:bCs/>
      <w:color w:val="4F81BD"/>
      <w:sz w:val="18"/>
      <w:szCs w:val="18"/>
    </w:rPr>
  </w:style>
  <w:style w:type="table" w:styleId="TableGrid">
    <w:name w:val="Table Grid"/>
    <w:basedOn w:val="TableNormal"/>
    <w:uiPriority w:val="59"/>
    <w:rsid w:val="006D38C4"/>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D38C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D38C4"/>
    <w:rPr>
      <w:rFonts w:cs="Times New Roman"/>
    </w:rPr>
  </w:style>
  <w:style w:type="paragraph" w:styleId="Footer">
    <w:name w:val="footer"/>
    <w:basedOn w:val="Normal"/>
    <w:link w:val="FooterChar"/>
    <w:uiPriority w:val="99"/>
    <w:rsid w:val="006D38C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D38C4"/>
    <w:rPr>
      <w:rFonts w:cs="Times New Roman"/>
    </w:rPr>
  </w:style>
  <w:style w:type="paragraph" w:styleId="FootnoteText">
    <w:name w:val="footnote text"/>
    <w:basedOn w:val="Normal"/>
    <w:link w:val="FootnoteTextChar"/>
    <w:uiPriority w:val="99"/>
    <w:semiHidden/>
    <w:rsid w:val="006D38C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D38C4"/>
    <w:rPr>
      <w:rFonts w:cs="Times New Roman"/>
      <w:sz w:val="20"/>
      <w:szCs w:val="20"/>
    </w:rPr>
  </w:style>
  <w:style w:type="character" w:styleId="FootnoteReference">
    <w:name w:val="footnote reference"/>
    <w:basedOn w:val="DefaultParagraphFont"/>
    <w:uiPriority w:val="99"/>
    <w:semiHidden/>
    <w:rsid w:val="006D38C4"/>
    <w:rPr>
      <w:rFonts w:cs="Times New Roman"/>
      <w:vertAlign w:val="superscript"/>
    </w:rPr>
  </w:style>
  <w:style w:type="character" w:styleId="CommentReference">
    <w:name w:val="annotation reference"/>
    <w:basedOn w:val="DefaultParagraphFont"/>
    <w:uiPriority w:val="99"/>
    <w:semiHidden/>
    <w:unhideWhenUsed/>
    <w:rsid w:val="006D38C4"/>
    <w:rPr>
      <w:rFonts w:cs="Times New Roman"/>
      <w:sz w:val="16"/>
      <w:szCs w:val="16"/>
    </w:rPr>
  </w:style>
  <w:style w:type="paragraph" w:styleId="CommentText">
    <w:name w:val="annotation text"/>
    <w:basedOn w:val="Normal"/>
    <w:link w:val="CommentTextChar"/>
    <w:uiPriority w:val="99"/>
    <w:semiHidden/>
    <w:unhideWhenUsed/>
    <w:rsid w:val="006D38C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38C4"/>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38C4"/>
    <w:rPr>
      <w:b/>
      <w:bCs/>
    </w:rPr>
  </w:style>
  <w:style w:type="character" w:customStyle="1" w:styleId="CommentSubjectChar">
    <w:name w:val="Comment Subject Char"/>
    <w:basedOn w:val="CommentTextChar"/>
    <w:link w:val="CommentSubject"/>
    <w:uiPriority w:val="99"/>
    <w:semiHidden/>
    <w:locked/>
    <w:rsid w:val="006D38C4"/>
    <w:rPr>
      <w:rFonts w:cs="Times New Roman"/>
      <w:b/>
      <w:bCs/>
      <w:sz w:val="20"/>
      <w:szCs w:val="20"/>
    </w:rPr>
  </w:style>
  <w:style w:type="paragraph" w:styleId="BalloonText">
    <w:name w:val="Balloon Text"/>
    <w:basedOn w:val="Normal"/>
    <w:link w:val="BalloonTextChar"/>
    <w:uiPriority w:val="99"/>
    <w:semiHidden/>
    <w:unhideWhenUsed/>
    <w:rsid w:val="006D38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38C4"/>
    <w:rPr>
      <w:rFonts w:ascii="Tahoma" w:hAnsi="Tahoma" w:cs="Tahoma"/>
      <w:sz w:val="16"/>
      <w:szCs w:val="16"/>
    </w:rPr>
  </w:style>
  <w:style w:type="paragraph" w:styleId="EndnoteText">
    <w:name w:val="endnote text"/>
    <w:basedOn w:val="Normal"/>
    <w:link w:val="EndnoteTextChar"/>
    <w:uiPriority w:val="99"/>
    <w:semiHidden/>
    <w:unhideWhenUsed/>
    <w:rsid w:val="006D38C4"/>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6D38C4"/>
    <w:rPr>
      <w:rFonts w:cs="Times New Roman"/>
      <w:sz w:val="20"/>
      <w:szCs w:val="20"/>
    </w:rPr>
  </w:style>
  <w:style w:type="character" w:styleId="EndnoteReference">
    <w:name w:val="endnote reference"/>
    <w:basedOn w:val="DefaultParagraphFont"/>
    <w:uiPriority w:val="99"/>
    <w:semiHidden/>
    <w:unhideWhenUsed/>
    <w:rsid w:val="006D38C4"/>
    <w:rPr>
      <w:rFonts w:cs="Times New Roman"/>
      <w:vertAlign w:val="superscript"/>
    </w:rPr>
  </w:style>
  <w:style w:type="paragraph" w:styleId="Title">
    <w:name w:val="Title"/>
    <w:basedOn w:val="Normal"/>
    <w:next w:val="Normal"/>
    <w:link w:val="TitleChar"/>
    <w:autoRedefine/>
    <w:uiPriority w:val="10"/>
    <w:qFormat/>
    <w:locked/>
    <w:rsid w:val="006D38C4"/>
    <w:pPr>
      <w:spacing w:after="0" w:line="240" w:lineRule="auto"/>
    </w:pPr>
    <w:rPr>
      <w:b/>
      <w:caps/>
      <w:sz w:val="24"/>
      <w:szCs w:val="24"/>
    </w:rPr>
  </w:style>
  <w:style w:type="character" w:customStyle="1" w:styleId="TitleChar">
    <w:name w:val="Title Char"/>
    <w:basedOn w:val="DefaultParagraphFont"/>
    <w:link w:val="Title"/>
    <w:uiPriority w:val="10"/>
    <w:locked/>
    <w:rsid w:val="006D38C4"/>
    <w:rPr>
      <w:rFonts w:cs="Times New Roman"/>
      <w:b/>
      <w:caps/>
      <w:sz w:val="24"/>
      <w:szCs w:val="24"/>
    </w:rPr>
  </w:style>
  <w:style w:type="paragraph" w:styleId="Subtitle">
    <w:name w:val="Subtitle"/>
    <w:basedOn w:val="Normal"/>
    <w:next w:val="Normal"/>
    <w:link w:val="SubtitleChar"/>
    <w:uiPriority w:val="11"/>
    <w:qFormat/>
    <w:locked/>
    <w:rsid w:val="006D38C4"/>
    <w:pPr>
      <w:spacing w:after="0" w:line="240" w:lineRule="auto"/>
    </w:pPr>
    <w:rPr>
      <w:b/>
      <w:sz w:val="24"/>
      <w:szCs w:val="24"/>
    </w:rPr>
  </w:style>
  <w:style w:type="character" w:customStyle="1" w:styleId="SubtitleChar">
    <w:name w:val="Subtitle Char"/>
    <w:basedOn w:val="DefaultParagraphFont"/>
    <w:link w:val="Subtitle"/>
    <w:uiPriority w:val="11"/>
    <w:locked/>
    <w:rsid w:val="006D38C4"/>
    <w:rPr>
      <w:rFonts w:cs="Times New Roman"/>
      <w:b/>
      <w:sz w:val="24"/>
      <w:szCs w:val="24"/>
    </w:rPr>
  </w:style>
  <w:style w:type="paragraph" w:customStyle="1" w:styleId="DispositionDate">
    <w:name w:val="Disposition Date"/>
    <w:basedOn w:val="Normal"/>
    <w:autoRedefine/>
    <w:qFormat/>
    <w:rsid w:val="006D38C4"/>
    <w:rPr>
      <w:sz w:val="24"/>
      <w:szCs w:val="24"/>
    </w:rPr>
  </w:style>
  <w:style w:type="paragraph" w:styleId="TOC1">
    <w:name w:val="toc 1"/>
    <w:basedOn w:val="Normal"/>
    <w:next w:val="Heading1"/>
    <w:autoRedefine/>
    <w:uiPriority w:val="39"/>
    <w:locked/>
    <w:rsid w:val="006D38C4"/>
  </w:style>
  <w:style w:type="paragraph" w:styleId="TOC2">
    <w:name w:val="toc 2"/>
    <w:basedOn w:val="TOC1"/>
    <w:next w:val="Normal"/>
    <w:autoRedefine/>
    <w:uiPriority w:val="39"/>
    <w:locked/>
    <w:rsid w:val="006D38C4"/>
    <w:pPr>
      <w:spacing w:before="100" w:after="100"/>
      <w:ind w:left="216"/>
    </w:pPr>
  </w:style>
  <w:style w:type="paragraph" w:styleId="TOC3">
    <w:name w:val="toc 3"/>
    <w:basedOn w:val="Normal"/>
    <w:next w:val="Normal"/>
    <w:autoRedefine/>
    <w:uiPriority w:val="39"/>
    <w:locked/>
    <w:rsid w:val="006D38C4"/>
    <w:pPr>
      <w:spacing w:before="100" w:after="100"/>
      <w:ind w:left="720"/>
    </w:pPr>
    <w:rPr>
      <w:rFonts w:asciiTheme="minorHAnsi" w:eastAsiaTheme="majorEastAsia" w:hAnsiTheme="minorHAnsi"/>
      <w:bCs/>
    </w:rPr>
  </w:style>
  <w:style w:type="paragraph" w:customStyle="1" w:styleId="Body1">
    <w:name w:val="Body1"/>
    <w:basedOn w:val="Normal"/>
    <w:qFormat/>
    <w:rsid w:val="006D38C4"/>
  </w:style>
  <w:style w:type="paragraph" w:customStyle="1" w:styleId="Body2">
    <w:name w:val="Body2"/>
    <w:basedOn w:val="Normal"/>
    <w:qFormat/>
    <w:rsid w:val="006D38C4"/>
    <w:pPr>
      <w:ind w:left="216"/>
    </w:pPr>
  </w:style>
  <w:style w:type="paragraph" w:customStyle="1" w:styleId="Body3">
    <w:name w:val="Body3"/>
    <w:basedOn w:val="Body2"/>
    <w:qFormat/>
    <w:rsid w:val="00DF55B0"/>
    <w:pPr>
      <w:spacing w:after="0"/>
      <w:ind w:left="720"/>
    </w:pPr>
  </w:style>
  <w:style w:type="character" w:styleId="Hyperlink">
    <w:name w:val="Hyperlink"/>
    <w:basedOn w:val="DefaultParagraphFont"/>
    <w:uiPriority w:val="99"/>
    <w:unhideWhenUsed/>
    <w:rsid w:val="006D38C4"/>
    <w:rPr>
      <w:rFonts w:cs="Times New Roman"/>
      <w:color w:val="0000FF" w:themeColor="hyperlink"/>
      <w:u w:val="single"/>
    </w:rPr>
  </w:style>
  <w:style w:type="paragraph" w:styleId="Revision">
    <w:name w:val="Revision"/>
    <w:hidden/>
    <w:uiPriority w:val="99"/>
    <w:semiHidden/>
    <w:rsid w:val="00E12B44"/>
    <w:rPr>
      <w:rFonts w:cs="Times New Roman"/>
    </w:rPr>
  </w:style>
  <w:style w:type="numbering" w:customStyle="1" w:styleId="Dispositions">
    <w:name w:val="Dispositions"/>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605124">
      <w:marLeft w:val="0"/>
      <w:marRight w:val="0"/>
      <w:marTop w:val="0"/>
      <w:marBottom w:val="0"/>
      <w:divBdr>
        <w:top w:val="none" w:sz="0" w:space="0" w:color="auto"/>
        <w:left w:val="none" w:sz="0" w:space="0" w:color="auto"/>
        <w:bottom w:val="none" w:sz="0" w:space="0" w:color="auto"/>
        <w:right w:val="none" w:sz="0" w:space="0" w:color="auto"/>
      </w:divBdr>
    </w:div>
    <w:div w:id="940605125">
      <w:marLeft w:val="0"/>
      <w:marRight w:val="0"/>
      <w:marTop w:val="0"/>
      <w:marBottom w:val="0"/>
      <w:divBdr>
        <w:top w:val="none" w:sz="0" w:space="0" w:color="auto"/>
        <w:left w:val="none" w:sz="0" w:space="0" w:color="auto"/>
        <w:bottom w:val="none" w:sz="0" w:space="0" w:color="auto"/>
        <w:right w:val="none" w:sz="0" w:space="0" w:color="auto"/>
      </w:divBdr>
    </w:div>
    <w:div w:id="940605126">
      <w:marLeft w:val="0"/>
      <w:marRight w:val="0"/>
      <w:marTop w:val="0"/>
      <w:marBottom w:val="0"/>
      <w:divBdr>
        <w:top w:val="none" w:sz="0" w:space="0" w:color="auto"/>
        <w:left w:val="none" w:sz="0" w:space="0" w:color="auto"/>
        <w:bottom w:val="none" w:sz="0" w:space="0" w:color="auto"/>
        <w:right w:val="none" w:sz="0" w:space="0" w:color="auto"/>
      </w:divBdr>
    </w:div>
    <w:div w:id="940605127">
      <w:marLeft w:val="0"/>
      <w:marRight w:val="0"/>
      <w:marTop w:val="0"/>
      <w:marBottom w:val="0"/>
      <w:divBdr>
        <w:top w:val="none" w:sz="0" w:space="0" w:color="auto"/>
        <w:left w:val="none" w:sz="0" w:space="0" w:color="auto"/>
        <w:bottom w:val="none" w:sz="0" w:space="0" w:color="auto"/>
        <w:right w:val="none" w:sz="0" w:space="0" w:color="auto"/>
      </w:divBdr>
    </w:div>
    <w:div w:id="940605128">
      <w:marLeft w:val="0"/>
      <w:marRight w:val="0"/>
      <w:marTop w:val="0"/>
      <w:marBottom w:val="0"/>
      <w:divBdr>
        <w:top w:val="none" w:sz="0" w:space="0" w:color="auto"/>
        <w:left w:val="none" w:sz="0" w:space="0" w:color="auto"/>
        <w:bottom w:val="none" w:sz="0" w:space="0" w:color="auto"/>
        <w:right w:val="none" w:sz="0" w:space="0" w:color="auto"/>
      </w:divBdr>
    </w:div>
    <w:div w:id="940605129">
      <w:marLeft w:val="0"/>
      <w:marRight w:val="0"/>
      <w:marTop w:val="0"/>
      <w:marBottom w:val="0"/>
      <w:divBdr>
        <w:top w:val="none" w:sz="0" w:space="0" w:color="auto"/>
        <w:left w:val="none" w:sz="0" w:space="0" w:color="auto"/>
        <w:bottom w:val="none" w:sz="0" w:space="0" w:color="auto"/>
        <w:right w:val="none" w:sz="0" w:space="0" w:color="auto"/>
      </w:divBdr>
    </w:div>
    <w:div w:id="940605130">
      <w:marLeft w:val="0"/>
      <w:marRight w:val="0"/>
      <w:marTop w:val="0"/>
      <w:marBottom w:val="0"/>
      <w:divBdr>
        <w:top w:val="none" w:sz="0" w:space="0" w:color="auto"/>
        <w:left w:val="none" w:sz="0" w:space="0" w:color="auto"/>
        <w:bottom w:val="none" w:sz="0" w:space="0" w:color="auto"/>
        <w:right w:val="none" w:sz="0" w:space="0" w:color="auto"/>
      </w:divBdr>
    </w:div>
    <w:div w:id="940605131">
      <w:marLeft w:val="0"/>
      <w:marRight w:val="0"/>
      <w:marTop w:val="0"/>
      <w:marBottom w:val="0"/>
      <w:divBdr>
        <w:top w:val="none" w:sz="0" w:space="0" w:color="auto"/>
        <w:left w:val="none" w:sz="0" w:space="0" w:color="auto"/>
        <w:bottom w:val="none" w:sz="0" w:space="0" w:color="auto"/>
        <w:right w:val="none" w:sz="0" w:space="0" w:color="auto"/>
      </w:divBdr>
    </w:div>
    <w:div w:id="940605132">
      <w:marLeft w:val="0"/>
      <w:marRight w:val="0"/>
      <w:marTop w:val="0"/>
      <w:marBottom w:val="0"/>
      <w:divBdr>
        <w:top w:val="none" w:sz="0" w:space="0" w:color="auto"/>
        <w:left w:val="none" w:sz="0" w:space="0" w:color="auto"/>
        <w:bottom w:val="none" w:sz="0" w:space="0" w:color="auto"/>
        <w:right w:val="none" w:sz="0" w:space="0" w:color="auto"/>
      </w:divBdr>
    </w:div>
    <w:div w:id="940605133">
      <w:marLeft w:val="0"/>
      <w:marRight w:val="0"/>
      <w:marTop w:val="0"/>
      <w:marBottom w:val="0"/>
      <w:divBdr>
        <w:top w:val="none" w:sz="0" w:space="0" w:color="auto"/>
        <w:left w:val="none" w:sz="0" w:space="0" w:color="auto"/>
        <w:bottom w:val="none" w:sz="0" w:space="0" w:color="auto"/>
        <w:right w:val="none" w:sz="0" w:space="0" w:color="auto"/>
      </w:divBdr>
    </w:div>
    <w:div w:id="940605134">
      <w:marLeft w:val="0"/>
      <w:marRight w:val="0"/>
      <w:marTop w:val="0"/>
      <w:marBottom w:val="0"/>
      <w:divBdr>
        <w:top w:val="none" w:sz="0" w:space="0" w:color="auto"/>
        <w:left w:val="none" w:sz="0" w:space="0" w:color="auto"/>
        <w:bottom w:val="none" w:sz="0" w:space="0" w:color="auto"/>
        <w:right w:val="none" w:sz="0" w:space="0" w:color="auto"/>
      </w:divBdr>
    </w:div>
    <w:div w:id="940605135">
      <w:marLeft w:val="0"/>
      <w:marRight w:val="0"/>
      <w:marTop w:val="0"/>
      <w:marBottom w:val="0"/>
      <w:divBdr>
        <w:top w:val="none" w:sz="0" w:space="0" w:color="auto"/>
        <w:left w:val="none" w:sz="0" w:space="0" w:color="auto"/>
        <w:bottom w:val="none" w:sz="0" w:space="0" w:color="auto"/>
        <w:right w:val="none" w:sz="0" w:space="0" w:color="auto"/>
      </w:divBdr>
    </w:div>
    <w:div w:id="940605136">
      <w:marLeft w:val="0"/>
      <w:marRight w:val="0"/>
      <w:marTop w:val="0"/>
      <w:marBottom w:val="0"/>
      <w:divBdr>
        <w:top w:val="none" w:sz="0" w:space="0" w:color="auto"/>
        <w:left w:val="none" w:sz="0" w:space="0" w:color="auto"/>
        <w:bottom w:val="none" w:sz="0" w:space="0" w:color="auto"/>
        <w:right w:val="none" w:sz="0" w:space="0" w:color="auto"/>
      </w:divBdr>
    </w:div>
    <w:div w:id="940605137">
      <w:marLeft w:val="0"/>
      <w:marRight w:val="0"/>
      <w:marTop w:val="0"/>
      <w:marBottom w:val="0"/>
      <w:divBdr>
        <w:top w:val="none" w:sz="0" w:space="0" w:color="auto"/>
        <w:left w:val="none" w:sz="0" w:space="0" w:color="auto"/>
        <w:bottom w:val="none" w:sz="0" w:space="0" w:color="auto"/>
        <w:right w:val="none" w:sz="0" w:space="0" w:color="auto"/>
      </w:divBdr>
    </w:div>
    <w:div w:id="940605138">
      <w:marLeft w:val="0"/>
      <w:marRight w:val="0"/>
      <w:marTop w:val="0"/>
      <w:marBottom w:val="0"/>
      <w:divBdr>
        <w:top w:val="none" w:sz="0" w:space="0" w:color="auto"/>
        <w:left w:val="none" w:sz="0" w:space="0" w:color="auto"/>
        <w:bottom w:val="none" w:sz="0" w:space="0" w:color="auto"/>
        <w:right w:val="none" w:sz="0" w:space="0" w:color="auto"/>
      </w:divBdr>
    </w:div>
    <w:div w:id="9406051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tion10\Documents\Zamora\CPUC\Dispositi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74D52-8D76-4565-A33B-36EECE410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DispositionTemplate.dotx</Template>
  <TotalTime>0</TotalTime>
  <Pages>19</Pages>
  <Words>4906</Words>
  <Characters>27970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KJM</cp:lastModifiedBy>
  <cp:revision>2</cp:revision>
  <cp:lastPrinted>2016-02-15T02:50:00Z</cp:lastPrinted>
  <dcterms:created xsi:type="dcterms:W3CDTF">2017-03-01T02:27:00Z</dcterms:created>
  <dcterms:modified xsi:type="dcterms:W3CDTF">2017-03-01T02:27:00Z</dcterms:modified>
</cp:coreProperties>
</file>